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Ansi="宋体"/>
          <w:b/>
          <w:sz w:val="24"/>
        </w:rPr>
      </w:pPr>
    </w:p>
    <w:p>
      <w:pPr>
        <w:jc w:val="left"/>
        <w:rPr>
          <w:b/>
          <w:sz w:val="24"/>
        </w:rPr>
      </w:pPr>
      <w:r>
        <w:rPr>
          <w:rFonts w:hAnsi="宋体"/>
          <w:b/>
          <w:sz w:val="24"/>
        </w:rPr>
        <w:t>建设项目基本情况</w:t>
      </w:r>
    </w:p>
    <w:tbl>
      <w:tblPr>
        <w:tblStyle w:val="24"/>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2474"/>
        <w:gridCol w:w="1932"/>
        <w:gridCol w:w="693"/>
        <w:gridCol w:w="1227"/>
        <w:gridCol w:w="490"/>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9" w:type="dxa"/>
            <w:tcBorders>
              <w:top w:val="single" w:color="auto" w:sz="12" w:space="0"/>
              <w:left w:val="single" w:color="auto" w:sz="12" w:space="0"/>
            </w:tcBorders>
            <w:vAlign w:val="center"/>
          </w:tcPr>
          <w:p>
            <w:pPr>
              <w:jc w:val="center"/>
              <w:rPr>
                <w:color w:val="auto"/>
                <w:sz w:val="24"/>
              </w:rPr>
            </w:pPr>
            <w:r>
              <w:rPr>
                <w:rFonts w:hAnsi="宋体"/>
                <w:color w:val="auto"/>
                <w:sz w:val="24"/>
              </w:rPr>
              <w:t>建设项目</w:t>
            </w:r>
          </w:p>
        </w:tc>
        <w:tc>
          <w:tcPr>
            <w:tcW w:w="7871" w:type="dxa"/>
            <w:gridSpan w:val="6"/>
            <w:tcBorders>
              <w:top w:val="single" w:color="auto" w:sz="12" w:space="0"/>
              <w:right w:val="single" w:color="auto" w:sz="12" w:space="0"/>
            </w:tcBorders>
            <w:vAlign w:val="center"/>
          </w:tcPr>
          <w:p>
            <w:pPr>
              <w:jc w:val="center"/>
              <w:rPr>
                <w:rFonts w:hAnsi="宋体"/>
                <w:color w:val="auto"/>
                <w:sz w:val="24"/>
              </w:rPr>
            </w:pPr>
            <w:r>
              <w:rPr>
                <w:rFonts w:hint="eastAsia" w:hAnsi="宋体"/>
                <w:bCs/>
                <w:color w:val="auto"/>
                <w:sz w:val="24"/>
              </w:rPr>
              <w:t>西安众昊新型环保建材建设项目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9" w:type="dxa"/>
            <w:tcBorders>
              <w:left w:val="single" w:color="auto" w:sz="12" w:space="0"/>
            </w:tcBorders>
            <w:vAlign w:val="center"/>
          </w:tcPr>
          <w:p>
            <w:pPr>
              <w:jc w:val="center"/>
              <w:rPr>
                <w:color w:val="auto"/>
                <w:sz w:val="24"/>
              </w:rPr>
            </w:pPr>
            <w:r>
              <w:rPr>
                <w:rFonts w:hAnsi="宋体"/>
                <w:color w:val="auto"/>
                <w:sz w:val="24"/>
              </w:rPr>
              <w:t>建设单位</w:t>
            </w:r>
          </w:p>
        </w:tc>
        <w:tc>
          <w:tcPr>
            <w:tcW w:w="7871" w:type="dxa"/>
            <w:gridSpan w:val="6"/>
            <w:tcBorders>
              <w:right w:val="single" w:color="auto" w:sz="12" w:space="0"/>
            </w:tcBorders>
            <w:vAlign w:val="center"/>
          </w:tcPr>
          <w:p>
            <w:pPr>
              <w:jc w:val="center"/>
              <w:rPr>
                <w:color w:val="auto"/>
                <w:sz w:val="24"/>
              </w:rPr>
            </w:pPr>
            <w:r>
              <w:rPr>
                <w:rFonts w:hint="eastAsia"/>
                <w:color w:val="auto"/>
                <w:sz w:val="24"/>
                <w:szCs w:val="24"/>
              </w:rPr>
              <w:t>西安众昊新型环保墙材有限公司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9" w:type="dxa"/>
            <w:tcBorders>
              <w:left w:val="single" w:color="auto" w:sz="12" w:space="0"/>
            </w:tcBorders>
            <w:vAlign w:val="center"/>
          </w:tcPr>
          <w:p>
            <w:pPr>
              <w:jc w:val="center"/>
              <w:rPr>
                <w:color w:val="auto"/>
                <w:sz w:val="24"/>
              </w:rPr>
            </w:pPr>
            <w:r>
              <w:rPr>
                <w:rFonts w:hAnsi="宋体"/>
                <w:color w:val="auto"/>
                <w:sz w:val="24"/>
              </w:rPr>
              <w:t>法人代表</w:t>
            </w:r>
          </w:p>
        </w:tc>
        <w:tc>
          <w:tcPr>
            <w:tcW w:w="2474" w:type="dxa"/>
            <w:vAlign w:val="center"/>
          </w:tcPr>
          <w:p>
            <w:pPr>
              <w:jc w:val="center"/>
              <w:rPr>
                <w:color w:val="auto"/>
                <w:sz w:val="24"/>
              </w:rPr>
            </w:pPr>
            <w:r>
              <w:rPr>
                <w:rFonts w:hint="eastAsia"/>
                <w:color w:val="auto"/>
                <w:sz w:val="24"/>
              </w:rPr>
              <w:t>金平安</w:t>
            </w:r>
          </w:p>
        </w:tc>
        <w:tc>
          <w:tcPr>
            <w:tcW w:w="2625" w:type="dxa"/>
            <w:gridSpan w:val="2"/>
            <w:vAlign w:val="center"/>
          </w:tcPr>
          <w:p>
            <w:pPr>
              <w:jc w:val="center"/>
              <w:rPr>
                <w:color w:val="auto"/>
                <w:sz w:val="24"/>
              </w:rPr>
            </w:pPr>
            <w:r>
              <w:rPr>
                <w:rFonts w:hAnsi="宋体"/>
                <w:color w:val="auto"/>
                <w:sz w:val="24"/>
              </w:rPr>
              <w:t>联系人</w:t>
            </w:r>
          </w:p>
        </w:tc>
        <w:tc>
          <w:tcPr>
            <w:tcW w:w="2772" w:type="dxa"/>
            <w:gridSpan w:val="3"/>
            <w:tcBorders>
              <w:right w:val="single" w:color="auto" w:sz="12" w:space="0"/>
            </w:tcBorders>
            <w:vAlign w:val="center"/>
          </w:tcPr>
          <w:p>
            <w:pPr>
              <w:jc w:val="center"/>
              <w:rPr>
                <w:color w:val="auto"/>
                <w:sz w:val="24"/>
              </w:rPr>
            </w:pPr>
            <w:r>
              <w:rPr>
                <w:rFonts w:hint="eastAsia"/>
                <w:color w:val="auto"/>
                <w:sz w:val="24"/>
              </w:rPr>
              <w:t>金平安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9" w:type="dxa"/>
            <w:tcBorders>
              <w:left w:val="single" w:color="auto" w:sz="12" w:space="0"/>
            </w:tcBorders>
            <w:vAlign w:val="center"/>
          </w:tcPr>
          <w:p>
            <w:pPr>
              <w:jc w:val="center"/>
              <w:rPr>
                <w:color w:val="auto"/>
                <w:sz w:val="24"/>
              </w:rPr>
            </w:pPr>
            <w:r>
              <w:rPr>
                <w:rFonts w:hAnsi="宋体"/>
                <w:color w:val="auto"/>
                <w:sz w:val="24"/>
              </w:rPr>
              <w:t>通讯地址</w:t>
            </w:r>
          </w:p>
        </w:tc>
        <w:tc>
          <w:tcPr>
            <w:tcW w:w="7871" w:type="dxa"/>
            <w:gridSpan w:val="6"/>
            <w:tcBorders>
              <w:right w:val="single" w:color="auto" w:sz="12" w:space="0"/>
            </w:tcBorders>
            <w:vAlign w:val="center"/>
          </w:tcPr>
          <w:p>
            <w:pPr>
              <w:jc w:val="center"/>
              <w:rPr>
                <w:color w:val="auto"/>
                <w:sz w:val="24"/>
              </w:rPr>
            </w:pPr>
            <w:r>
              <w:rPr>
                <w:rFonts w:hAnsi="宋体"/>
                <w:color w:val="auto"/>
                <w:sz w:val="24"/>
              </w:rPr>
              <w:t>西安市长安区魏寨</w:t>
            </w:r>
            <w:r>
              <w:rPr>
                <w:rFonts w:hint="eastAsia" w:hAnsi="宋体"/>
                <w:color w:val="auto"/>
                <w:sz w:val="24"/>
              </w:rPr>
              <w:t>街办建材基地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9" w:type="dxa"/>
            <w:tcBorders>
              <w:left w:val="single" w:color="auto" w:sz="12" w:space="0"/>
            </w:tcBorders>
            <w:vAlign w:val="center"/>
          </w:tcPr>
          <w:p>
            <w:pPr>
              <w:jc w:val="center"/>
              <w:rPr>
                <w:color w:val="auto"/>
                <w:sz w:val="24"/>
              </w:rPr>
            </w:pPr>
            <w:r>
              <w:rPr>
                <w:rFonts w:hAnsi="宋体"/>
                <w:color w:val="auto"/>
                <w:sz w:val="24"/>
              </w:rPr>
              <w:t>联系电话</w:t>
            </w:r>
          </w:p>
        </w:tc>
        <w:tc>
          <w:tcPr>
            <w:tcW w:w="2474" w:type="dxa"/>
            <w:vAlign w:val="center"/>
          </w:tcPr>
          <w:p>
            <w:pPr>
              <w:jc w:val="center"/>
              <w:rPr>
                <w:color w:val="auto"/>
                <w:sz w:val="24"/>
              </w:rPr>
            </w:pPr>
            <w:r>
              <w:rPr>
                <w:rFonts w:hint="eastAsia"/>
                <w:color w:val="auto"/>
                <w:sz w:val="24"/>
              </w:rPr>
              <w:t>13991267699</w:t>
            </w:r>
          </w:p>
        </w:tc>
        <w:tc>
          <w:tcPr>
            <w:tcW w:w="1932" w:type="dxa"/>
            <w:vAlign w:val="center"/>
          </w:tcPr>
          <w:p>
            <w:pPr>
              <w:ind w:firstLine="120" w:firstLineChars="50"/>
              <w:jc w:val="center"/>
              <w:rPr>
                <w:color w:val="auto"/>
                <w:sz w:val="24"/>
              </w:rPr>
            </w:pPr>
            <w:r>
              <w:rPr>
                <w:rFonts w:hAnsi="宋体"/>
                <w:color w:val="auto"/>
                <w:sz w:val="24"/>
              </w:rPr>
              <w:t>传真</w:t>
            </w:r>
          </w:p>
        </w:tc>
        <w:tc>
          <w:tcPr>
            <w:tcW w:w="693" w:type="dxa"/>
            <w:vAlign w:val="center"/>
          </w:tcPr>
          <w:p>
            <w:pPr>
              <w:jc w:val="center"/>
              <w:rPr>
                <w:color w:val="auto"/>
                <w:sz w:val="24"/>
              </w:rPr>
            </w:pPr>
            <w:r>
              <w:rPr>
                <w:color w:val="auto"/>
                <w:sz w:val="24"/>
              </w:rPr>
              <w:t>/</w:t>
            </w:r>
          </w:p>
        </w:tc>
        <w:tc>
          <w:tcPr>
            <w:tcW w:w="1227" w:type="dxa"/>
            <w:vAlign w:val="center"/>
          </w:tcPr>
          <w:p>
            <w:pPr>
              <w:jc w:val="center"/>
              <w:rPr>
                <w:color w:val="auto"/>
                <w:sz w:val="24"/>
              </w:rPr>
            </w:pPr>
            <w:r>
              <w:rPr>
                <w:rFonts w:hAnsi="宋体"/>
                <w:color w:val="auto"/>
                <w:sz w:val="24"/>
              </w:rPr>
              <w:t>联系电话</w:t>
            </w:r>
          </w:p>
        </w:tc>
        <w:tc>
          <w:tcPr>
            <w:tcW w:w="1545" w:type="dxa"/>
            <w:gridSpan w:val="2"/>
            <w:tcBorders>
              <w:right w:val="single" w:color="auto" w:sz="12" w:space="0"/>
            </w:tcBorders>
            <w:vAlign w:val="center"/>
          </w:tcPr>
          <w:p>
            <w:pPr>
              <w:jc w:val="center"/>
              <w:rPr>
                <w:color w:val="auto"/>
                <w:sz w:val="24"/>
              </w:rPr>
            </w:pPr>
            <w:r>
              <w:rPr>
                <w:rFonts w:hint="eastAsia"/>
                <w:color w:val="auto"/>
                <w:sz w:val="24"/>
              </w:rPr>
              <w:t>13991267699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9" w:type="dxa"/>
            <w:tcBorders>
              <w:left w:val="single" w:color="auto" w:sz="12" w:space="0"/>
            </w:tcBorders>
            <w:vAlign w:val="center"/>
          </w:tcPr>
          <w:p>
            <w:pPr>
              <w:jc w:val="center"/>
              <w:rPr>
                <w:color w:val="auto"/>
                <w:sz w:val="24"/>
              </w:rPr>
            </w:pPr>
            <w:r>
              <w:rPr>
                <w:rFonts w:hAnsi="宋体"/>
                <w:color w:val="auto"/>
                <w:sz w:val="24"/>
              </w:rPr>
              <w:t>建设地点</w:t>
            </w:r>
          </w:p>
        </w:tc>
        <w:tc>
          <w:tcPr>
            <w:tcW w:w="7871" w:type="dxa"/>
            <w:gridSpan w:val="6"/>
            <w:tcBorders>
              <w:right w:val="single" w:color="auto" w:sz="12" w:space="0"/>
            </w:tcBorders>
            <w:vAlign w:val="center"/>
          </w:tcPr>
          <w:p>
            <w:pPr>
              <w:jc w:val="center"/>
              <w:rPr>
                <w:rFonts w:hAnsi="宋体"/>
                <w:color w:val="auto"/>
                <w:sz w:val="24"/>
              </w:rPr>
            </w:pPr>
            <w:r>
              <w:rPr>
                <w:rFonts w:hAnsi="宋体"/>
                <w:color w:val="auto"/>
                <w:sz w:val="24"/>
              </w:rPr>
              <w:t>西安市长安区魏寨</w:t>
            </w:r>
            <w:r>
              <w:rPr>
                <w:rFonts w:hint="eastAsia" w:hAnsi="宋体"/>
                <w:color w:val="auto"/>
                <w:sz w:val="24"/>
              </w:rPr>
              <w:t>街道老凹庄村长安东部建材产业基地</w:t>
            </w:r>
          </w:p>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9" w:type="dxa"/>
            <w:tcBorders>
              <w:left w:val="single" w:color="auto" w:sz="12" w:space="0"/>
            </w:tcBorders>
            <w:vAlign w:val="center"/>
          </w:tcPr>
          <w:p>
            <w:pPr>
              <w:jc w:val="center"/>
              <w:rPr>
                <w:color w:val="auto"/>
                <w:sz w:val="24"/>
              </w:rPr>
            </w:pPr>
            <w:r>
              <w:rPr>
                <w:rFonts w:hAnsi="宋体"/>
                <w:color w:val="auto"/>
                <w:sz w:val="24"/>
              </w:rPr>
              <w:t>立项审批</w:t>
            </w:r>
          </w:p>
        </w:tc>
        <w:tc>
          <w:tcPr>
            <w:tcW w:w="2474" w:type="dxa"/>
            <w:vAlign w:val="center"/>
          </w:tcPr>
          <w:p>
            <w:pPr>
              <w:rPr>
                <w:color w:val="auto"/>
                <w:sz w:val="24"/>
              </w:rPr>
            </w:pPr>
            <w:r>
              <w:rPr>
                <w:rFonts w:hint="eastAsia" w:hAnsi="宋体"/>
                <w:color w:val="auto"/>
                <w:sz w:val="24"/>
              </w:rPr>
              <w:t>长安区发展和改革委员会</w:t>
            </w:r>
          </w:p>
        </w:tc>
        <w:tc>
          <w:tcPr>
            <w:tcW w:w="2625" w:type="dxa"/>
            <w:gridSpan w:val="2"/>
            <w:vAlign w:val="center"/>
          </w:tcPr>
          <w:p>
            <w:pPr>
              <w:ind w:firstLine="240" w:firstLineChars="100"/>
              <w:jc w:val="center"/>
              <w:rPr>
                <w:color w:val="auto"/>
                <w:sz w:val="24"/>
              </w:rPr>
            </w:pPr>
            <w:r>
              <w:rPr>
                <w:rFonts w:hAnsi="宋体"/>
                <w:color w:val="auto"/>
                <w:sz w:val="24"/>
              </w:rPr>
              <w:t>批准文号</w:t>
            </w:r>
          </w:p>
        </w:tc>
        <w:tc>
          <w:tcPr>
            <w:tcW w:w="2772" w:type="dxa"/>
            <w:gridSpan w:val="3"/>
            <w:tcBorders>
              <w:right w:val="single" w:color="auto" w:sz="12" w:space="0"/>
            </w:tcBorders>
            <w:vAlign w:val="center"/>
          </w:tcPr>
          <w:p>
            <w:pPr>
              <w:jc w:val="center"/>
              <w:rPr>
                <w:color w:val="auto"/>
                <w:sz w:val="24"/>
              </w:rPr>
            </w:pPr>
            <w:r>
              <w:rPr>
                <w:rFonts w:hint="eastAsia"/>
                <w:color w:val="auto"/>
                <w:sz w:val="24"/>
              </w:rPr>
              <w:t>2018-610116-30-03-010426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9" w:type="dxa"/>
            <w:tcBorders>
              <w:left w:val="single" w:color="auto" w:sz="12" w:space="0"/>
            </w:tcBorders>
            <w:vAlign w:val="center"/>
          </w:tcPr>
          <w:p>
            <w:pPr>
              <w:jc w:val="center"/>
              <w:rPr>
                <w:color w:val="auto"/>
                <w:sz w:val="24"/>
              </w:rPr>
            </w:pPr>
            <w:r>
              <w:rPr>
                <w:rFonts w:hAnsi="宋体"/>
                <w:color w:val="auto"/>
                <w:sz w:val="24"/>
              </w:rPr>
              <w:t>建设性质</w:t>
            </w:r>
          </w:p>
        </w:tc>
        <w:tc>
          <w:tcPr>
            <w:tcW w:w="2474" w:type="dxa"/>
            <w:vAlign w:val="center"/>
          </w:tcPr>
          <w:p>
            <w:pPr>
              <w:jc w:val="center"/>
              <w:rPr>
                <w:color w:val="auto"/>
                <w:sz w:val="24"/>
              </w:rPr>
            </w:pPr>
            <w:r>
              <w:rPr>
                <w:rFonts w:hAnsi="宋体"/>
                <w:color w:val="auto"/>
                <w:kern w:val="0"/>
                <w:sz w:val="24"/>
              </w:rPr>
              <w:t>新建</w:t>
            </w:r>
            <w:r>
              <w:rPr>
                <w:rFonts w:ascii="宋体" w:hAnsi="宋体"/>
                <w:color w:val="auto"/>
                <w:sz w:val="24"/>
              </w:rPr>
              <w:t>▇</w:t>
            </w:r>
            <w:r>
              <w:rPr>
                <w:rFonts w:hAnsi="宋体"/>
                <w:color w:val="auto"/>
                <w:kern w:val="0"/>
                <w:sz w:val="24"/>
              </w:rPr>
              <w:t>改扩建</w:t>
            </w:r>
            <w:r>
              <w:rPr>
                <w:color w:val="auto"/>
                <w:kern w:val="0"/>
                <w:sz w:val="24"/>
              </w:rPr>
              <w:t>□</w:t>
            </w:r>
            <w:r>
              <w:rPr>
                <w:rFonts w:hAnsi="宋体"/>
                <w:color w:val="auto"/>
                <w:kern w:val="0"/>
                <w:sz w:val="24"/>
              </w:rPr>
              <w:t>技改</w:t>
            </w:r>
            <w:r>
              <w:rPr>
                <w:color w:val="auto"/>
                <w:kern w:val="0"/>
                <w:sz w:val="24"/>
              </w:rPr>
              <w:t>□</w:t>
            </w:r>
          </w:p>
        </w:tc>
        <w:tc>
          <w:tcPr>
            <w:tcW w:w="2625" w:type="dxa"/>
            <w:gridSpan w:val="2"/>
            <w:vAlign w:val="center"/>
          </w:tcPr>
          <w:p>
            <w:pPr>
              <w:jc w:val="center"/>
              <w:rPr>
                <w:color w:val="auto"/>
                <w:sz w:val="24"/>
              </w:rPr>
            </w:pPr>
            <w:r>
              <w:rPr>
                <w:rFonts w:hAnsi="宋体"/>
                <w:color w:val="auto"/>
                <w:sz w:val="24"/>
              </w:rPr>
              <w:t>行业类别及代码</w:t>
            </w:r>
          </w:p>
        </w:tc>
        <w:tc>
          <w:tcPr>
            <w:tcW w:w="2772" w:type="dxa"/>
            <w:gridSpan w:val="3"/>
            <w:tcBorders>
              <w:right w:val="single" w:color="auto" w:sz="12" w:space="0"/>
            </w:tcBorders>
            <w:vAlign w:val="center"/>
          </w:tcPr>
          <w:p>
            <w:pPr>
              <w:rPr>
                <w:color w:val="auto"/>
                <w:sz w:val="24"/>
              </w:rPr>
            </w:pPr>
            <w:r>
              <w:rPr>
                <w:rFonts w:hint="eastAsia"/>
                <w:color w:val="auto"/>
                <w:sz w:val="24"/>
              </w:rPr>
              <w:t>C3031黏土砖瓦及建筑砌块制造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9" w:type="dxa"/>
            <w:tcBorders>
              <w:left w:val="single" w:color="auto" w:sz="12" w:space="0"/>
            </w:tcBorders>
            <w:vAlign w:val="center"/>
          </w:tcPr>
          <w:p>
            <w:pPr>
              <w:jc w:val="center"/>
              <w:rPr>
                <w:color w:val="auto"/>
                <w:sz w:val="24"/>
              </w:rPr>
            </w:pPr>
            <w:r>
              <w:rPr>
                <w:rFonts w:hAnsi="宋体"/>
                <w:color w:val="auto"/>
                <w:sz w:val="24"/>
              </w:rPr>
              <w:t>占地面积</w:t>
            </w:r>
          </w:p>
        </w:tc>
        <w:tc>
          <w:tcPr>
            <w:tcW w:w="2474" w:type="dxa"/>
            <w:vAlign w:val="center"/>
          </w:tcPr>
          <w:p>
            <w:pPr>
              <w:jc w:val="center"/>
              <w:rPr>
                <w:color w:val="auto"/>
                <w:sz w:val="24"/>
              </w:rPr>
            </w:pPr>
            <w:r>
              <w:rPr>
                <w:color w:val="auto"/>
                <w:sz w:val="24"/>
              </w:rPr>
              <w:t>145733.3</w:t>
            </w:r>
            <w:r>
              <w:rPr>
                <w:rFonts w:hint="eastAsia"/>
                <w:color w:val="auto"/>
                <w:sz w:val="24"/>
              </w:rPr>
              <w:t>m</w:t>
            </w:r>
            <w:r>
              <w:rPr>
                <w:rFonts w:hint="eastAsia"/>
                <w:color w:val="auto"/>
                <w:sz w:val="24"/>
                <w:vertAlign w:val="superscript"/>
              </w:rPr>
              <w:t>2</w:t>
            </w:r>
          </w:p>
        </w:tc>
        <w:tc>
          <w:tcPr>
            <w:tcW w:w="2625" w:type="dxa"/>
            <w:gridSpan w:val="2"/>
            <w:vAlign w:val="center"/>
          </w:tcPr>
          <w:p>
            <w:pPr>
              <w:jc w:val="center"/>
              <w:rPr>
                <w:color w:val="auto"/>
                <w:sz w:val="24"/>
              </w:rPr>
            </w:pPr>
            <w:r>
              <w:rPr>
                <w:rFonts w:hAnsi="宋体"/>
                <w:color w:val="auto"/>
                <w:sz w:val="24"/>
              </w:rPr>
              <w:t>绿化面积</w:t>
            </w:r>
          </w:p>
        </w:tc>
        <w:tc>
          <w:tcPr>
            <w:tcW w:w="2772" w:type="dxa"/>
            <w:gridSpan w:val="3"/>
            <w:tcBorders>
              <w:right w:val="single" w:color="auto" w:sz="12" w:space="0"/>
            </w:tcBorders>
            <w:vAlign w:val="center"/>
          </w:tcPr>
          <w:p>
            <w:pPr>
              <w:jc w:val="center"/>
              <w:rPr>
                <w:color w:val="auto"/>
                <w:sz w:val="24"/>
                <w:szCs w:val="24"/>
              </w:rPr>
            </w:pPr>
            <w:r>
              <w:rPr>
                <w:rFonts w:hint="eastAsia"/>
                <w:color w:val="auto"/>
                <w:sz w:val="24"/>
                <w:szCs w:val="24"/>
              </w:rPr>
              <w:t>4000</w:t>
            </w:r>
            <w:r>
              <w:rPr>
                <w:color w:val="auto"/>
                <w:sz w:val="24"/>
                <w:szCs w:val="24"/>
              </w:rPr>
              <w:t>m</w:t>
            </w:r>
            <w:r>
              <w:rPr>
                <w:color w:val="auto"/>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9" w:type="dxa"/>
            <w:tcBorders>
              <w:left w:val="single" w:color="auto" w:sz="12" w:space="0"/>
            </w:tcBorders>
            <w:vAlign w:val="center"/>
          </w:tcPr>
          <w:p>
            <w:pPr>
              <w:jc w:val="center"/>
              <w:rPr>
                <w:color w:val="auto"/>
                <w:sz w:val="24"/>
              </w:rPr>
            </w:pPr>
            <w:r>
              <w:rPr>
                <w:rFonts w:hAnsi="宋体"/>
                <w:color w:val="auto"/>
                <w:sz w:val="24"/>
              </w:rPr>
              <w:t>总投资</w:t>
            </w:r>
          </w:p>
          <w:p>
            <w:pPr>
              <w:jc w:val="center"/>
              <w:rPr>
                <w:color w:val="auto"/>
                <w:sz w:val="24"/>
              </w:rPr>
            </w:pPr>
            <w:r>
              <w:rPr>
                <w:rFonts w:hAnsi="宋体"/>
                <w:color w:val="auto"/>
                <w:sz w:val="24"/>
              </w:rPr>
              <w:t>（</w:t>
            </w:r>
            <w:r>
              <w:rPr>
                <w:rFonts w:hint="eastAsia" w:hAnsi="宋体"/>
                <w:color w:val="auto"/>
                <w:sz w:val="24"/>
              </w:rPr>
              <w:t>万</w:t>
            </w:r>
            <w:r>
              <w:rPr>
                <w:rFonts w:hAnsi="宋体"/>
                <w:color w:val="auto"/>
                <w:sz w:val="24"/>
              </w:rPr>
              <w:t>元）</w:t>
            </w:r>
          </w:p>
        </w:tc>
        <w:tc>
          <w:tcPr>
            <w:tcW w:w="2474" w:type="dxa"/>
            <w:vAlign w:val="center"/>
          </w:tcPr>
          <w:p>
            <w:pPr>
              <w:jc w:val="center"/>
              <w:rPr>
                <w:color w:val="auto"/>
                <w:sz w:val="24"/>
              </w:rPr>
            </w:pPr>
            <w:r>
              <w:rPr>
                <w:rFonts w:hint="eastAsia"/>
                <w:color w:val="auto"/>
                <w:sz w:val="24"/>
              </w:rPr>
              <w:t>5000</w:t>
            </w:r>
          </w:p>
        </w:tc>
        <w:tc>
          <w:tcPr>
            <w:tcW w:w="1932" w:type="dxa"/>
            <w:vAlign w:val="center"/>
          </w:tcPr>
          <w:p>
            <w:pPr>
              <w:spacing w:line="400" w:lineRule="exact"/>
              <w:jc w:val="center"/>
              <w:rPr>
                <w:color w:val="auto"/>
                <w:sz w:val="24"/>
              </w:rPr>
            </w:pPr>
            <w:r>
              <w:rPr>
                <w:rFonts w:hAnsi="宋体"/>
                <w:color w:val="auto"/>
                <w:sz w:val="24"/>
              </w:rPr>
              <w:t>其中：环保投资（</w:t>
            </w:r>
            <w:r>
              <w:rPr>
                <w:rFonts w:hint="eastAsia" w:hAnsi="宋体"/>
                <w:color w:val="auto"/>
                <w:sz w:val="24"/>
              </w:rPr>
              <w:t>万</w:t>
            </w:r>
            <w:r>
              <w:rPr>
                <w:rFonts w:hAnsi="宋体"/>
                <w:color w:val="auto"/>
                <w:sz w:val="24"/>
              </w:rPr>
              <w:t>元）</w:t>
            </w:r>
          </w:p>
        </w:tc>
        <w:tc>
          <w:tcPr>
            <w:tcW w:w="693" w:type="dxa"/>
            <w:vAlign w:val="center"/>
          </w:tcPr>
          <w:p>
            <w:pPr>
              <w:jc w:val="center"/>
              <w:rPr>
                <w:color w:val="auto"/>
                <w:sz w:val="24"/>
              </w:rPr>
            </w:pPr>
            <w:r>
              <w:rPr>
                <w:color w:val="auto"/>
                <w:sz w:val="24"/>
              </w:rPr>
              <w:t>202</w:t>
            </w:r>
          </w:p>
        </w:tc>
        <w:tc>
          <w:tcPr>
            <w:tcW w:w="1717" w:type="dxa"/>
            <w:gridSpan w:val="2"/>
            <w:vAlign w:val="center"/>
          </w:tcPr>
          <w:p>
            <w:pPr>
              <w:spacing w:line="400" w:lineRule="exact"/>
              <w:rPr>
                <w:color w:val="auto"/>
                <w:sz w:val="24"/>
              </w:rPr>
            </w:pPr>
            <w:r>
              <w:rPr>
                <w:rFonts w:hAnsi="宋体"/>
                <w:color w:val="auto"/>
                <w:sz w:val="24"/>
              </w:rPr>
              <w:t>环保投资占总投资比例</w:t>
            </w:r>
          </w:p>
        </w:tc>
        <w:tc>
          <w:tcPr>
            <w:tcW w:w="1055" w:type="dxa"/>
            <w:tcBorders>
              <w:right w:val="single" w:color="auto" w:sz="12" w:space="0"/>
            </w:tcBorders>
            <w:vAlign w:val="center"/>
          </w:tcPr>
          <w:p>
            <w:pPr>
              <w:jc w:val="center"/>
              <w:rPr>
                <w:color w:val="auto"/>
                <w:sz w:val="24"/>
              </w:rPr>
            </w:pPr>
            <w:r>
              <w:rPr>
                <w:color w:val="auto"/>
                <w:sz w:val="24"/>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9" w:type="dxa"/>
            <w:tcBorders>
              <w:left w:val="single" w:color="auto" w:sz="12" w:space="0"/>
            </w:tcBorders>
            <w:vAlign w:val="center"/>
          </w:tcPr>
          <w:p>
            <w:pPr>
              <w:jc w:val="center"/>
              <w:rPr>
                <w:color w:val="auto"/>
                <w:sz w:val="24"/>
              </w:rPr>
            </w:pPr>
            <w:r>
              <w:rPr>
                <w:rFonts w:hAnsi="宋体"/>
                <w:color w:val="auto"/>
                <w:sz w:val="24"/>
              </w:rPr>
              <w:t>评价经费（万元）</w:t>
            </w:r>
          </w:p>
        </w:tc>
        <w:tc>
          <w:tcPr>
            <w:tcW w:w="2474" w:type="dxa"/>
            <w:vAlign w:val="center"/>
          </w:tcPr>
          <w:p>
            <w:pPr>
              <w:jc w:val="center"/>
              <w:rPr>
                <w:color w:val="auto"/>
                <w:sz w:val="24"/>
              </w:rPr>
            </w:pPr>
            <w:r>
              <w:rPr>
                <w:color w:val="auto"/>
                <w:sz w:val="24"/>
              </w:rPr>
              <w:t>/</w:t>
            </w:r>
          </w:p>
        </w:tc>
        <w:tc>
          <w:tcPr>
            <w:tcW w:w="2625" w:type="dxa"/>
            <w:gridSpan w:val="2"/>
            <w:vAlign w:val="center"/>
          </w:tcPr>
          <w:p>
            <w:pPr>
              <w:jc w:val="center"/>
              <w:rPr>
                <w:color w:val="auto"/>
                <w:sz w:val="24"/>
              </w:rPr>
            </w:pPr>
            <w:r>
              <w:rPr>
                <w:rFonts w:hAnsi="宋体"/>
                <w:color w:val="auto"/>
                <w:sz w:val="24"/>
              </w:rPr>
              <w:t>预期投产日期</w:t>
            </w:r>
          </w:p>
        </w:tc>
        <w:tc>
          <w:tcPr>
            <w:tcW w:w="2772" w:type="dxa"/>
            <w:gridSpan w:val="3"/>
            <w:tcBorders>
              <w:right w:val="single" w:color="auto" w:sz="12" w:space="0"/>
            </w:tcBorders>
            <w:vAlign w:val="center"/>
          </w:tcPr>
          <w:p>
            <w:pPr>
              <w:jc w:val="center"/>
              <w:rPr>
                <w:color w:val="auto"/>
                <w:sz w:val="24"/>
              </w:rPr>
            </w:pPr>
            <w:r>
              <w:rPr>
                <w:rFonts w:hint="eastAsia"/>
                <w:color w:val="auto"/>
                <w:sz w:val="24"/>
              </w:rPr>
              <w:t>2020</w:t>
            </w:r>
            <w:r>
              <w:rPr>
                <w:rFonts w:hAnsi="宋体"/>
                <w:color w:val="auto"/>
                <w:sz w:val="24"/>
              </w:rPr>
              <w:t>年</w:t>
            </w:r>
            <w:r>
              <w:rPr>
                <w:rFonts w:hint="eastAsia"/>
                <w:color w:val="auto"/>
                <w:sz w:val="24"/>
              </w:rPr>
              <w:t>3</w:t>
            </w:r>
            <w:r>
              <w:rPr>
                <w:rFonts w:hAnsi="宋体"/>
                <w:color w:val="auto"/>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trPr>
        <w:tc>
          <w:tcPr>
            <w:tcW w:w="9120" w:type="dxa"/>
            <w:gridSpan w:val="7"/>
            <w:tcBorders>
              <w:top w:val="single" w:color="auto" w:sz="12" w:space="0"/>
              <w:left w:val="single" w:color="auto" w:sz="12" w:space="0"/>
              <w:bottom w:val="single" w:color="auto" w:sz="12" w:space="0"/>
              <w:right w:val="single" w:color="auto" w:sz="12" w:space="0"/>
            </w:tcBorders>
          </w:tcPr>
          <w:p>
            <w:pPr>
              <w:tabs>
                <w:tab w:val="left" w:pos="1035"/>
              </w:tabs>
              <w:spacing w:line="360" w:lineRule="auto"/>
              <w:rPr>
                <w:rFonts w:hAnsi="宋体"/>
                <w:b/>
                <w:color w:val="auto"/>
                <w:sz w:val="24"/>
              </w:rPr>
            </w:pPr>
            <w:r>
              <w:rPr>
                <w:rFonts w:hint="eastAsia" w:hAnsi="宋体"/>
                <w:b/>
                <w:color w:val="auto"/>
                <w:sz w:val="24"/>
              </w:rPr>
              <w:t>一、概述</w:t>
            </w:r>
          </w:p>
          <w:p>
            <w:pPr>
              <w:pStyle w:val="104"/>
              <w:spacing w:line="360" w:lineRule="auto"/>
              <w:ind w:firstLine="482" w:firstLineChars="200"/>
              <w:rPr>
                <w:rFonts w:ascii="Times New Roman" w:cs="Times New Roman"/>
                <w:b/>
                <w:color w:val="auto"/>
              </w:rPr>
            </w:pPr>
            <w:r>
              <w:rPr>
                <w:rFonts w:ascii="Times New Roman" w:cs="Times New Roman"/>
                <w:b/>
                <w:color w:val="auto"/>
              </w:rPr>
              <w:t>1、建设项目背景及特点</w:t>
            </w:r>
          </w:p>
          <w:p>
            <w:pPr>
              <w:spacing w:line="360" w:lineRule="auto"/>
              <w:ind w:firstLine="480" w:firstLineChars="200"/>
              <w:rPr>
                <w:rFonts w:hAnsi="宋体"/>
                <w:bCs/>
                <w:color w:val="auto"/>
                <w:sz w:val="24"/>
                <w:szCs w:val="24"/>
              </w:rPr>
            </w:pPr>
            <w:r>
              <w:rPr>
                <w:rFonts w:hint="eastAsia"/>
                <w:color w:val="auto"/>
                <w:sz w:val="24"/>
              </w:rPr>
              <w:t>砖瓦是建筑围护结构的主体材料，广泛应用于城乡建设，是目前我国工程建设不可或缺的材料目前，西安市建筑市场使用新型墙体材料尚处于发展期，市场对多品种、高质量的新型墙体材料，尤其是适应陕西省气候特点，保温隔热性能优良的新型墙体材料需求量较大。</w:t>
            </w:r>
            <w:r>
              <w:rPr>
                <w:rFonts w:hint="eastAsia"/>
                <w:color w:val="auto"/>
                <w:sz w:val="24"/>
                <w:szCs w:val="24"/>
              </w:rPr>
              <w:t>西安众昊新型环保墙材有限公司成立于2012年6月4日，主要进行砖瓦制品生产、销售，该公司拟</w:t>
            </w:r>
            <w:r>
              <w:rPr>
                <w:rFonts w:hint="eastAsia"/>
                <w:color w:val="auto"/>
                <w:sz w:val="24"/>
              </w:rPr>
              <w:t>投资5000万元，</w:t>
            </w:r>
            <w:bookmarkStart w:id="6" w:name="_GoBack"/>
            <w:bookmarkEnd w:id="6"/>
            <w:r>
              <w:rPr>
                <w:rFonts w:hint="eastAsia"/>
                <w:color w:val="auto"/>
                <w:sz w:val="24"/>
              </w:rPr>
              <w:t>在西安市长安区长安东部新型建材基地建设西安众昊新型环保建材建设项目。本项目位于长安东部新型建材基地4号地，厂区占地面积为</w:t>
            </w:r>
            <w:r>
              <w:rPr>
                <w:color w:val="auto"/>
                <w:sz w:val="24"/>
              </w:rPr>
              <w:t>23333.3</w:t>
            </w:r>
            <w:r>
              <w:rPr>
                <w:rFonts w:hint="eastAsia"/>
                <w:color w:val="auto"/>
                <w:sz w:val="24"/>
              </w:rPr>
              <w:t>m</w:t>
            </w:r>
            <w:r>
              <w:rPr>
                <w:rFonts w:hint="eastAsia"/>
                <w:color w:val="auto"/>
                <w:sz w:val="24"/>
                <w:vertAlign w:val="superscript"/>
              </w:rPr>
              <w:t>2</w:t>
            </w:r>
            <w:r>
              <w:rPr>
                <w:rFonts w:hint="eastAsia"/>
                <w:color w:val="auto"/>
                <w:sz w:val="24"/>
              </w:rPr>
              <w:t>（合计</w:t>
            </w:r>
            <w:r>
              <w:rPr>
                <w:color w:val="auto"/>
                <w:sz w:val="24"/>
              </w:rPr>
              <w:t>35</w:t>
            </w:r>
            <w:r>
              <w:rPr>
                <w:rFonts w:hint="eastAsia"/>
                <w:color w:val="auto"/>
                <w:sz w:val="24"/>
              </w:rPr>
              <w:t>亩），同时，项目已取得位于厂区南侧0.1224km</w:t>
            </w:r>
            <w:r>
              <w:rPr>
                <w:rFonts w:hint="eastAsia"/>
                <w:color w:val="auto"/>
                <w:sz w:val="24"/>
                <w:vertAlign w:val="superscript"/>
              </w:rPr>
              <w:t>2</w:t>
            </w:r>
            <w:r>
              <w:rPr>
                <w:rFonts w:hint="eastAsia"/>
                <w:color w:val="auto"/>
                <w:sz w:val="24"/>
              </w:rPr>
              <w:t>砖瓦用粘土的采矿权。厂区建设1条年产15万m</w:t>
            </w:r>
            <w:r>
              <w:rPr>
                <w:rFonts w:hint="eastAsia"/>
                <w:color w:val="auto"/>
                <w:sz w:val="24"/>
                <w:vertAlign w:val="superscript"/>
              </w:rPr>
              <w:t>3</w:t>
            </w:r>
            <w:r>
              <w:rPr>
                <w:rFonts w:hint="eastAsia"/>
                <w:color w:val="auto"/>
                <w:sz w:val="24"/>
              </w:rPr>
              <w:t>烧结空心砌块生产线。项目场地在2013年进行了场地平整，并建设办公楼和施工临时用房</w:t>
            </w:r>
            <w:r>
              <w:rPr>
                <w:rFonts w:hint="eastAsia" w:hAnsi="宋体"/>
                <w:bCs/>
                <w:color w:val="auto"/>
                <w:sz w:val="24"/>
                <w:szCs w:val="24"/>
              </w:rPr>
              <w:t>，目前，厂区生产车间已建框架，其余未建成。</w:t>
            </w:r>
          </w:p>
          <w:p>
            <w:pPr>
              <w:spacing w:line="360" w:lineRule="auto"/>
              <w:ind w:firstLine="480" w:firstLineChars="200"/>
              <w:rPr>
                <w:rFonts w:hAnsi="宋体"/>
                <w:bCs/>
                <w:color w:val="auto"/>
                <w:sz w:val="24"/>
                <w:szCs w:val="24"/>
              </w:rPr>
            </w:pPr>
            <w:r>
              <w:rPr>
                <w:rFonts w:hint="eastAsia" w:hAnsi="宋体"/>
                <w:bCs/>
                <w:color w:val="auto"/>
                <w:sz w:val="24"/>
                <w:szCs w:val="24"/>
              </w:rPr>
              <w:t>根据《西安市生态环境局专题会议纪要》（2019年5月28日），关于长安东部新型建材产业基地项目环评审批有关问题专题会明确以下事项：一、由长安区政府出局泽海、众昊两个项目在《西安市“铁腕治霾·保卫蓝天</w:t>
            </w:r>
            <w:r>
              <w:rPr>
                <w:rFonts w:hAnsi="宋体"/>
                <w:bCs/>
                <w:color w:val="auto"/>
                <w:sz w:val="24"/>
                <w:szCs w:val="24"/>
              </w:rPr>
              <w:t>”</w:t>
            </w:r>
            <w:r>
              <w:rPr>
                <w:rFonts w:hint="eastAsia" w:hAnsi="宋体"/>
                <w:bCs/>
                <w:color w:val="auto"/>
                <w:sz w:val="24"/>
                <w:szCs w:val="24"/>
              </w:rPr>
              <w:t>三年行动方案（2018-2020年</w:t>
            </w:r>
            <w:r>
              <w:rPr>
                <w:rFonts w:hAnsi="宋体"/>
                <w:bCs/>
                <w:color w:val="auto"/>
                <w:sz w:val="24"/>
                <w:szCs w:val="24"/>
              </w:rPr>
              <w:t>）(</w:t>
            </w:r>
            <w:r>
              <w:rPr>
                <w:rFonts w:hint="eastAsia" w:hAnsi="宋体"/>
                <w:bCs/>
                <w:color w:val="auto"/>
                <w:sz w:val="24"/>
                <w:szCs w:val="24"/>
              </w:rPr>
              <w:t>修订版)》出台之前开展建设的证明材料及使用高污染燃料的说明材料。二、生态环境局长安分局对项目 “未批先建”行为进行行政处罚并对项目环评开展技术分析与论证工作。三、建设单位在取得项目环评批复前，应购买污染物排放总量，落实园区规划相关要求。</w:t>
            </w:r>
          </w:p>
          <w:p>
            <w:pPr>
              <w:spacing w:line="360" w:lineRule="auto"/>
              <w:ind w:firstLine="480" w:firstLineChars="200"/>
              <w:rPr>
                <w:rFonts w:hAnsi="宋体"/>
                <w:bCs/>
                <w:color w:val="auto"/>
                <w:sz w:val="24"/>
                <w:szCs w:val="24"/>
              </w:rPr>
            </w:pPr>
            <w:r>
              <w:rPr>
                <w:rFonts w:hint="eastAsia" w:hAnsi="宋体"/>
                <w:bCs/>
                <w:color w:val="auto"/>
                <w:sz w:val="24"/>
                <w:szCs w:val="24"/>
              </w:rPr>
              <w:t>根据《西安市长安区人民政府关于西安众昊新型环保建材项目和西安泽海仿古建筑材料产品技术工艺及项目建设情况的函》（长政函[2019]127号），西安众昊新型环保建材项目2012年立项备案并于当年6月开始建设，截至目前已完成投资2980万元，占项目投资总额的60%。项目属于《西安市“铁腕治霾·保卫蓝天</w:t>
            </w:r>
            <w:r>
              <w:rPr>
                <w:rFonts w:hAnsi="宋体"/>
                <w:bCs/>
                <w:color w:val="auto"/>
                <w:sz w:val="24"/>
                <w:szCs w:val="24"/>
              </w:rPr>
              <w:t>”</w:t>
            </w:r>
            <w:r>
              <w:rPr>
                <w:rFonts w:hint="eastAsia" w:hAnsi="宋体"/>
                <w:bCs/>
                <w:color w:val="auto"/>
                <w:sz w:val="24"/>
                <w:szCs w:val="24"/>
              </w:rPr>
              <w:t>三年行动方案（2018-2020年</w:t>
            </w:r>
            <w:r>
              <w:rPr>
                <w:rFonts w:hAnsi="宋体"/>
                <w:bCs/>
                <w:color w:val="auto"/>
                <w:sz w:val="24"/>
                <w:szCs w:val="24"/>
              </w:rPr>
              <w:t>）(</w:t>
            </w:r>
            <w:r>
              <w:rPr>
                <w:rFonts w:hint="eastAsia" w:hAnsi="宋体"/>
                <w:bCs/>
                <w:color w:val="auto"/>
                <w:sz w:val="24"/>
                <w:szCs w:val="24"/>
              </w:rPr>
              <w:t>修订版)》下发之前的项目，且项目均采用天然气作为燃料，不使用煤矸石等其它助燃物料；原材料为纯天然粘土，不添加其他有害及污染辅料。</w:t>
            </w:r>
          </w:p>
          <w:p>
            <w:pPr>
              <w:spacing w:line="360" w:lineRule="auto"/>
              <w:ind w:firstLine="480" w:firstLineChars="200"/>
              <w:rPr>
                <w:rFonts w:hAnsi="宋体"/>
                <w:bCs/>
                <w:color w:val="auto"/>
                <w:sz w:val="24"/>
                <w:szCs w:val="24"/>
              </w:rPr>
            </w:pPr>
            <w:r>
              <w:rPr>
                <w:rFonts w:hint="eastAsia" w:hAnsi="宋体"/>
                <w:bCs/>
                <w:color w:val="auto"/>
                <w:sz w:val="24"/>
                <w:szCs w:val="24"/>
              </w:rPr>
              <w:t>根据会议纪要要求西安众昊新型环保墙材有限公司委托技术单位进行环境影响评价工作。</w:t>
            </w:r>
          </w:p>
          <w:p>
            <w:pPr>
              <w:widowControl/>
              <w:spacing w:line="360" w:lineRule="auto"/>
              <w:ind w:firstLine="482" w:firstLineChars="200"/>
              <w:jc w:val="left"/>
              <w:rPr>
                <w:b/>
                <w:color w:val="auto"/>
                <w:kern w:val="0"/>
                <w:sz w:val="24"/>
                <w:szCs w:val="24"/>
              </w:rPr>
            </w:pPr>
            <w:r>
              <w:rPr>
                <w:b/>
                <w:color w:val="auto"/>
                <w:kern w:val="0"/>
                <w:sz w:val="24"/>
                <w:szCs w:val="24"/>
              </w:rPr>
              <w:t>2、环境影响评价过程</w:t>
            </w:r>
          </w:p>
          <w:p>
            <w:pPr>
              <w:adjustRightInd w:val="0"/>
              <w:snapToGrid w:val="0"/>
              <w:spacing w:line="360" w:lineRule="auto"/>
              <w:ind w:firstLine="480" w:firstLineChars="200"/>
              <w:rPr>
                <w:color w:val="auto"/>
                <w:sz w:val="24"/>
              </w:rPr>
            </w:pPr>
            <w:r>
              <w:rPr>
                <w:rFonts w:hint="eastAsia"/>
                <w:color w:val="auto"/>
                <w:sz w:val="24"/>
              </w:rPr>
              <w:t>根据《中华人民共和国环境保护法》、《中华人民共和国环境影响评价法》和《建设项目环境保护管理条例》（国务院令第682号）等法律法规的要求，本项目需进行环境影响评价。依据《建设项目环境影响评价分类管理名录》（中华人民共和国环境保护部令第44号）以及《关于修改&lt;建设项目环境影响评价分类管理名录&gt;部分内容的决定》（生态环境部令1号），本项目属于“十九、非金属矿物制品业” 中的“51、石灰和石膏制造、石材加工、人造石制造、砖瓦制造”，应编制环境影响报告表。</w:t>
            </w:r>
            <w:r>
              <w:rPr>
                <w:rFonts w:hint="eastAsia"/>
                <w:color w:val="auto"/>
                <w:sz w:val="24"/>
                <w:szCs w:val="24"/>
              </w:rPr>
              <w:t>西安众昊新型环保墙材有限公司</w:t>
            </w:r>
            <w:r>
              <w:rPr>
                <w:rFonts w:hint="eastAsia"/>
                <w:color w:val="auto"/>
                <w:sz w:val="24"/>
              </w:rPr>
              <w:t>委托中政国评（北京）科技有限公司进行本项目的环境影响评价工作（委托书见附件1）。接受委托后，评价单位立即组织技术人员开展了详细的现场踏勘、技术资料收集等工作，在对本项目有关环境现状和可能造成的环境影响进行分析后，依照环境影响评价技术导则的要求，编制了《</w:t>
            </w:r>
            <w:r>
              <w:rPr>
                <w:rFonts w:hint="eastAsia" w:hAnsi="宋体"/>
                <w:bCs/>
                <w:color w:val="auto"/>
                <w:sz w:val="24"/>
              </w:rPr>
              <w:t>西安众昊新型环保建材建设项目</w:t>
            </w:r>
            <w:r>
              <w:rPr>
                <w:rFonts w:hint="eastAsia"/>
                <w:color w:val="auto"/>
                <w:sz w:val="24"/>
              </w:rPr>
              <w:t>环境影响报告表》，由建设单位呈报西安市生态环境局长安分局审查。</w:t>
            </w:r>
          </w:p>
          <w:p>
            <w:pPr>
              <w:widowControl/>
              <w:spacing w:line="360" w:lineRule="auto"/>
              <w:ind w:firstLine="482" w:firstLineChars="200"/>
              <w:jc w:val="left"/>
              <w:rPr>
                <w:b/>
                <w:color w:val="auto"/>
                <w:kern w:val="0"/>
                <w:sz w:val="24"/>
                <w:szCs w:val="24"/>
              </w:rPr>
            </w:pPr>
            <w:r>
              <w:rPr>
                <w:b/>
                <w:color w:val="auto"/>
                <w:kern w:val="0"/>
                <w:sz w:val="24"/>
                <w:szCs w:val="24"/>
              </w:rPr>
              <w:t>3、分析判定相关情况</w:t>
            </w:r>
          </w:p>
          <w:p>
            <w:pPr>
              <w:widowControl/>
              <w:spacing w:line="360" w:lineRule="auto"/>
              <w:ind w:firstLine="480" w:firstLineChars="200"/>
              <w:jc w:val="left"/>
              <w:rPr>
                <w:color w:val="auto"/>
                <w:sz w:val="24"/>
                <w:szCs w:val="24"/>
              </w:rPr>
            </w:pPr>
            <w:r>
              <w:rPr>
                <w:color w:val="auto"/>
                <w:sz w:val="24"/>
                <w:szCs w:val="24"/>
              </w:rPr>
              <w:t>（1）产业政策符合性分析</w:t>
            </w:r>
          </w:p>
          <w:p>
            <w:pPr>
              <w:spacing w:line="360" w:lineRule="auto"/>
              <w:ind w:firstLine="480" w:firstLineChars="200"/>
              <w:rPr>
                <w:color w:val="auto"/>
                <w:sz w:val="24"/>
              </w:rPr>
            </w:pPr>
            <w:r>
              <w:rPr>
                <w:rFonts w:hint="eastAsia"/>
                <w:color w:val="auto"/>
                <w:sz w:val="24"/>
              </w:rPr>
              <w:t>本项目不属于《产业结构调整指导目录(2011年本)（2013年修正版）》中的限制类和淘汰类项目。项目隧道窑年产15万立方米烧结空心砌块，符合《全国墙体材料烧结砖瓦行业准入条件》中相关政策要求。本项目已在西安市长安区发展和改革委员会备案，项目代码2018-61-30-03-010426，备案时间2018年4月3日（附件2）。项目建设符合国家及地方产业政策及环保政策要求。</w:t>
            </w:r>
          </w:p>
          <w:p>
            <w:pPr>
              <w:spacing w:line="360" w:lineRule="auto"/>
              <w:ind w:firstLine="480" w:firstLineChars="200"/>
              <w:rPr>
                <w:color w:val="auto"/>
                <w:sz w:val="24"/>
              </w:rPr>
            </w:pPr>
            <w:r>
              <w:rPr>
                <w:rFonts w:hint="eastAsia"/>
                <w:color w:val="auto"/>
                <w:sz w:val="24"/>
              </w:rPr>
              <w:t>（2）与《全国墙体材料烧结砖瓦行业准入条件》相符性分析</w:t>
            </w:r>
          </w:p>
          <w:p>
            <w:pPr>
              <w:jc w:val="center"/>
              <w:rPr>
                <w:b/>
                <w:color w:val="auto"/>
              </w:rPr>
            </w:pPr>
            <w:r>
              <w:rPr>
                <w:rFonts w:hint="eastAsia"/>
                <w:b/>
                <w:color w:val="auto"/>
              </w:rPr>
              <w:t>表1   与《全国墙体材料烧结砖瓦行业准入条件》相符性分析一览表</w:t>
            </w:r>
          </w:p>
          <w:tbl>
            <w:tblPr>
              <w:tblStyle w:val="24"/>
              <w:tblW w:w="8824"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97"/>
              <w:gridCol w:w="4712"/>
              <w:gridCol w:w="2551"/>
              <w:gridCol w:w="86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697" w:type="dxa"/>
                  <w:shd w:val="clear" w:color="auto" w:fill="auto"/>
                  <w:vAlign w:val="center"/>
                </w:tcPr>
                <w:p>
                  <w:pPr>
                    <w:pStyle w:val="76"/>
                    <w:rPr>
                      <w:color w:val="auto"/>
                      <w:sz w:val="21"/>
                      <w:szCs w:val="21"/>
                    </w:rPr>
                  </w:pPr>
                  <w:r>
                    <w:rPr>
                      <w:rFonts w:hint="eastAsia"/>
                      <w:color w:val="auto"/>
                      <w:sz w:val="21"/>
                      <w:szCs w:val="21"/>
                    </w:rPr>
                    <w:t>序号</w:t>
                  </w:r>
                </w:p>
              </w:tc>
              <w:tc>
                <w:tcPr>
                  <w:tcW w:w="4712" w:type="dxa"/>
                  <w:shd w:val="clear" w:color="auto" w:fill="auto"/>
                  <w:vAlign w:val="center"/>
                </w:tcPr>
                <w:p>
                  <w:pPr>
                    <w:pStyle w:val="76"/>
                    <w:rPr>
                      <w:color w:val="auto"/>
                      <w:sz w:val="21"/>
                      <w:szCs w:val="21"/>
                    </w:rPr>
                  </w:pPr>
                  <w:r>
                    <w:rPr>
                      <w:rFonts w:hint="eastAsia"/>
                      <w:color w:val="auto"/>
                      <w:sz w:val="21"/>
                      <w:szCs w:val="21"/>
                    </w:rPr>
                    <w:t>准入条件</w:t>
                  </w:r>
                </w:p>
              </w:tc>
              <w:tc>
                <w:tcPr>
                  <w:tcW w:w="2551" w:type="dxa"/>
                  <w:shd w:val="clear" w:color="auto" w:fill="auto"/>
                  <w:vAlign w:val="center"/>
                </w:tcPr>
                <w:p>
                  <w:pPr>
                    <w:pStyle w:val="76"/>
                    <w:rPr>
                      <w:color w:val="auto"/>
                      <w:sz w:val="21"/>
                      <w:szCs w:val="21"/>
                    </w:rPr>
                  </w:pPr>
                  <w:r>
                    <w:rPr>
                      <w:rFonts w:hint="eastAsia"/>
                      <w:color w:val="auto"/>
                      <w:sz w:val="21"/>
                      <w:szCs w:val="21"/>
                    </w:rPr>
                    <w:t>项目情况</w:t>
                  </w:r>
                </w:p>
              </w:tc>
              <w:tc>
                <w:tcPr>
                  <w:tcW w:w="864" w:type="dxa"/>
                  <w:shd w:val="clear" w:color="auto" w:fill="auto"/>
                  <w:vAlign w:val="center"/>
                </w:tcPr>
                <w:p>
                  <w:pPr>
                    <w:pStyle w:val="76"/>
                    <w:rPr>
                      <w:color w:val="auto"/>
                      <w:sz w:val="21"/>
                      <w:szCs w:val="21"/>
                    </w:rPr>
                  </w:pPr>
                  <w:r>
                    <w:rPr>
                      <w:rFonts w:hint="eastAsia"/>
                      <w:color w:val="auto"/>
                      <w:sz w:val="21"/>
                      <w:szCs w:val="21"/>
                    </w:rPr>
                    <w:t>相符性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697" w:type="dxa"/>
                  <w:shd w:val="clear" w:color="auto" w:fill="auto"/>
                  <w:vAlign w:val="center"/>
                </w:tcPr>
                <w:p>
                  <w:pPr>
                    <w:pStyle w:val="76"/>
                    <w:rPr>
                      <w:color w:val="auto"/>
                      <w:sz w:val="21"/>
                      <w:szCs w:val="21"/>
                    </w:rPr>
                  </w:pPr>
                  <w:r>
                    <w:rPr>
                      <w:rFonts w:hint="eastAsia"/>
                      <w:color w:val="auto"/>
                      <w:sz w:val="21"/>
                      <w:szCs w:val="21"/>
                    </w:rPr>
                    <w:t>1</w:t>
                  </w:r>
                </w:p>
              </w:tc>
              <w:tc>
                <w:tcPr>
                  <w:tcW w:w="4712" w:type="dxa"/>
                  <w:shd w:val="clear" w:color="auto" w:fill="auto"/>
                  <w:vAlign w:val="center"/>
                </w:tcPr>
                <w:p>
                  <w:pPr>
                    <w:pStyle w:val="76"/>
                    <w:jc w:val="both"/>
                    <w:rPr>
                      <w:color w:val="auto"/>
                      <w:sz w:val="21"/>
                      <w:szCs w:val="21"/>
                    </w:rPr>
                  </w:pPr>
                  <w:r>
                    <w:rPr>
                      <w:rFonts w:hint="eastAsia"/>
                      <w:color w:val="auto"/>
                      <w:sz w:val="21"/>
                      <w:szCs w:val="21"/>
                    </w:rPr>
                    <w:t>新建或改建扩建（以下简称改建）烧结砖瓦生产项目，必须符合国家产业政策和产业规划，新建或改建扩建砖瓦生产企业用地，必须符合城乡规划的要求，必须符合土地利用总体规划、土地供应政策和土地使用标准的规定。严格执行环境保护有关规定，严格禁止毁田烧砖。</w:t>
                  </w:r>
                </w:p>
              </w:tc>
              <w:tc>
                <w:tcPr>
                  <w:tcW w:w="2551" w:type="dxa"/>
                  <w:shd w:val="clear" w:color="auto" w:fill="auto"/>
                  <w:vAlign w:val="center"/>
                </w:tcPr>
                <w:p>
                  <w:pPr>
                    <w:pStyle w:val="76"/>
                    <w:jc w:val="both"/>
                    <w:rPr>
                      <w:color w:val="auto"/>
                      <w:sz w:val="21"/>
                      <w:szCs w:val="21"/>
                    </w:rPr>
                  </w:pPr>
                  <w:r>
                    <w:rPr>
                      <w:rFonts w:hint="eastAsia"/>
                      <w:color w:val="auto"/>
                      <w:sz w:val="21"/>
                      <w:szCs w:val="21"/>
                    </w:rPr>
                    <w:t>本项目不属于产业政策限制类和淘汰类项目，项目位于西安市长安东部新型建材产业基地，符合土地利用规划。</w:t>
                  </w:r>
                </w:p>
              </w:tc>
              <w:tc>
                <w:tcPr>
                  <w:tcW w:w="864" w:type="dxa"/>
                  <w:shd w:val="clear" w:color="auto" w:fill="auto"/>
                  <w:vAlign w:val="center"/>
                </w:tcPr>
                <w:p>
                  <w:pPr>
                    <w:pStyle w:val="76"/>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697" w:type="dxa"/>
                  <w:shd w:val="clear" w:color="auto" w:fill="auto"/>
                  <w:vAlign w:val="center"/>
                </w:tcPr>
                <w:p>
                  <w:pPr>
                    <w:pStyle w:val="76"/>
                    <w:rPr>
                      <w:color w:val="auto"/>
                      <w:sz w:val="21"/>
                      <w:szCs w:val="21"/>
                    </w:rPr>
                  </w:pPr>
                  <w:r>
                    <w:rPr>
                      <w:rFonts w:hint="eastAsia"/>
                      <w:color w:val="auto"/>
                      <w:sz w:val="21"/>
                      <w:szCs w:val="21"/>
                    </w:rPr>
                    <w:t>2</w:t>
                  </w:r>
                </w:p>
              </w:tc>
              <w:tc>
                <w:tcPr>
                  <w:tcW w:w="4712" w:type="dxa"/>
                  <w:shd w:val="clear" w:color="auto" w:fill="auto"/>
                  <w:vAlign w:val="center"/>
                </w:tcPr>
                <w:p>
                  <w:pPr>
                    <w:pStyle w:val="76"/>
                    <w:jc w:val="both"/>
                    <w:rPr>
                      <w:color w:val="auto"/>
                      <w:sz w:val="21"/>
                      <w:szCs w:val="21"/>
                    </w:rPr>
                  </w:pPr>
                  <w:r>
                    <w:rPr>
                      <w:rFonts w:hint="eastAsia"/>
                      <w:color w:val="auto"/>
                      <w:sz w:val="21"/>
                      <w:szCs w:val="21"/>
                    </w:rPr>
                    <w:t>在国家法律、法规、行政规章及规划确定或县级以上人民政府批准的风景名胜、生态保护、自然和文化遗产以及饮用水源保护区，不得建设烧结砖瓦生产企业。</w:t>
                  </w:r>
                </w:p>
              </w:tc>
              <w:tc>
                <w:tcPr>
                  <w:tcW w:w="2551" w:type="dxa"/>
                  <w:shd w:val="clear" w:color="auto" w:fill="auto"/>
                  <w:vAlign w:val="center"/>
                </w:tcPr>
                <w:p>
                  <w:pPr>
                    <w:pStyle w:val="76"/>
                    <w:jc w:val="both"/>
                    <w:rPr>
                      <w:color w:val="auto"/>
                      <w:sz w:val="21"/>
                      <w:szCs w:val="21"/>
                    </w:rPr>
                  </w:pPr>
                  <w:r>
                    <w:rPr>
                      <w:rFonts w:hint="eastAsia"/>
                      <w:color w:val="auto"/>
                      <w:sz w:val="21"/>
                      <w:szCs w:val="21"/>
                    </w:rPr>
                    <w:t>项目不在风景名胜、生态保护、自然和文化遗产以及饮用水源保护区。</w:t>
                  </w:r>
                </w:p>
              </w:tc>
              <w:tc>
                <w:tcPr>
                  <w:tcW w:w="864" w:type="dxa"/>
                  <w:shd w:val="clear" w:color="auto" w:fill="auto"/>
                  <w:vAlign w:val="center"/>
                </w:tcPr>
                <w:p>
                  <w:pPr>
                    <w:pStyle w:val="76"/>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697" w:type="dxa"/>
                  <w:shd w:val="clear" w:color="auto" w:fill="auto"/>
                  <w:vAlign w:val="center"/>
                </w:tcPr>
                <w:p>
                  <w:pPr>
                    <w:pStyle w:val="76"/>
                    <w:rPr>
                      <w:color w:val="auto"/>
                      <w:sz w:val="21"/>
                      <w:szCs w:val="21"/>
                    </w:rPr>
                  </w:pPr>
                  <w:r>
                    <w:rPr>
                      <w:rFonts w:hint="eastAsia"/>
                      <w:color w:val="auto"/>
                      <w:sz w:val="21"/>
                      <w:szCs w:val="21"/>
                    </w:rPr>
                    <w:t>3</w:t>
                  </w:r>
                </w:p>
              </w:tc>
              <w:tc>
                <w:tcPr>
                  <w:tcW w:w="4712" w:type="dxa"/>
                  <w:shd w:val="clear" w:color="auto" w:fill="auto"/>
                  <w:vAlign w:val="center"/>
                </w:tcPr>
                <w:p>
                  <w:pPr>
                    <w:pStyle w:val="76"/>
                    <w:jc w:val="both"/>
                    <w:rPr>
                      <w:color w:val="auto"/>
                      <w:sz w:val="21"/>
                      <w:szCs w:val="21"/>
                    </w:rPr>
                  </w:pPr>
                  <w:r>
                    <w:rPr>
                      <w:rFonts w:hint="eastAsia"/>
                      <w:color w:val="auto"/>
                      <w:sz w:val="21"/>
                      <w:szCs w:val="21"/>
                    </w:rPr>
                    <w:t>经济发达地区城市和人均耕地面积低于0.8亩的城市，禁止生产粘土实心砖；粘土资源较为丰富的西部地区，要发展粘土空心制品，限制生产粘土实心砖</w:t>
                  </w:r>
                </w:p>
              </w:tc>
              <w:tc>
                <w:tcPr>
                  <w:tcW w:w="2551" w:type="dxa"/>
                  <w:shd w:val="clear" w:color="auto" w:fill="auto"/>
                  <w:vAlign w:val="center"/>
                </w:tcPr>
                <w:p>
                  <w:pPr>
                    <w:pStyle w:val="76"/>
                    <w:jc w:val="both"/>
                    <w:rPr>
                      <w:color w:val="auto"/>
                      <w:sz w:val="21"/>
                      <w:szCs w:val="21"/>
                    </w:rPr>
                  </w:pPr>
                  <w:r>
                    <w:rPr>
                      <w:rFonts w:hint="eastAsia"/>
                      <w:color w:val="auto"/>
                      <w:sz w:val="21"/>
                      <w:szCs w:val="21"/>
                    </w:rPr>
                    <w:t>本项目属于粘土资源较为丰富的西部地区，产品主要为空心砖制品</w:t>
                  </w:r>
                </w:p>
              </w:tc>
              <w:tc>
                <w:tcPr>
                  <w:tcW w:w="864" w:type="dxa"/>
                  <w:shd w:val="clear" w:color="auto" w:fill="auto"/>
                  <w:vAlign w:val="center"/>
                </w:tcPr>
                <w:p>
                  <w:pPr>
                    <w:pStyle w:val="76"/>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697" w:type="dxa"/>
                  <w:shd w:val="clear" w:color="auto" w:fill="auto"/>
                  <w:vAlign w:val="center"/>
                </w:tcPr>
                <w:p>
                  <w:pPr>
                    <w:pStyle w:val="76"/>
                    <w:rPr>
                      <w:color w:val="auto"/>
                      <w:sz w:val="21"/>
                      <w:szCs w:val="21"/>
                    </w:rPr>
                  </w:pPr>
                  <w:r>
                    <w:rPr>
                      <w:rFonts w:hint="eastAsia"/>
                      <w:color w:val="auto"/>
                      <w:sz w:val="21"/>
                      <w:szCs w:val="21"/>
                    </w:rPr>
                    <w:t>4</w:t>
                  </w:r>
                </w:p>
              </w:tc>
              <w:tc>
                <w:tcPr>
                  <w:tcW w:w="4712" w:type="dxa"/>
                  <w:shd w:val="clear" w:color="auto" w:fill="auto"/>
                  <w:vAlign w:val="center"/>
                </w:tcPr>
                <w:p>
                  <w:pPr>
                    <w:pStyle w:val="76"/>
                    <w:jc w:val="both"/>
                    <w:rPr>
                      <w:color w:val="auto"/>
                      <w:sz w:val="21"/>
                      <w:szCs w:val="21"/>
                    </w:rPr>
                  </w:pPr>
                  <w:r>
                    <w:rPr>
                      <w:rFonts w:hint="eastAsia"/>
                      <w:color w:val="auto"/>
                      <w:sz w:val="21"/>
                      <w:szCs w:val="21"/>
                    </w:rPr>
                    <w:t>烧结砖瓦企业和质量的管理必须满足《烧结砖瓦企业质量管理规程》和《烧结砖瓦企业检验室基本条件》要求，完善质量检测手段</w:t>
                  </w:r>
                </w:p>
              </w:tc>
              <w:tc>
                <w:tcPr>
                  <w:tcW w:w="2551" w:type="dxa"/>
                  <w:shd w:val="clear" w:color="auto" w:fill="auto"/>
                  <w:vAlign w:val="center"/>
                </w:tcPr>
                <w:p>
                  <w:pPr>
                    <w:pStyle w:val="76"/>
                    <w:jc w:val="both"/>
                    <w:rPr>
                      <w:color w:val="auto"/>
                      <w:sz w:val="21"/>
                      <w:szCs w:val="21"/>
                    </w:rPr>
                  </w:pPr>
                  <w:r>
                    <w:rPr>
                      <w:rFonts w:hint="eastAsia"/>
                      <w:color w:val="auto"/>
                      <w:sz w:val="21"/>
                      <w:szCs w:val="21"/>
                    </w:rPr>
                    <w:t>项目产品满足《烧结砖瓦企业检验室基本条件》要求</w:t>
                  </w:r>
                </w:p>
              </w:tc>
              <w:tc>
                <w:tcPr>
                  <w:tcW w:w="864" w:type="dxa"/>
                  <w:shd w:val="clear" w:color="auto" w:fill="auto"/>
                  <w:vAlign w:val="center"/>
                </w:tcPr>
                <w:p>
                  <w:pPr>
                    <w:pStyle w:val="76"/>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697" w:type="dxa"/>
                  <w:shd w:val="clear" w:color="auto" w:fill="auto"/>
                  <w:vAlign w:val="center"/>
                </w:tcPr>
                <w:p>
                  <w:pPr>
                    <w:pStyle w:val="76"/>
                    <w:rPr>
                      <w:color w:val="auto"/>
                      <w:sz w:val="21"/>
                      <w:szCs w:val="21"/>
                    </w:rPr>
                  </w:pPr>
                  <w:r>
                    <w:rPr>
                      <w:rFonts w:hint="eastAsia"/>
                      <w:color w:val="auto"/>
                      <w:sz w:val="21"/>
                      <w:szCs w:val="21"/>
                    </w:rPr>
                    <w:t>5</w:t>
                  </w:r>
                </w:p>
              </w:tc>
              <w:tc>
                <w:tcPr>
                  <w:tcW w:w="4712" w:type="dxa"/>
                  <w:shd w:val="clear" w:color="auto" w:fill="auto"/>
                  <w:vAlign w:val="center"/>
                </w:tcPr>
                <w:p>
                  <w:pPr>
                    <w:pStyle w:val="76"/>
                    <w:jc w:val="both"/>
                    <w:rPr>
                      <w:color w:val="auto"/>
                      <w:sz w:val="21"/>
                      <w:szCs w:val="21"/>
                    </w:rPr>
                  </w:pPr>
                  <w:r>
                    <w:rPr>
                      <w:rFonts w:hint="eastAsia"/>
                      <w:color w:val="auto"/>
                      <w:sz w:val="21"/>
                      <w:szCs w:val="21"/>
                    </w:rPr>
                    <w:t>大中城市或经济发达地区新建和改（扩）建烧结砖企业单线生产规模不小于5000万块（折普通砖）/年；其它地区单线生产规模不小于3000万块(折普通砖)/年；烧结瓦企业单线生产规模不小于70万m</w:t>
                  </w:r>
                  <w:r>
                    <w:rPr>
                      <w:rFonts w:hint="eastAsia"/>
                      <w:color w:val="auto"/>
                      <w:sz w:val="21"/>
                      <w:szCs w:val="21"/>
                      <w:vertAlign w:val="superscript"/>
                    </w:rPr>
                    <w:t>2</w:t>
                  </w:r>
                  <w:r>
                    <w:rPr>
                      <w:rFonts w:hint="eastAsia"/>
                      <w:color w:val="auto"/>
                      <w:sz w:val="21"/>
                      <w:szCs w:val="21"/>
                    </w:rPr>
                    <w:t>/年。</w:t>
                  </w:r>
                </w:p>
              </w:tc>
              <w:tc>
                <w:tcPr>
                  <w:tcW w:w="2551" w:type="dxa"/>
                  <w:shd w:val="clear" w:color="auto" w:fill="auto"/>
                  <w:vAlign w:val="center"/>
                </w:tcPr>
                <w:p>
                  <w:pPr>
                    <w:pStyle w:val="76"/>
                    <w:jc w:val="both"/>
                    <w:rPr>
                      <w:color w:val="auto"/>
                      <w:sz w:val="21"/>
                      <w:szCs w:val="21"/>
                    </w:rPr>
                  </w:pPr>
                  <w:r>
                    <w:rPr>
                      <w:rFonts w:hint="eastAsia"/>
                      <w:color w:val="auto"/>
                      <w:sz w:val="21"/>
                      <w:szCs w:val="21"/>
                    </w:rPr>
                    <w:t>项目年产15万立方，折标砖为10253万块。</w:t>
                  </w:r>
                </w:p>
              </w:tc>
              <w:tc>
                <w:tcPr>
                  <w:tcW w:w="864" w:type="dxa"/>
                  <w:shd w:val="clear" w:color="auto" w:fill="auto"/>
                  <w:vAlign w:val="center"/>
                </w:tcPr>
                <w:p>
                  <w:pPr>
                    <w:pStyle w:val="76"/>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697" w:type="dxa"/>
                  <w:shd w:val="clear" w:color="auto" w:fill="auto"/>
                  <w:vAlign w:val="center"/>
                </w:tcPr>
                <w:p>
                  <w:pPr>
                    <w:pStyle w:val="76"/>
                    <w:rPr>
                      <w:color w:val="auto"/>
                      <w:sz w:val="21"/>
                      <w:szCs w:val="21"/>
                    </w:rPr>
                  </w:pPr>
                  <w:r>
                    <w:rPr>
                      <w:rFonts w:hint="eastAsia"/>
                      <w:color w:val="auto"/>
                      <w:sz w:val="21"/>
                      <w:szCs w:val="21"/>
                    </w:rPr>
                    <w:t>6</w:t>
                  </w:r>
                </w:p>
              </w:tc>
              <w:tc>
                <w:tcPr>
                  <w:tcW w:w="4712" w:type="dxa"/>
                  <w:shd w:val="clear" w:color="auto" w:fill="auto"/>
                  <w:vAlign w:val="center"/>
                </w:tcPr>
                <w:p>
                  <w:pPr>
                    <w:pStyle w:val="76"/>
                    <w:jc w:val="both"/>
                    <w:rPr>
                      <w:color w:val="auto"/>
                      <w:sz w:val="21"/>
                      <w:szCs w:val="21"/>
                    </w:rPr>
                  </w:pPr>
                  <w:r>
                    <w:rPr>
                      <w:rFonts w:hint="eastAsia"/>
                      <w:color w:val="auto"/>
                      <w:sz w:val="21"/>
                      <w:szCs w:val="21"/>
                    </w:rPr>
                    <w:t>新建和改（扩）建烧结砖瓦企业的设计和建设，应满足节能设计要求，待（烧结砖瓦工厂节能设计规范）标准实施之日起，执行《烧结砖瓦工厂节能设计规范》标准的规定</w:t>
                  </w:r>
                </w:p>
              </w:tc>
              <w:tc>
                <w:tcPr>
                  <w:tcW w:w="2551" w:type="dxa"/>
                  <w:shd w:val="clear" w:color="auto" w:fill="auto"/>
                  <w:vAlign w:val="center"/>
                </w:tcPr>
                <w:p>
                  <w:pPr>
                    <w:pStyle w:val="76"/>
                    <w:jc w:val="both"/>
                    <w:rPr>
                      <w:color w:val="auto"/>
                      <w:sz w:val="21"/>
                      <w:szCs w:val="21"/>
                    </w:rPr>
                  </w:pPr>
                  <w:r>
                    <w:rPr>
                      <w:rFonts w:hint="eastAsia"/>
                      <w:color w:val="auto"/>
                      <w:sz w:val="21"/>
                      <w:szCs w:val="21"/>
                    </w:rPr>
                    <w:t>项目设计满足《烧结砖瓦工厂节能设计规范》的规定</w:t>
                  </w:r>
                </w:p>
              </w:tc>
              <w:tc>
                <w:tcPr>
                  <w:tcW w:w="864" w:type="dxa"/>
                  <w:shd w:val="clear" w:color="auto" w:fill="auto"/>
                  <w:vAlign w:val="center"/>
                </w:tcPr>
                <w:p>
                  <w:pPr>
                    <w:pStyle w:val="76"/>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697" w:type="dxa"/>
                  <w:shd w:val="clear" w:color="auto" w:fill="auto"/>
                  <w:vAlign w:val="center"/>
                </w:tcPr>
                <w:p>
                  <w:pPr>
                    <w:pStyle w:val="76"/>
                    <w:rPr>
                      <w:color w:val="auto"/>
                      <w:sz w:val="21"/>
                      <w:szCs w:val="21"/>
                    </w:rPr>
                  </w:pPr>
                  <w:r>
                    <w:rPr>
                      <w:rFonts w:hint="eastAsia"/>
                      <w:color w:val="auto"/>
                      <w:sz w:val="21"/>
                      <w:szCs w:val="21"/>
                    </w:rPr>
                    <w:t>7</w:t>
                  </w:r>
                </w:p>
              </w:tc>
              <w:tc>
                <w:tcPr>
                  <w:tcW w:w="4712" w:type="dxa"/>
                  <w:shd w:val="clear" w:color="auto" w:fill="auto"/>
                  <w:vAlign w:val="center"/>
                </w:tcPr>
                <w:p>
                  <w:pPr>
                    <w:pStyle w:val="76"/>
                    <w:jc w:val="both"/>
                    <w:rPr>
                      <w:color w:val="auto"/>
                      <w:sz w:val="21"/>
                      <w:szCs w:val="21"/>
                    </w:rPr>
                  </w:pPr>
                  <w:r>
                    <w:rPr>
                      <w:rFonts w:hint="eastAsia"/>
                      <w:color w:val="auto"/>
                      <w:sz w:val="21"/>
                      <w:szCs w:val="21"/>
                    </w:rPr>
                    <w:t>新建和改（扩）建烧结砖瓦企业必须采用人工干燥和隧道窑的生产工艺</w:t>
                  </w:r>
                </w:p>
              </w:tc>
              <w:tc>
                <w:tcPr>
                  <w:tcW w:w="2551" w:type="dxa"/>
                  <w:shd w:val="clear" w:color="auto" w:fill="auto"/>
                  <w:vAlign w:val="center"/>
                </w:tcPr>
                <w:p>
                  <w:pPr>
                    <w:pStyle w:val="76"/>
                    <w:jc w:val="both"/>
                    <w:rPr>
                      <w:color w:val="auto"/>
                      <w:sz w:val="21"/>
                      <w:szCs w:val="21"/>
                    </w:rPr>
                  </w:pPr>
                  <w:r>
                    <w:rPr>
                      <w:rFonts w:hint="eastAsia"/>
                      <w:color w:val="auto"/>
                      <w:sz w:val="21"/>
                      <w:szCs w:val="21"/>
                    </w:rPr>
                    <w:t>项目生产采用隧道窑工艺生产</w:t>
                  </w:r>
                </w:p>
              </w:tc>
              <w:tc>
                <w:tcPr>
                  <w:tcW w:w="864" w:type="dxa"/>
                  <w:shd w:val="clear" w:color="auto" w:fill="auto"/>
                  <w:vAlign w:val="center"/>
                </w:tcPr>
                <w:p>
                  <w:pPr>
                    <w:pStyle w:val="76"/>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697" w:type="dxa"/>
                  <w:shd w:val="clear" w:color="auto" w:fill="auto"/>
                  <w:vAlign w:val="center"/>
                </w:tcPr>
                <w:p>
                  <w:pPr>
                    <w:pStyle w:val="76"/>
                    <w:rPr>
                      <w:color w:val="auto"/>
                      <w:sz w:val="21"/>
                      <w:szCs w:val="21"/>
                    </w:rPr>
                  </w:pPr>
                  <w:r>
                    <w:rPr>
                      <w:rFonts w:hint="eastAsia"/>
                      <w:color w:val="auto"/>
                      <w:sz w:val="21"/>
                      <w:szCs w:val="21"/>
                    </w:rPr>
                    <w:t>8</w:t>
                  </w:r>
                </w:p>
              </w:tc>
              <w:tc>
                <w:tcPr>
                  <w:tcW w:w="4712" w:type="dxa"/>
                  <w:shd w:val="clear" w:color="auto" w:fill="auto"/>
                  <w:vAlign w:val="center"/>
                </w:tcPr>
                <w:p>
                  <w:pPr>
                    <w:pStyle w:val="76"/>
                    <w:jc w:val="both"/>
                    <w:rPr>
                      <w:color w:val="auto"/>
                      <w:sz w:val="21"/>
                      <w:szCs w:val="21"/>
                    </w:rPr>
                  </w:pPr>
                  <w:r>
                    <w:rPr>
                      <w:rFonts w:hint="eastAsia"/>
                      <w:color w:val="auto"/>
                      <w:sz w:val="21"/>
                      <w:szCs w:val="21"/>
                    </w:rPr>
                    <w:t>新建和改（扩）建隧道窑的宽度必须在3m以上（含3m），正常生产时。窑体维护结构温度无阳光照射时外墙不高于环境温度5℃，窑顶不高于环境温度8℃。以煤矸石等含热能工业废渣为原料且不用商品燃料补充热量、余热充分利用后仍有富余的可不作要求</w:t>
                  </w:r>
                </w:p>
              </w:tc>
              <w:tc>
                <w:tcPr>
                  <w:tcW w:w="2551" w:type="dxa"/>
                  <w:shd w:val="clear" w:color="auto" w:fill="auto"/>
                  <w:vAlign w:val="center"/>
                </w:tcPr>
                <w:p>
                  <w:pPr>
                    <w:pStyle w:val="76"/>
                    <w:jc w:val="both"/>
                    <w:rPr>
                      <w:color w:val="auto"/>
                      <w:sz w:val="21"/>
                      <w:szCs w:val="21"/>
                    </w:rPr>
                  </w:pPr>
                  <w:r>
                    <w:rPr>
                      <w:rFonts w:hint="eastAsia"/>
                      <w:color w:val="auto"/>
                      <w:sz w:val="21"/>
                      <w:szCs w:val="21"/>
                    </w:rPr>
                    <w:t>本项目窑体宽度为6.6m，维护结构温度无阳光照射时外墙不高于环境温度5℃，窑顶不高于环境温度8℃。</w:t>
                  </w:r>
                </w:p>
              </w:tc>
              <w:tc>
                <w:tcPr>
                  <w:tcW w:w="864" w:type="dxa"/>
                  <w:shd w:val="clear" w:color="auto" w:fill="auto"/>
                  <w:vAlign w:val="center"/>
                </w:tcPr>
                <w:p>
                  <w:pPr>
                    <w:pStyle w:val="76"/>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697" w:type="dxa"/>
                  <w:shd w:val="clear" w:color="auto" w:fill="auto"/>
                  <w:vAlign w:val="center"/>
                </w:tcPr>
                <w:p>
                  <w:pPr>
                    <w:pStyle w:val="76"/>
                    <w:rPr>
                      <w:color w:val="auto"/>
                      <w:sz w:val="21"/>
                      <w:szCs w:val="21"/>
                    </w:rPr>
                  </w:pPr>
                  <w:r>
                    <w:rPr>
                      <w:rFonts w:hint="eastAsia"/>
                      <w:color w:val="auto"/>
                      <w:sz w:val="21"/>
                      <w:szCs w:val="21"/>
                    </w:rPr>
                    <w:t>9</w:t>
                  </w:r>
                </w:p>
              </w:tc>
              <w:tc>
                <w:tcPr>
                  <w:tcW w:w="4712" w:type="dxa"/>
                  <w:shd w:val="clear" w:color="auto" w:fill="auto"/>
                  <w:vAlign w:val="center"/>
                </w:tcPr>
                <w:p>
                  <w:pPr>
                    <w:pStyle w:val="76"/>
                    <w:jc w:val="both"/>
                    <w:rPr>
                      <w:color w:val="auto"/>
                      <w:sz w:val="21"/>
                      <w:szCs w:val="21"/>
                    </w:rPr>
                  </w:pPr>
                  <w:r>
                    <w:rPr>
                      <w:rFonts w:hint="eastAsia"/>
                      <w:color w:val="auto"/>
                      <w:sz w:val="21"/>
                      <w:szCs w:val="21"/>
                    </w:rPr>
                    <w:t>新建和改（扩）建烧结砖瓦企业应采用正常挤出压力2.0MPa以上、真空度≤-0.092MPa的真空挤出机。</w:t>
                  </w:r>
                </w:p>
              </w:tc>
              <w:tc>
                <w:tcPr>
                  <w:tcW w:w="2551" w:type="dxa"/>
                  <w:shd w:val="clear" w:color="auto" w:fill="auto"/>
                  <w:vAlign w:val="center"/>
                </w:tcPr>
                <w:p>
                  <w:pPr>
                    <w:pStyle w:val="76"/>
                    <w:jc w:val="both"/>
                    <w:rPr>
                      <w:color w:val="auto"/>
                      <w:sz w:val="21"/>
                      <w:szCs w:val="21"/>
                    </w:rPr>
                  </w:pPr>
                  <w:r>
                    <w:rPr>
                      <w:rFonts w:hint="eastAsia"/>
                      <w:color w:val="auto"/>
                      <w:sz w:val="21"/>
                      <w:szCs w:val="21"/>
                    </w:rPr>
                    <w:t>项目采用双极真空挤出机，基础压力2.0~3.0MPa以上、真空度≤-0.092MPa</w:t>
                  </w:r>
                </w:p>
              </w:tc>
              <w:tc>
                <w:tcPr>
                  <w:tcW w:w="864" w:type="dxa"/>
                  <w:shd w:val="clear" w:color="auto" w:fill="auto"/>
                  <w:vAlign w:val="center"/>
                </w:tcPr>
                <w:p>
                  <w:pPr>
                    <w:pStyle w:val="76"/>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697" w:type="dxa"/>
                  <w:shd w:val="clear" w:color="auto" w:fill="auto"/>
                  <w:vAlign w:val="center"/>
                </w:tcPr>
                <w:p>
                  <w:pPr>
                    <w:pStyle w:val="76"/>
                    <w:rPr>
                      <w:color w:val="auto"/>
                      <w:sz w:val="21"/>
                      <w:szCs w:val="21"/>
                    </w:rPr>
                  </w:pPr>
                  <w:r>
                    <w:rPr>
                      <w:rFonts w:hint="eastAsia"/>
                      <w:color w:val="auto"/>
                      <w:sz w:val="21"/>
                      <w:szCs w:val="21"/>
                    </w:rPr>
                    <w:t>10</w:t>
                  </w:r>
                </w:p>
              </w:tc>
              <w:tc>
                <w:tcPr>
                  <w:tcW w:w="4712" w:type="dxa"/>
                  <w:shd w:val="clear" w:color="auto" w:fill="auto"/>
                  <w:vAlign w:val="center"/>
                </w:tcPr>
                <w:p>
                  <w:pPr>
                    <w:pStyle w:val="76"/>
                    <w:jc w:val="both"/>
                    <w:rPr>
                      <w:color w:val="auto"/>
                      <w:sz w:val="21"/>
                      <w:szCs w:val="21"/>
                    </w:rPr>
                  </w:pPr>
                  <w:r>
                    <w:rPr>
                      <w:rFonts w:hint="eastAsia"/>
                      <w:color w:val="auto"/>
                      <w:sz w:val="21"/>
                      <w:szCs w:val="21"/>
                    </w:rPr>
                    <w:t>烧结多孔砖应符合GB13544（烧结多孔砖）标准的规定。</w:t>
                  </w:r>
                </w:p>
              </w:tc>
              <w:tc>
                <w:tcPr>
                  <w:tcW w:w="2551" w:type="dxa"/>
                  <w:shd w:val="clear" w:color="auto" w:fill="auto"/>
                  <w:vAlign w:val="center"/>
                </w:tcPr>
                <w:p>
                  <w:pPr>
                    <w:pStyle w:val="76"/>
                    <w:jc w:val="both"/>
                    <w:rPr>
                      <w:color w:val="auto"/>
                      <w:sz w:val="21"/>
                      <w:szCs w:val="21"/>
                    </w:rPr>
                  </w:pPr>
                  <w:r>
                    <w:rPr>
                      <w:rFonts w:hint="eastAsia"/>
                      <w:color w:val="auto"/>
                      <w:sz w:val="21"/>
                      <w:szCs w:val="21"/>
                    </w:rPr>
                    <w:t>项目多孔砖产品满足《烧结多孔砖和多空砌块》（GB13544-2011）标准的规定。</w:t>
                  </w:r>
                </w:p>
              </w:tc>
              <w:tc>
                <w:tcPr>
                  <w:tcW w:w="864" w:type="dxa"/>
                  <w:shd w:val="clear" w:color="auto" w:fill="auto"/>
                  <w:vAlign w:val="center"/>
                </w:tcPr>
                <w:p>
                  <w:pPr>
                    <w:pStyle w:val="76"/>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697" w:type="dxa"/>
                  <w:shd w:val="clear" w:color="auto" w:fill="auto"/>
                  <w:vAlign w:val="center"/>
                </w:tcPr>
                <w:p>
                  <w:pPr>
                    <w:pStyle w:val="76"/>
                    <w:rPr>
                      <w:color w:val="auto"/>
                      <w:sz w:val="21"/>
                      <w:szCs w:val="21"/>
                    </w:rPr>
                  </w:pPr>
                  <w:r>
                    <w:rPr>
                      <w:rFonts w:hint="eastAsia"/>
                      <w:color w:val="auto"/>
                      <w:sz w:val="21"/>
                      <w:szCs w:val="21"/>
                    </w:rPr>
                    <w:t>11</w:t>
                  </w:r>
                </w:p>
              </w:tc>
              <w:tc>
                <w:tcPr>
                  <w:tcW w:w="4712" w:type="dxa"/>
                  <w:shd w:val="clear" w:color="auto" w:fill="auto"/>
                  <w:vAlign w:val="center"/>
                </w:tcPr>
                <w:p>
                  <w:pPr>
                    <w:pStyle w:val="76"/>
                    <w:jc w:val="both"/>
                    <w:rPr>
                      <w:color w:val="auto"/>
                      <w:sz w:val="21"/>
                      <w:szCs w:val="21"/>
                    </w:rPr>
                  </w:pPr>
                  <w:r>
                    <w:rPr>
                      <w:rFonts w:hint="eastAsia"/>
                      <w:color w:val="auto"/>
                      <w:sz w:val="21"/>
                      <w:szCs w:val="21"/>
                    </w:rPr>
                    <w:t>烧结空心砖和空心砌块应符合GB13545（烧结空心砖和空心砌块）标准的规定。</w:t>
                  </w:r>
                </w:p>
              </w:tc>
              <w:tc>
                <w:tcPr>
                  <w:tcW w:w="2551" w:type="dxa"/>
                  <w:shd w:val="clear" w:color="auto" w:fill="auto"/>
                  <w:vAlign w:val="center"/>
                </w:tcPr>
                <w:p>
                  <w:pPr>
                    <w:pStyle w:val="76"/>
                    <w:jc w:val="both"/>
                    <w:rPr>
                      <w:color w:val="auto"/>
                      <w:sz w:val="21"/>
                      <w:szCs w:val="21"/>
                    </w:rPr>
                  </w:pPr>
                  <w:r>
                    <w:rPr>
                      <w:rFonts w:hint="eastAsia"/>
                      <w:color w:val="auto"/>
                      <w:sz w:val="21"/>
                      <w:szCs w:val="21"/>
                    </w:rPr>
                    <w:t>项目空心砌块产品满足《烧结多孔砖和空心砌块》（GB13545-2014）标准的规定</w:t>
                  </w:r>
                </w:p>
              </w:tc>
              <w:tc>
                <w:tcPr>
                  <w:tcW w:w="864" w:type="dxa"/>
                  <w:shd w:val="clear" w:color="auto" w:fill="auto"/>
                  <w:vAlign w:val="center"/>
                </w:tcPr>
                <w:p>
                  <w:pPr>
                    <w:pStyle w:val="76"/>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697" w:type="dxa"/>
                  <w:shd w:val="clear" w:color="auto" w:fill="auto"/>
                  <w:vAlign w:val="center"/>
                </w:tcPr>
                <w:p>
                  <w:pPr>
                    <w:pStyle w:val="76"/>
                    <w:rPr>
                      <w:color w:val="auto"/>
                      <w:sz w:val="21"/>
                      <w:szCs w:val="21"/>
                    </w:rPr>
                  </w:pPr>
                  <w:r>
                    <w:rPr>
                      <w:rFonts w:hint="eastAsia"/>
                      <w:color w:val="auto"/>
                      <w:sz w:val="21"/>
                      <w:szCs w:val="21"/>
                    </w:rPr>
                    <w:t>12</w:t>
                  </w:r>
                </w:p>
              </w:tc>
              <w:tc>
                <w:tcPr>
                  <w:tcW w:w="4712" w:type="dxa"/>
                  <w:shd w:val="clear" w:color="auto" w:fill="auto"/>
                  <w:vAlign w:val="center"/>
                </w:tcPr>
                <w:p>
                  <w:pPr>
                    <w:pStyle w:val="76"/>
                    <w:jc w:val="both"/>
                    <w:rPr>
                      <w:color w:val="auto"/>
                      <w:sz w:val="21"/>
                      <w:szCs w:val="21"/>
                    </w:rPr>
                  </w:pPr>
                  <w:r>
                    <w:rPr>
                      <w:rFonts w:hint="eastAsia"/>
                      <w:color w:val="auto"/>
                      <w:sz w:val="21"/>
                      <w:szCs w:val="21"/>
                    </w:rPr>
                    <w:t>烧结复合保温砖和砌块及其它烧结砖新产品符合相关国家标准、行业标准和地方标准的规定。</w:t>
                  </w:r>
                </w:p>
              </w:tc>
              <w:tc>
                <w:tcPr>
                  <w:tcW w:w="2551" w:type="dxa"/>
                  <w:shd w:val="clear" w:color="auto" w:fill="auto"/>
                  <w:vAlign w:val="center"/>
                </w:tcPr>
                <w:p>
                  <w:pPr>
                    <w:pStyle w:val="76"/>
                    <w:jc w:val="both"/>
                    <w:rPr>
                      <w:color w:val="auto"/>
                      <w:sz w:val="21"/>
                      <w:szCs w:val="21"/>
                    </w:rPr>
                  </w:pPr>
                  <w:r>
                    <w:rPr>
                      <w:rFonts w:hint="eastAsia"/>
                      <w:color w:val="auto"/>
                      <w:sz w:val="21"/>
                      <w:szCs w:val="21"/>
                    </w:rPr>
                    <w:t>项目保温砌块产品满足《烧结保温砖和保温砌块》（GB26538-2011）标准的规定</w:t>
                  </w:r>
                </w:p>
              </w:tc>
              <w:tc>
                <w:tcPr>
                  <w:tcW w:w="864" w:type="dxa"/>
                  <w:shd w:val="clear" w:color="auto" w:fill="auto"/>
                  <w:vAlign w:val="center"/>
                </w:tcPr>
                <w:p>
                  <w:pPr>
                    <w:pStyle w:val="76"/>
                    <w:rPr>
                      <w:color w:val="auto"/>
                      <w:sz w:val="21"/>
                      <w:szCs w:val="21"/>
                    </w:rPr>
                  </w:pPr>
                  <w:r>
                    <w:rPr>
                      <w:rFonts w:hint="eastAsia"/>
                      <w:color w:val="auto"/>
                      <w:sz w:val="21"/>
                      <w:szCs w:val="21"/>
                    </w:rPr>
                    <w:t>符合</w:t>
                  </w:r>
                </w:p>
              </w:tc>
            </w:tr>
          </w:tbl>
          <w:p>
            <w:pPr>
              <w:spacing w:line="360" w:lineRule="auto"/>
              <w:ind w:firstLine="480" w:firstLineChars="200"/>
              <w:rPr>
                <w:rFonts w:hAnsi="宋体"/>
                <w:color w:val="auto"/>
                <w:sz w:val="24"/>
              </w:rPr>
            </w:pPr>
            <w:r>
              <w:rPr>
                <w:rFonts w:hint="eastAsia" w:hAnsi="宋体"/>
                <w:color w:val="auto"/>
                <w:sz w:val="24"/>
              </w:rPr>
              <w:t>（3）</w:t>
            </w:r>
            <w:r>
              <w:rPr>
                <w:rFonts w:hint="eastAsia"/>
                <w:color w:val="auto"/>
                <w:sz w:val="24"/>
              </w:rPr>
              <w:t>与《长安东部新型建材产业基地总体规划》相符性分析</w:t>
            </w:r>
          </w:p>
          <w:p>
            <w:pPr>
              <w:spacing w:line="360" w:lineRule="auto"/>
              <w:ind w:firstLine="480" w:firstLineChars="200"/>
              <w:rPr>
                <w:color w:val="auto"/>
                <w:sz w:val="24"/>
              </w:rPr>
            </w:pPr>
            <w:r>
              <w:rPr>
                <w:rFonts w:hint="eastAsia" w:hAnsi="宋体"/>
                <w:color w:val="auto"/>
                <w:sz w:val="24"/>
              </w:rPr>
              <w:t>规划范围：根据</w:t>
            </w:r>
            <w:r>
              <w:rPr>
                <w:rFonts w:hint="eastAsia"/>
                <w:color w:val="auto"/>
                <w:sz w:val="24"/>
              </w:rPr>
              <w:t>《长安东部新型建材产业基地总体规划（2014-2020年）》，产业基地总体规划范围：东至长安与蓝田交界处，南至魏寨街道彭村，西至鸣犊街道侯坪村，北至南横线，规划面积2.51km</w:t>
            </w:r>
            <w:r>
              <w:rPr>
                <w:rFonts w:hint="eastAsia"/>
                <w:color w:val="auto"/>
                <w:sz w:val="24"/>
                <w:vertAlign w:val="superscript"/>
              </w:rPr>
              <w:t>2</w:t>
            </w:r>
            <w:r>
              <w:rPr>
                <w:rFonts w:hint="eastAsia"/>
                <w:color w:val="auto"/>
                <w:sz w:val="24"/>
              </w:rPr>
              <w:t>。本项目位于规划区内四号地块，与《长安东部新型建材产业基地总体规划》相符，产业基地总体规划见附图</w:t>
            </w:r>
            <w:r>
              <w:rPr>
                <w:color w:val="auto"/>
                <w:sz w:val="24"/>
              </w:rPr>
              <w:t>2</w:t>
            </w:r>
            <w:r>
              <w:rPr>
                <w:rFonts w:hint="eastAsia"/>
                <w:color w:val="auto"/>
                <w:sz w:val="24"/>
              </w:rPr>
              <w:t>。</w:t>
            </w:r>
          </w:p>
          <w:p>
            <w:pPr>
              <w:spacing w:line="360" w:lineRule="auto"/>
              <w:ind w:firstLine="480" w:firstLineChars="200"/>
              <w:rPr>
                <w:color w:val="auto"/>
                <w:sz w:val="24"/>
              </w:rPr>
            </w:pPr>
            <w:r>
              <w:rPr>
                <w:rFonts w:hint="eastAsia"/>
                <w:color w:val="auto"/>
                <w:sz w:val="24"/>
              </w:rPr>
              <w:t>产业定位：产业基地立足区内产业基础，拓展延伸产业链，做大做强新型建材、墙材等主导产业，力争建设服务关中乃至西北地区的家居建材生产、加工建材产业基地。</w:t>
            </w:r>
          </w:p>
          <w:p>
            <w:pPr>
              <w:spacing w:line="360" w:lineRule="auto"/>
              <w:ind w:firstLine="480" w:firstLineChars="200"/>
              <w:rPr>
                <w:color w:val="auto"/>
                <w:sz w:val="24"/>
              </w:rPr>
            </w:pPr>
            <w:r>
              <w:rPr>
                <w:rFonts w:hint="eastAsia"/>
                <w:color w:val="auto"/>
                <w:sz w:val="24"/>
              </w:rPr>
              <w:t>本项目属于新型墙体项目，为园区主导产业。</w:t>
            </w:r>
          </w:p>
          <w:p>
            <w:pPr>
              <w:spacing w:line="360" w:lineRule="auto"/>
              <w:ind w:firstLine="480" w:firstLineChars="200"/>
              <w:rPr>
                <w:color w:val="auto"/>
                <w:sz w:val="24"/>
              </w:rPr>
            </w:pPr>
            <w:r>
              <w:rPr>
                <w:rFonts w:hint="eastAsia"/>
                <w:color w:val="auto"/>
                <w:sz w:val="24"/>
              </w:rPr>
              <w:t>给水工程：产业基地现状采用地下水源，各企业全部采用自备井供给。远期产业基地建立配水厂合理取用地下水资源，统一调配科学供给，严禁超采。</w:t>
            </w:r>
          </w:p>
          <w:p>
            <w:pPr>
              <w:spacing w:line="360" w:lineRule="auto"/>
              <w:ind w:firstLine="480" w:firstLineChars="200"/>
              <w:rPr>
                <w:color w:val="auto"/>
                <w:sz w:val="24"/>
              </w:rPr>
            </w:pPr>
            <w:r>
              <w:rPr>
                <w:rFonts w:hint="eastAsia"/>
                <w:color w:val="auto"/>
                <w:sz w:val="24"/>
              </w:rPr>
              <w:t>本项目用水近期采用自备井供给，远期用水依托园区供水系统供水。</w:t>
            </w:r>
          </w:p>
          <w:p>
            <w:pPr>
              <w:spacing w:line="360" w:lineRule="auto"/>
              <w:ind w:firstLine="480" w:firstLineChars="200"/>
              <w:rPr>
                <w:color w:val="auto"/>
                <w:sz w:val="24"/>
              </w:rPr>
            </w:pPr>
            <w:r>
              <w:rPr>
                <w:rFonts w:hint="eastAsia"/>
                <w:color w:val="auto"/>
                <w:sz w:val="24"/>
              </w:rPr>
              <w:t>排水工程：产业基地现状无污水处理厂，远期结合魏寨街道办总体规划建设污水处理厂，污水处理厂处理规模为500m</w:t>
            </w:r>
            <w:r>
              <w:rPr>
                <w:rFonts w:hint="eastAsia"/>
                <w:color w:val="auto"/>
                <w:sz w:val="24"/>
                <w:vertAlign w:val="superscript"/>
              </w:rPr>
              <w:t>3</w:t>
            </w:r>
            <w:r>
              <w:rPr>
                <w:rFonts w:hint="eastAsia"/>
                <w:color w:val="auto"/>
                <w:sz w:val="24"/>
              </w:rPr>
              <w:t>/d，用于处理基地及魏寨乡的污水。</w:t>
            </w:r>
          </w:p>
          <w:p>
            <w:pPr>
              <w:spacing w:line="360" w:lineRule="auto"/>
              <w:ind w:firstLine="480" w:firstLineChars="200"/>
              <w:rPr>
                <w:color w:val="auto"/>
                <w:sz w:val="24"/>
              </w:rPr>
            </w:pPr>
            <w:r>
              <w:rPr>
                <w:rFonts w:hint="eastAsia"/>
                <w:color w:val="auto"/>
                <w:sz w:val="24"/>
              </w:rPr>
              <w:t>本项目无生产废水产生，生活污水经化粪池储存后定期清掏，不外排。</w:t>
            </w:r>
          </w:p>
          <w:p>
            <w:pPr>
              <w:spacing w:line="360" w:lineRule="auto"/>
              <w:ind w:firstLine="480" w:firstLineChars="200"/>
              <w:rPr>
                <w:color w:val="auto"/>
                <w:sz w:val="24"/>
              </w:rPr>
            </w:pPr>
            <w:r>
              <w:rPr>
                <w:rFonts w:hint="eastAsia"/>
                <w:color w:val="auto"/>
                <w:sz w:val="24"/>
              </w:rPr>
              <w:t>供电工程：产业基地近期电源由引镇110kV变提供，通过架空电力线路引入产业基地，远期结合魏寨街办总体规划，新增110kV变电站一座。</w:t>
            </w:r>
          </w:p>
          <w:p>
            <w:pPr>
              <w:spacing w:line="360" w:lineRule="auto"/>
              <w:ind w:firstLine="480" w:firstLineChars="200"/>
              <w:rPr>
                <w:color w:val="auto"/>
                <w:sz w:val="24"/>
              </w:rPr>
            </w:pPr>
            <w:r>
              <w:rPr>
                <w:rFonts w:hint="eastAsia"/>
                <w:color w:val="auto"/>
                <w:sz w:val="24"/>
              </w:rPr>
              <w:t>项目电源由引镇110kV变提供。厂区设置配电室1座，配备200KVA变压器1台。</w:t>
            </w:r>
          </w:p>
          <w:p>
            <w:pPr>
              <w:spacing w:line="360" w:lineRule="auto"/>
              <w:ind w:firstLine="480" w:firstLineChars="200"/>
              <w:rPr>
                <w:rFonts w:hAnsi="宋体"/>
                <w:color w:val="auto"/>
                <w:sz w:val="24"/>
              </w:rPr>
            </w:pPr>
            <w:r>
              <w:rPr>
                <w:rFonts w:hint="eastAsia" w:hAnsi="宋体"/>
                <w:color w:val="auto"/>
                <w:sz w:val="24"/>
              </w:rPr>
              <w:t>（4）</w:t>
            </w:r>
            <w:r>
              <w:rPr>
                <w:rFonts w:hint="eastAsia"/>
                <w:color w:val="auto"/>
                <w:sz w:val="24"/>
              </w:rPr>
              <w:t>与《长安东部新型建材产业基地总体规划环评》</w:t>
            </w:r>
            <w:r>
              <w:rPr>
                <w:rFonts w:hint="eastAsia" w:hAnsi="宋体"/>
                <w:color w:val="auto"/>
                <w:sz w:val="24"/>
              </w:rPr>
              <w:t>相符性分析</w:t>
            </w:r>
          </w:p>
          <w:p>
            <w:pPr>
              <w:spacing w:line="360" w:lineRule="auto"/>
              <w:ind w:firstLine="480" w:firstLineChars="200"/>
              <w:rPr>
                <w:rFonts w:hAnsi="宋体"/>
                <w:color w:val="auto"/>
                <w:sz w:val="24"/>
              </w:rPr>
            </w:pPr>
            <w:r>
              <w:rPr>
                <w:rFonts w:hint="eastAsia" w:hAnsi="宋体"/>
                <w:color w:val="auto"/>
                <w:sz w:val="24"/>
              </w:rPr>
              <w:t>根据</w:t>
            </w:r>
            <w:r>
              <w:rPr>
                <w:rFonts w:hint="eastAsia"/>
                <w:color w:val="auto"/>
                <w:sz w:val="24"/>
              </w:rPr>
              <w:t>《长安东部新型建材产业基地总体规划环境影响报告书》，产业基地入区企业条件如下</w:t>
            </w:r>
            <w:r>
              <w:rPr>
                <w:rFonts w:hint="eastAsia" w:hAnsi="宋体"/>
                <w:color w:val="auto"/>
                <w:sz w:val="24"/>
              </w:rPr>
              <w:t>。</w:t>
            </w:r>
          </w:p>
          <w:p>
            <w:pPr>
              <w:jc w:val="center"/>
              <w:rPr>
                <w:b/>
                <w:color w:val="auto"/>
              </w:rPr>
            </w:pPr>
            <w:r>
              <w:rPr>
                <w:rFonts w:hint="eastAsia"/>
                <w:b/>
                <w:color w:val="auto"/>
              </w:rPr>
              <w:t>表2   项目与园区条件相符性分析</w:t>
            </w:r>
          </w:p>
          <w:tbl>
            <w:tblPr>
              <w:tblStyle w:val="24"/>
              <w:tblW w:w="89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5"/>
              <w:gridCol w:w="698"/>
              <w:gridCol w:w="3339"/>
              <w:gridCol w:w="3061"/>
              <w:gridCol w:w="11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95" w:type="dxa"/>
                  <w:vAlign w:val="center"/>
                </w:tcPr>
                <w:p>
                  <w:pPr>
                    <w:pStyle w:val="76"/>
                    <w:rPr>
                      <w:color w:val="auto"/>
                      <w:sz w:val="21"/>
                      <w:szCs w:val="21"/>
                    </w:rPr>
                  </w:pPr>
                  <w:r>
                    <w:rPr>
                      <w:rFonts w:hint="eastAsia"/>
                      <w:color w:val="auto"/>
                      <w:sz w:val="21"/>
                      <w:szCs w:val="21"/>
                    </w:rPr>
                    <w:t>序号</w:t>
                  </w:r>
                </w:p>
              </w:tc>
              <w:tc>
                <w:tcPr>
                  <w:tcW w:w="698" w:type="dxa"/>
                  <w:vAlign w:val="center"/>
                </w:tcPr>
                <w:p>
                  <w:pPr>
                    <w:pStyle w:val="76"/>
                    <w:rPr>
                      <w:color w:val="auto"/>
                      <w:sz w:val="21"/>
                      <w:szCs w:val="21"/>
                    </w:rPr>
                  </w:pPr>
                  <w:r>
                    <w:rPr>
                      <w:rFonts w:hint="eastAsia"/>
                      <w:color w:val="auto"/>
                      <w:sz w:val="21"/>
                      <w:szCs w:val="21"/>
                    </w:rPr>
                    <w:t>类型</w:t>
                  </w:r>
                </w:p>
              </w:tc>
              <w:tc>
                <w:tcPr>
                  <w:tcW w:w="3339" w:type="dxa"/>
                  <w:vAlign w:val="center"/>
                </w:tcPr>
                <w:p>
                  <w:pPr>
                    <w:pStyle w:val="76"/>
                    <w:rPr>
                      <w:color w:val="auto"/>
                      <w:sz w:val="21"/>
                      <w:szCs w:val="21"/>
                    </w:rPr>
                  </w:pPr>
                  <w:r>
                    <w:rPr>
                      <w:rFonts w:hint="eastAsia"/>
                      <w:color w:val="auto"/>
                      <w:sz w:val="21"/>
                      <w:szCs w:val="21"/>
                    </w:rPr>
                    <w:t>园区条件</w:t>
                  </w:r>
                </w:p>
              </w:tc>
              <w:tc>
                <w:tcPr>
                  <w:tcW w:w="3061" w:type="dxa"/>
                  <w:vAlign w:val="center"/>
                </w:tcPr>
                <w:p>
                  <w:pPr>
                    <w:pStyle w:val="76"/>
                    <w:rPr>
                      <w:color w:val="auto"/>
                      <w:sz w:val="21"/>
                      <w:szCs w:val="21"/>
                    </w:rPr>
                  </w:pPr>
                  <w:r>
                    <w:rPr>
                      <w:rFonts w:hint="eastAsia"/>
                      <w:color w:val="auto"/>
                      <w:sz w:val="21"/>
                      <w:szCs w:val="21"/>
                    </w:rPr>
                    <w:t>相符性</w:t>
                  </w:r>
                </w:p>
              </w:tc>
              <w:tc>
                <w:tcPr>
                  <w:tcW w:w="1111" w:type="dxa"/>
                  <w:vAlign w:val="center"/>
                </w:tcPr>
                <w:p>
                  <w:pPr>
                    <w:pStyle w:val="76"/>
                    <w:rPr>
                      <w:color w:val="auto"/>
                      <w:sz w:val="21"/>
                      <w:szCs w:val="21"/>
                    </w:rPr>
                  </w:pPr>
                  <w:r>
                    <w:rPr>
                      <w:rFonts w:hint="eastAsia"/>
                      <w:color w:val="auto"/>
                      <w:sz w:val="21"/>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5" w:type="dxa"/>
                  <w:vAlign w:val="center"/>
                </w:tcPr>
                <w:p>
                  <w:pPr>
                    <w:pStyle w:val="76"/>
                    <w:rPr>
                      <w:color w:val="auto"/>
                      <w:sz w:val="21"/>
                      <w:szCs w:val="21"/>
                    </w:rPr>
                  </w:pPr>
                  <w:r>
                    <w:rPr>
                      <w:rFonts w:hint="eastAsia"/>
                      <w:color w:val="auto"/>
                      <w:sz w:val="21"/>
                      <w:szCs w:val="21"/>
                    </w:rPr>
                    <w:t>1</w:t>
                  </w:r>
                </w:p>
              </w:tc>
              <w:tc>
                <w:tcPr>
                  <w:tcW w:w="698" w:type="dxa"/>
                  <w:vMerge w:val="restart"/>
                  <w:vAlign w:val="center"/>
                </w:tcPr>
                <w:p>
                  <w:pPr>
                    <w:pStyle w:val="76"/>
                    <w:rPr>
                      <w:color w:val="auto"/>
                      <w:sz w:val="21"/>
                      <w:szCs w:val="21"/>
                    </w:rPr>
                  </w:pPr>
                  <w:r>
                    <w:rPr>
                      <w:rFonts w:hint="eastAsia"/>
                      <w:color w:val="auto"/>
                      <w:sz w:val="21"/>
                      <w:szCs w:val="21"/>
                    </w:rPr>
                    <w:t>引进原则</w:t>
                  </w:r>
                </w:p>
              </w:tc>
              <w:tc>
                <w:tcPr>
                  <w:tcW w:w="3339" w:type="dxa"/>
                  <w:vAlign w:val="center"/>
                </w:tcPr>
                <w:p>
                  <w:pPr>
                    <w:pStyle w:val="76"/>
                    <w:rPr>
                      <w:color w:val="auto"/>
                      <w:sz w:val="21"/>
                      <w:szCs w:val="21"/>
                    </w:rPr>
                  </w:pPr>
                  <w:r>
                    <w:rPr>
                      <w:rFonts w:hint="eastAsia"/>
                      <w:color w:val="auto"/>
                      <w:sz w:val="21"/>
                      <w:szCs w:val="21"/>
                    </w:rPr>
                    <w:t>引进符合国家产业政策和清洁生产要求的、采用先进生产工艺和设备的、自动化程度高的、具有可靠先进污染治理技术的项目，其生产工艺、设备和环保设施应达到国内先进水平</w:t>
                  </w:r>
                </w:p>
              </w:tc>
              <w:tc>
                <w:tcPr>
                  <w:tcW w:w="3061" w:type="dxa"/>
                  <w:vAlign w:val="center"/>
                </w:tcPr>
                <w:p>
                  <w:pPr>
                    <w:pStyle w:val="76"/>
                    <w:rPr>
                      <w:color w:val="auto"/>
                      <w:sz w:val="21"/>
                      <w:szCs w:val="21"/>
                    </w:rPr>
                  </w:pPr>
                  <w:r>
                    <w:rPr>
                      <w:rFonts w:hint="eastAsia"/>
                      <w:color w:val="auto"/>
                      <w:sz w:val="21"/>
                      <w:szCs w:val="21"/>
                    </w:rPr>
                    <w:t>本项目不属于限制类和淘汰类项目，属于允许类项目，符合国家产业政策。项目采用先进生产工艺和设备的、自动化程度高，设施达到国内先进水平</w:t>
                  </w:r>
                </w:p>
              </w:tc>
              <w:tc>
                <w:tcPr>
                  <w:tcW w:w="1111" w:type="dxa"/>
                  <w:vAlign w:val="center"/>
                </w:tcPr>
                <w:p>
                  <w:pPr>
                    <w:pStyle w:val="76"/>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695" w:type="dxa"/>
                  <w:vAlign w:val="center"/>
                </w:tcPr>
                <w:p>
                  <w:pPr>
                    <w:pStyle w:val="76"/>
                    <w:rPr>
                      <w:color w:val="auto"/>
                      <w:sz w:val="21"/>
                      <w:szCs w:val="21"/>
                    </w:rPr>
                  </w:pPr>
                  <w:r>
                    <w:rPr>
                      <w:rFonts w:hint="eastAsia"/>
                      <w:color w:val="auto"/>
                      <w:sz w:val="21"/>
                      <w:szCs w:val="21"/>
                    </w:rPr>
                    <w:t>2</w:t>
                  </w:r>
                </w:p>
              </w:tc>
              <w:tc>
                <w:tcPr>
                  <w:tcW w:w="698" w:type="dxa"/>
                  <w:vMerge w:val="continue"/>
                  <w:vAlign w:val="center"/>
                </w:tcPr>
                <w:p>
                  <w:pPr>
                    <w:pStyle w:val="76"/>
                    <w:rPr>
                      <w:color w:val="auto"/>
                      <w:sz w:val="21"/>
                      <w:szCs w:val="21"/>
                    </w:rPr>
                  </w:pPr>
                </w:p>
              </w:tc>
              <w:tc>
                <w:tcPr>
                  <w:tcW w:w="3339" w:type="dxa"/>
                  <w:vAlign w:val="center"/>
                </w:tcPr>
                <w:p>
                  <w:pPr>
                    <w:pStyle w:val="76"/>
                    <w:rPr>
                      <w:color w:val="auto"/>
                      <w:sz w:val="21"/>
                      <w:szCs w:val="21"/>
                    </w:rPr>
                  </w:pPr>
                  <w:r>
                    <w:rPr>
                      <w:rFonts w:hint="eastAsia"/>
                      <w:color w:val="auto"/>
                      <w:sz w:val="21"/>
                      <w:szCs w:val="21"/>
                    </w:rPr>
                    <w:t>提高产品的关联度，发展系列产品，力求发挥各项目间的最佳协同效应</w:t>
                  </w:r>
                </w:p>
              </w:tc>
              <w:tc>
                <w:tcPr>
                  <w:tcW w:w="3061" w:type="dxa"/>
                  <w:vAlign w:val="center"/>
                </w:tcPr>
                <w:p>
                  <w:pPr>
                    <w:pStyle w:val="76"/>
                    <w:rPr>
                      <w:color w:val="auto"/>
                      <w:sz w:val="21"/>
                      <w:szCs w:val="21"/>
                    </w:rPr>
                  </w:pPr>
                  <w:r>
                    <w:rPr>
                      <w:rFonts w:hint="eastAsia"/>
                      <w:color w:val="auto"/>
                      <w:sz w:val="21"/>
                      <w:szCs w:val="21"/>
                    </w:rPr>
                    <w:t>本项目墙体材料生产项目，产品关联度较高，应用前景好</w:t>
                  </w:r>
                </w:p>
              </w:tc>
              <w:tc>
                <w:tcPr>
                  <w:tcW w:w="1111" w:type="dxa"/>
                  <w:vAlign w:val="center"/>
                </w:tcPr>
                <w:p>
                  <w:pPr>
                    <w:pStyle w:val="76"/>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5" w:type="dxa"/>
                  <w:vAlign w:val="center"/>
                </w:tcPr>
                <w:p>
                  <w:pPr>
                    <w:pStyle w:val="76"/>
                    <w:rPr>
                      <w:color w:val="auto"/>
                      <w:sz w:val="21"/>
                      <w:szCs w:val="21"/>
                    </w:rPr>
                  </w:pPr>
                  <w:r>
                    <w:rPr>
                      <w:rFonts w:hint="eastAsia"/>
                      <w:color w:val="auto"/>
                      <w:sz w:val="21"/>
                      <w:szCs w:val="21"/>
                    </w:rPr>
                    <w:t>3</w:t>
                  </w:r>
                </w:p>
              </w:tc>
              <w:tc>
                <w:tcPr>
                  <w:tcW w:w="698" w:type="dxa"/>
                  <w:vMerge w:val="continue"/>
                  <w:vAlign w:val="center"/>
                </w:tcPr>
                <w:p>
                  <w:pPr>
                    <w:pStyle w:val="76"/>
                    <w:rPr>
                      <w:color w:val="auto"/>
                      <w:sz w:val="21"/>
                      <w:szCs w:val="21"/>
                    </w:rPr>
                  </w:pPr>
                </w:p>
              </w:tc>
              <w:tc>
                <w:tcPr>
                  <w:tcW w:w="3339" w:type="dxa"/>
                  <w:vAlign w:val="center"/>
                </w:tcPr>
                <w:p>
                  <w:pPr>
                    <w:pStyle w:val="76"/>
                    <w:rPr>
                      <w:color w:val="auto"/>
                      <w:sz w:val="21"/>
                      <w:szCs w:val="21"/>
                    </w:rPr>
                  </w:pPr>
                  <w:r>
                    <w:rPr>
                      <w:rFonts w:hint="eastAsia"/>
                      <w:color w:val="auto"/>
                      <w:sz w:val="21"/>
                      <w:szCs w:val="21"/>
                    </w:rPr>
                    <w:t>废水经预处理达到污水处理厂接管标准，对产业区污水处理厂影响小，三废排放能实现稳定达标排放</w:t>
                  </w:r>
                </w:p>
              </w:tc>
              <w:tc>
                <w:tcPr>
                  <w:tcW w:w="3061" w:type="dxa"/>
                  <w:vAlign w:val="center"/>
                </w:tcPr>
                <w:p>
                  <w:pPr>
                    <w:pStyle w:val="76"/>
                    <w:rPr>
                      <w:color w:val="auto"/>
                      <w:sz w:val="21"/>
                      <w:szCs w:val="21"/>
                    </w:rPr>
                  </w:pPr>
                  <w:r>
                    <w:rPr>
                      <w:rFonts w:hint="eastAsia"/>
                      <w:color w:val="auto"/>
                      <w:sz w:val="21"/>
                      <w:szCs w:val="21"/>
                    </w:rPr>
                    <w:t>本项目无生产废水产生，生活污水经化粪池储存后定期清掏，不外排。项目废气、固废经处理后能实现稳定达标排放</w:t>
                  </w:r>
                </w:p>
              </w:tc>
              <w:tc>
                <w:tcPr>
                  <w:tcW w:w="1111" w:type="dxa"/>
                  <w:vAlign w:val="center"/>
                </w:tcPr>
                <w:p>
                  <w:pPr>
                    <w:pStyle w:val="76"/>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5" w:type="dxa"/>
                  <w:vAlign w:val="center"/>
                </w:tcPr>
                <w:p>
                  <w:pPr>
                    <w:pStyle w:val="76"/>
                    <w:rPr>
                      <w:color w:val="auto"/>
                      <w:sz w:val="21"/>
                      <w:szCs w:val="21"/>
                    </w:rPr>
                  </w:pPr>
                  <w:r>
                    <w:rPr>
                      <w:rFonts w:hint="eastAsia"/>
                      <w:color w:val="auto"/>
                      <w:sz w:val="21"/>
                      <w:szCs w:val="21"/>
                    </w:rPr>
                    <w:t>4</w:t>
                  </w:r>
                </w:p>
              </w:tc>
              <w:tc>
                <w:tcPr>
                  <w:tcW w:w="698" w:type="dxa"/>
                  <w:vMerge w:val="continue"/>
                  <w:vAlign w:val="center"/>
                </w:tcPr>
                <w:p>
                  <w:pPr>
                    <w:pStyle w:val="76"/>
                    <w:rPr>
                      <w:color w:val="auto"/>
                      <w:sz w:val="21"/>
                      <w:szCs w:val="21"/>
                    </w:rPr>
                  </w:pPr>
                </w:p>
              </w:tc>
              <w:tc>
                <w:tcPr>
                  <w:tcW w:w="3339" w:type="dxa"/>
                  <w:vAlign w:val="center"/>
                </w:tcPr>
                <w:p>
                  <w:pPr>
                    <w:pStyle w:val="76"/>
                    <w:rPr>
                      <w:color w:val="auto"/>
                      <w:sz w:val="21"/>
                      <w:szCs w:val="21"/>
                    </w:rPr>
                  </w:pPr>
                  <w:r>
                    <w:rPr>
                      <w:rFonts w:hint="eastAsia"/>
                      <w:color w:val="auto"/>
                      <w:sz w:val="21"/>
                      <w:szCs w:val="21"/>
                    </w:rPr>
                    <w:t>采用有效回收技术，包括余热利用、物料回收利用、各类废水回收利用</w:t>
                  </w:r>
                </w:p>
              </w:tc>
              <w:tc>
                <w:tcPr>
                  <w:tcW w:w="3061" w:type="dxa"/>
                  <w:vAlign w:val="center"/>
                </w:tcPr>
                <w:p>
                  <w:pPr>
                    <w:pStyle w:val="76"/>
                    <w:rPr>
                      <w:color w:val="auto"/>
                      <w:sz w:val="21"/>
                      <w:szCs w:val="21"/>
                    </w:rPr>
                  </w:pPr>
                  <w:r>
                    <w:rPr>
                      <w:rFonts w:hint="eastAsia"/>
                      <w:color w:val="auto"/>
                      <w:sz w:val="21"/>
                      <w:szCs w:val="21"/>
                    </w:rPr>
                    <w:t>项目生活区冬季供暖利用隧道窑余热供暖，废瓦经粉碎后重新回收利用，生活废水经化粪池储存后定期清掏，不外排</w:t>
                  </w:r>
                </w:p>
              </w:tc>
              <w:tc>
                <w:tcPr>
                  <w:tcW w:w="1111" w:type="dxa"/>
                  <w:vAlign w:val="center"/>
                </w:tcPr>
                <w:p>
                  <w:pPr>
                    <w:pStyle w:val="76"/>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5" w:type="dxa"/>
                  <w:vAlign w:val="center"/>
                </w:tcPr>
                <w:p>
                  <w:pPr>
                    <w:pStyle w:val="76"/>
                    <w:rPr>
                      <w:color w:val="auto"/>
                      <w:sz w:val="21"/>
                      <w:szCs w:val="21"/>
                    </w:rPr>
                  </w:pPr>
                  <w:r>
                    <w:rPr>
                      <w:rFonts w:hint="eastAsia"/>
                      <w:color w:val="auto"/>
                      <w:sz w:val="21"/>
                      <w:szCs w:val="21"/>
                    </w:rPr>
                    <w:t>5</w:t>
                  </w:r>
                </w:p>
              </w:tc>
              <w:tc>
                <w:tcPr>
                  <w:tcW w:w="698" w:type="dxa"/>
                  <w:vMerge w:val="restart"/>
                  <w:vAlign w:val="center"/>
                </w:tcPr>
                <w:p>
                  <w:pPr>
                    <w:pStyle w:val="76"/>
                    <w:rPr>
                      <w:color w:val="auto"/>
                      <w:sz w:val="21"/>
                      <w:szCs w:val="21"/>
                    </w:rPr>
                  </w:pPr>
                  <w:r>
                    <w:rPr>
                      <w:rFonts w:hint="eastAsia"/>
                      <w:color w:val="auto"/>
                      <w:sz w:val="21"/>
                      <w:szCs w:val="21"/>
                    </w:rPr>
                    <w:t>限制禁止引进项目</w:t>
                  </w:r>
                </w:p>
              </w:tc>
              <w:tc>
                <w:tcPr>
                  <w:tcW w:w="3339" w:type="dxa"/>
                  <w:vAlign w:val="center"/>
                </w:tcPr>
                <w:p>
                  <w:pPr>
                    <w:pStyle w:val="76"/>
                    <w:rPr>
                      <w:color w:val="auto"/>
                      <w:sz w:val="21"/>
                      <w:szCs w:val="21"/>
                    </w:rPr>
                  </w:pPr>
                  <w:r>
                    <w:rPr>
                      <w:rFonts w:hint="eastAsia"/>
                      <w:color w:val="auto"/>
                      <w:sz w:val="21"/>
                      <w:szCs w:val="21"/>
                    </w:rPr>
                    <w:t>不符合产业基地定位、污染排放较大的企业</w:t>
                  </w:r>
                </w:p>
              </w:tc>
              <w:tc>
                <w:tcPr>
                  <w:tcW w:w="3061" w:type="dxa"/>
                  <w:vAlign w:val="center"/>
                </w:tcPr>
                <w:p>
                  <w:pPr>
                    <w:pStyle w:val="76"/>
                    <w:rPr>
                      <w:color w:val="auto"/>
                      <w:sz w:val="21"/>
                      <w:szCs w:val="21"/>
                    </w:rPr>
                  </w:pPr>
                  <w:r>
                    <w:rPr>
                      <w:rFonts w:hint="eastAsia"/>
                      <w:color w:val="auto"/>
                      <w:sz w:val="21"/>
                      <w:szCs w:val="21"/>
                    </w:rPr>
                    <w:t>本项目为墙体材料生产，符合产业定位，废气、废水、固废经处理后能实现稳定达标排放</w:t>
                  </w:r>
                </w:p>
              </w:tc>
              <w:tc>
                <w:tcPr>
                  <w:tcW w:w="1111" w:type="dxa"/>
                  <w:vAlign w:val="center"/>
                </w:tcPr>
                <w:p>
                  <w:pPr>
                    <w:pStyle w:val="76"/>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5" w:type="dxa"/>
                  <w:vAlign w:val="center"/>
                </w:tcPr>
                <w:p>
                  <w:pPr>
                    <w:pStyle w:val="76"/>
                    <w:rPr>
                      <w:color w:val="auto"/>
                      <w:sz w:val="21"/>
                      <w:szCs w:val="21"/>
                    </w:rPr>
                  </w:pPr>
                  <w:r>
                    <w:rPr>
                      <w:rFonts w:hint="eastAsia"/>
                      <w:color w:val="auto"/>
                      <w:sz w:val="21"/>
                      <w:szCs w:val="21"/>
                    </w:rPr>
                    <w:t>6</w:t>
                  </w:r>
                </w:p>
              </w:tc>
              <w:tc>
                <w:tcPr>
                  <w:tcW w:w="698" w:type="dxa"/>
                  <w:vMerge w:val="continue"/>
                  <w:vAlign w:val="center"/>
                </w:tcPr>
                <w:p>
                  <w:pPr>
                    <w:pStyle w:val="76"/>
                    <w:rPr>
                      <w:color w:val="auto"/>
                      <w:sz w:val="21"/>
                      <w:szCs w:val="21"/>
                    </w:rPr>
                  </w:pPr>
                </w:p>
              </w:tc>
              <w:tc>
                <w:tcPr>
                  <w:tcW w:w="3339" w:type="dxa"/>
                  <w:vAlign w:val="center"/>
                </w:tcPr>
                <w:p>
                  <w:pPr>
                    <w:pStyle w:val="76"/>
                    <w:rPr>
                      <w:color w:val="auto"/>
                      <w:sz w:val="21"/>
                      <w:szCs w:val="21"/>
                    </w:rPr>
                  </w:pPr>
                  <w:r>
                    <w:rPr>
                      <w:rFonts w:hint="eastAsia"/>
                      <w:color w:val="auto"/>
                      <w:sz w:val="21"/>
                      <w:szCs w:val="21"/>
                    </w:rPr>
                    <w:t>高水耗、高物耗、高能耗的行业</w:t>
                  </w:r>
                </w:p>
              </w:tc>
              <w:tc>
                <w:tcPr>
                  <w:tcW w:w="3061" w:type="dxa"/>
                  <w:vAlign w:val="center"/>
                </w:tcPr>
                <w:p>
                  <w:pPr>
                    <w:pStyle w:val="76"/>
                    <w:rPr>
                      <w:color w:val="auto"/>
                      <w:sz w:val="21"/>
                      <w:szCs w:val="21"/>
                    </w:rPr>
                  </w:pPr>
                  <w:r>
                    <w:rPr>
                      <w:rFonts w:hint="eastAsia"/>
                      <w:color w:val="auto"/>
                      <w:sz w:val="21"/>
                      <w:szCs w:val="21"/>
                    </w:rPr>
                    <w:t>项目不属于高水耗、高物耗、高能耗的行业</w:t>
                  </w:r>
                </w:p>
              </w:tc>
              <w:tc>
                <w:tcPr>
                  <w:tcW w:w="1111" w:type="dxa"/>
                  <w:vAlign w:val="center"/>
                </w:tcPr>
                <w:p>
                  <w:pPr>
                    <w:pStyle w:val="76"/>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5" w:type="dxa"/>
                  <w:vAlign w:val="center"/>
                </w:tcPr>
                <w:p>
                  <w:pPr>
                    <w:pStyle w:val="76"/>
                    <w:rPr>
                      <w:color w:val="auto"/>
                      <w:sz w:val="21"/>
                      <w:szCs w:val="21"/>
                    </w:rPr>
                  </w:pPr>
                  <w:r>
                    <w:rPr>
                      <w:rFonts w:hint="eastAsia"/>
                      <w:color w:val="auto"/>
                      <w:sz w:val="21"/>
                      <w:szCs w:val="21"/>
                    </w:rPr>
                    <w:t>7</w:t>
                  </w:r>
                </w:p>
              </w:tc>
              <w:tc>
                <w:tcPr>
                  <w:tcW w:w="698" w:type="dxa"/>
                  <w:vMerge w:val="continue"/>
                  <w:vAlign w:val="center"/>
                </w:tcPr>
                <w:p>
                  <w:pPr>
                    <w:pStyle w:val="76"/>
                    <w:rPr>
                      <w:color w:val="auto"/>
                      <w:sz w:val="21"/>
                      <w:szCs w:val="21"/>
                    </w:rPr>
                  </w:pPr>
                </w:p>
              </w:tc>
              <w:tc>
                <w:tcPr>
                  <w:tcW w:w="3339" w:type="dxa"/>
                  <w:vAlign w:val="center"/>
                </w:tcPr>
                <w:p>
                  <w:pPr>
                    <w:pStyle w:val="76"/>
                    <w:rPr>
                      <w:color w:val="auto"/>
                      <w:sz w:val="21"/>
                      <w:szCs w:val="21"/>
                    </w:rPr>
                  </w:pPr>
                  <w:r>
                    <w:rPr>
                      <w:rFonts w:hint="eastAsia"/>
                      <w:color w:val="auto"/>
                      <w:sz w:val="21"/>
                      <w:szCs w:val="21"/>
                    </w:rPr>
                    <w:t>废水含有有机难降解污染物、“三致”污染物、废水经预处理不能满足污水处理厂接管标准的项目</w:t>
                  </w:r>
                </w:p>
              </w:tc>
              <w:tc>
                <w:tcPr>
                  <w:tcW w:w="3061" w:type="dxa"/>
                  <w:vAlign w:val="center"/>
                </w:tcPr>
                <w:p>
                  <w:pPr>
                    <w:pStyle w:val="76"/>
                    <w:rPr>
                      <w:color w:val="auto"/>
                      <w:sz w:val="21"/>
                      <w:szCs w:val="21"/>
                    </w:rPr>
                  </w:pPr>
                  <w:r>
                    <w:rPr>
                      <w:rFonts w:hint="eastAsia"/>
                      <w:color w:val="auto"/>
                      <w:sz w:val="21"/>
                      <w:szCs w:val="21"/>
                    </w:rPr>
                    <w:t>本项目无生产废水产生，生活污水经化粪池储存后定期清掏，不外排。</w:t>
                  </w:r>
                </w:p>
              </w:tc>
              <w:tc>
                <w:tcPr>
                  <w:tcW w:w="1111" w:type="dxa"/>
                  <w:vAlign w:val="center"/>
                </w:tcPr>
                <w:p>
                  <w:pPr>
                    <w:pStyle w:val="76"/>
                    <w:rPr>
                      <w:color w:val="auto"/>
                      <w:sz w:val="21"/>
                      <w:szCs w:val="21"/>
                    </w:rPr>
                  </w:pPr>
                  <w:r>
                    <w:rPr>
                      <w:rFonts w:hint="eastAsia"/>
                      <w:color w:val="auto"/>
                      <w:sz w:val="21"/>
                      <w:szCs w:val="21"/>
                    </w:rPr>
                    <w:t>符合</w:t>
                  </w:r>
                </w:p>
              </w:tc>
            </w:tr>
            <w:tr>
              <w:tblPrEx>
                <w:tblCellMar>
                  <w:top w:w="0" w:type="dxa"/>
                  <w:left w:w="108" w:type="dxa"/>
                  <w:bottom w:w="0" w:type="dxa"/>
                  <w:right w:w="108" w:type="dxa"/>
                </w:tblCellMar>
              </w:tblPrEx>
              <w:trPr>
                <w:trHeight w:val="340" w:hRule="atLeast"/>
                <w:jc w:val="center"/>
              </w:trPr>
              <w:tc>
                <w:tcPr>
                  <w:tcW w:w="695" w:type="dxa"/>
                  <w:vAlign w:val="center"/>
                </w:tcPr>
                <w:p>
                  <w:pPr>
                    <w:pStyle w:val="76"/>
                    <w:rPr>
                      <w:color w:val="auto"/>
                      <w:sz w:val="21"/>
                      <w:szCs w:val="21"/>
                    </w:rPr>
                  </w:pPr>
                  <w:r>
                    <w:rPr>
                      <w:rFonts w:hint="eastAsia"/>
                      <w:color w:val="auto"/>
                      <w:sz w:val="21"/>
                      <w:szCs w:val="21"/>
                    </w:rPr>
                    <w:t>8</w:t>
                  </w:r>
                </w:p>
              </w:tc>
              <w:tc>
                <w:tcPr>
                  <w:tcW w:w="698" w:type="dxa"/>
                  <w:vMerge w:val="continue"/>
                  <w:vAlign w:val="center"/>
                </w:tcPr>
                <w:p>
                  <w:pPr>
                    <w:pStyle w:val="76"/>
                    <w:rPr>
                      <w:color w:val="auto"/>
                      <w:sz w:val="21"/>
                      <w:szCs w:val="21"/>
                    </w:rPr>
                  </w:pPr>
                </w:p>
              </w:tc>
              <w:tc>
                <w:tcPr>
                  <w:tcW w:w="3339" w:type="dxa"/>
                  <w:vAlign w:val="center"/>
                </w:tcPr>
                <w:p>
                  <w:pPr>
                    <w:pStyle w:val="76"/>
                    <w:rPr>
                      <w:color w:val="auto"/>
                      <w:sz w:val="21"/>
                      <w:szCs w:val="21"/>
                    </w:rPr>
                  </w:pPr>
                  <w:r>
                    <w:rPr>
                      <w:rFonts w:hint="eastAsia"/>
                      <w:color w:val="auto"/>
                      <w:sz w:val="21"/>
                      <w:szCs w:val="21"/>
                    </w:rPr>
                    <w:t>工艺废气中含有难处理、有毒有害物质的项目</w:t>
                  </w:r>
                </w:p>
              </w:tc>
              <w:tc>
                <w:tcPr>
                  <w:tcW w:w="3061" w:type="dxa"/>
                  <w:vAlign w:val="center"/>
                </w:tcPr>
                <w:p>
                  <w:pPr>
                    <w:pStyle w:val="76"/>
                    <w:rPr>
                      <w:color w:val="auto"/>
                      <w:sz w:val="21"/>
                      <w:szCs w:val="21"/>
                    </w:rPr>
                  </w:pPr>
                  <w:r>
                    <w:rPr>
                      <w:rFonts w:hint="eastAsia"/>
                      <w:color w:val="auto"/>
                      <w:sz w:val="21"/>
                      <w:szCs w:val="21"/>
                    </w:rPr>
                    <w:t>本项目采用清洁能源天然气，工艺废气无难处理、有毒有害物质</w:t>
                  </w:r>
                </w:p>
              </w:tc>
              <w:tc>
                <w:tcPr>
                  <w:tcW w:w="1111" w:type="dxa"/>
                  <w:vAlign w:val="center"/>
                </w:tcPr>
                <w:p>
                  <w:pPr>
                    <w:pStyle w:val="76"/>
                    <w:rPr>
                      <w:color w:val="auto"/>
                      <w:sz w:val="21"/>
                      <w:szCs w:val="21"/>
                    </w:rPr>
                  </w:pPr>
                  <w:r>
                    <w:rPr>
                      <w:rFonts w:hint="eastAsia"/>
                      <w:color w:val="auto"/>
                      <w:sz w:val="21"/>
                      <w:szCs w:val="21"/>
                    </w:rPr>
                    <w:t>符合</w:t>
                  </w:r>
                </w:p>
              </w:tc>
            </w:tr>
          </w:tbl>
          <w:p>
            <w:pPr>
              <w:spacing w:line="360" w:lineRule="auto"/>
              <w:ind w:firstLine="480" w:firstLineChars="200"/>
              <w:rPr>
                <w:color w:val="auto"/>
                <w:sz w:val="24"/>
              </w:rPr>
            </w:pPr>
            <w:r>
              <w:rPr>
                <w:rFonts w:hint="eastAsia"/>
                <w:color w:val="auto"/>
                <w:sz w:val="24"/>
              </w:rPr>
              <w:t>（5）与《长安东部新型建材产业基地总体规划》环评审查意见相符性分析</w:t>
            </w:r>
          </w:p>
          <w:p>
            <w:pPr>
              <w:spacing w:line="360" w:lineRule="auto"/>
              <w:ind w:firstLine="480" w:firstLineChars="200"/>
              <w:rPr>
                <w:color w:val="auto"/>
                <w:sz w:val="24"/>
              </w:rPr>
            </w:pPr>
            <w:r>
              <w:rPr>
                <w:rFonts w:hint="eastAsia"/>
                <w:color w:val="auto"/>
                <w:sz w:val="24"/>
              </w:rPr>
              <w:t>本项目位于</w:t>
            </w:r>
            <w:r>
              <w:rPr>
                <w:rFonts w:hint="eastAsia" w:hAnsi="宋体"/>
                <w:color w:val="auto"/>
                <w:sz w:val="24"/>
              </w:rPr>
              <w:t>西安市长安东部新型建材产业基地，产业基地</w:t>
            </w:r>
            <w:r>
              <w:rPr>
                <w:rFonts w:hint="eastAsia"/>
                <w:color w:val="auto"/>
                <w:sz w:val="24"/>
              </w:rPr>
              <w:t>《长安东部新型建材产业基地总体规划环境影响报告书》于2017年11月24日通过专家评审，项目与环评审查意见相符性见下表。</w:t>
            </w:r>
          </w:p>
          <w:p>
            <w:pPr>
              <w:jc w:val="center"/>
              <w:rPr>
                <w:b/>
                <w:color w:val="auto"/>
              </w:rPr>
            </w:pPr>
            <w:r>
              <w:rPr>
                <w:rFonts w:hint="eastAsia"/>
                <w:b/>
                <w:color w:val="auto"/>
              </w:rPr>
              <w:t>表3  与《长安东部新型建材产业基地总体规划》环评审查意见相符性分析</w:t>
            </w:r>
          </w:p>
          <w:tbl>
            <w:tblPr>
              <w:tblStyle w:val="24"/>
              <w:tblW w:w="8824"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00"/>
              <w:gridCol w:w="3836"/>
              <w:gridCol w:w="3331"/>
              <w:gridCol w:w="95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0" w:type="dxa"/>
                  <w:shd w:val="clear" w:color="auto" w:fill="auto"/>
                  <w:vAlign w:val="center"/>
                </w:tcPr>
                <w:p>
                  <w:pPr>
                    <w:pStyle w:val="76"/>
                    <w:spacing w:line="400" w:lineRule="exact"/>
                    <w:rPr>
                      <w:color w:val="auto"/>
                      <w:sz w:val="21"/>
                      <w:szCs w:val="21"/>
                    </w:rPr>
                  </w:pPr>
                  <w:r>
                    <w:rPr>
                      <w:rFonts w:hint="eastAsia"/>
                      <w:color w:val="auto"/>
                      <w:sz w:val="21"/>
                      <w:szCs w:val="21"/>
                    </w:rPr>
                    <w:t>序号</w:t>
                  </w:r>
                </w:p>
              </w:tc>
              <w:tc>
                <w:tcPr>
                  <w:tcW w:w="3836" w:type="dxa"/>
                  <w:shd w:val="clear" w:color="auto" w:fill="auto"/>
                  <w:vAlign w:val="center"/>
                </w:tcPr>
                <w:p>
                  <w:pPr>
                    <w:pStyle w:val="76"/>
                    <w:spacing w:line="400" w:lineRule="exact"/>
                    <w:rPr>
                      <w:color w:val="auto"/>
                      <w:sz w:val="21"/>
                      <w:szCs w:val="21"/>
                    </w:rPr>
                  </w:pPr>
                  <w:r>
                    <w:rPr>
                      <w:rFonts w:hint="eastAsia"/>
                      <w:color w:val="auto"/>
                      <w:sz w:val="21"/>
                      <w:szCs w:val="21"/>
                    </w:rPr>
                    <w:t>审查意见</w:t>
                  </w:r>
                </w:p>
              </w:tc>
              <w:tc>
                <w:tcPr>
                  <w:tcW w:w="3331" w:type="dxa"/>
                  <w:shd w:val="clear" w:color="auto" w:fill="auto"/>
                  <w:vAlign w:val="center"/>
                </w:tcPr>
                <w:p>
                  <w:pPr>
                    <w:pStyle w:val="76"/>
                    <w:spacing w:line="400" w:lineRule="exact"/>
                    <w:rPr>
                      <w:color w:val="auto"/>
                      <w:sz w:val="21"/>
                      <w:szCs w:val="21"/>
                    </w:rPr>
                  </w:pPr>
                  <w:r>
                    <w:rPr>
                      <w:rFonts w:hint="eastAsia"/>
                      <w:color w:val="auto"/>
                      <w:sz w:val="21"/>
                      <w:szCs w:val="21"/>
                    </w:rPr>
                    <w:t>项目情况</w:t>
                  </w:r>
                </w:p>
              </w:tc>
              <w:tc>
                <w:tcPr>
                  <w:tcW w:w="957" w:type="dxa"/>
                  <w:shd w:val="clear" w:color="auto" w:fill="auto"/>
                  <w:vAlign w:val="center"/>
                </w:tcPr>
                <w:p>
                  <w:pPr>
                    <w:pStyle w:val="76"/>
                    <w:spacing w:line="400" w:lineRule="exact"/>
                    <w:rPr>
                      <w:color w:val="auto"/>
                      <w:sz w:val="21"/>
                      <w:szCs w:val="21"/>
                    </w:rPr>
                  </w:pPr>
                  <w:r>
                    <w:rPr>
                      <w:rFonts w:hint="eastAsia"/>
                      <w:color w:val="auto"/>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0" w:type="dxa"/>
                  <w:shd w:val="clear" w:color="auto" w:fill="auto"/>
                  <w:vAlign w:val="center"/>
                </w:tcPr>
                <w:p>
                  <w:pPr>
                    <w:pStyle w:val="76"/>
                    <w:spacing w:line="400" w:lineRule="exact"/>
                    <w:rPr>
                      <w:color w:val="auto"/>
                      <w:sz w:val="21"/>
                      <w:szCs w:val="21"/>
                    </w:rPr>
                  </w:pPr>
                  <w:r>
                    <w:rPr>
                      <w:rFonts w:hint="eastAsia"/>
                      <w:color w:val="auto"/>
                      <w:sz w:val="21"/>
                      <w:szCs w:val="21"/>
                    </w:rPr>
                    <w:t>1</w:t>
                  </w:r>
                </w:p>
              </w:tc>
              <w:tc>
                <w:tcPr>
                  <w:tcW w:w="3836" w:type="dxa"/>
                  <w:shd w:val="clear" w:color="auto" w:fill="auto"/>
                  <w:vAlign w:val="center"/>
                </w:tcPr>
                <w:p>
                  <w:pPr>
                    <w:pStyle w:val="76"/>
                    <w:spacing w:line="400" w:lineRule="exact"/>
                    <w:rPr>
                      <w:color w:val="auto"/>
                      <w:sz w:val="21"/>
                      <w:szCs w:val="21"/>
                    </w:rPr>
                  </w:pPr>
                  <w:r>
                    <w:rPr>
                      <w:rFonts w:hint="eastAsia"/>
                      <w:color w:val="auto"/>
                      <w:sz w:val="21"/>
                      <w:szCs w:val="21"/>
                    </w:rPr>
                    <w:t>进一步调整修编规划功能区、产品方案和规划规模，不再扩大矸石烧结砖产业规模，建设新型免烧建材项目</w:t>
                  </w:r>
                </w:p>
              </w:tc>
              <w:tc>
                <w:tcPr>
                  <w:tcW w:w="3331" w:type="dxa"/>
                  <w:shd w:val="clear" w:color="auto" w:fill="auto"/>
                  <w:vAlign w:val="center"/>
                </w:tcPr>
                <w:p>
                  <w:pPr>
                    <w:pStyle w:val="76"/>
                    <w:spacing w:line="400" w:lineRule="exact"/>
                    <w:rPr>
                      <w:color w:val="auto"/>
                      <w:sz w:val="21"/>
                      <w:szCs w:val="21"/>
                    </w:rPr>
                  </w:pPr>
                  <w:r>
                    <w:rPr>
                      <w:rFonts w:hint="eastAsia"/>
                      <w:color w:val="auto"/>
                      <w:sz w:val="21"/>
                      <w:szCs w:val="21"/>
                    </w:rPr>
                    <w:t>项目不属于矸石烧结砖行业</w:t>
                  </w:r>
                </w:p>
              </w:tc>
              <w:tc>
                <w:tcPr>
                  <w:tcW w:w="957" w:type="dxa"/>
                  <w:shd w:val="clear" w:color="auto" w:fill="auto"/>
                  <w:vAlign w:val="center"/>
                </w:tcPr>
                <w:p>
                  <w:pPr>
                    <w:pStyle w:val="76"/>
                    <w:spacing w:line="400" w:lineRule="exact"/>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0" w:type="dxa"/>
                  <w:shd w:val="clear" w:color="auto" w:fill="auto"/>
                  <w:vAlign w:val="center"/>
                </w:tcPr>
                <w:p>
                  <w:pPr>
                    <w:pStyle w:val="76"/>
                    <w:spacing w:line="400" w:lineRule="exact"/>
                    <w:rPr>
                      <w:color w:val="auto"/>
                      <w:sz w:val="21"/>
                      <w:szCs w:val="21"/>
                    </w:rPr>
                  </w:pPr>
                  <w:r>
                    <w:rPr>
                      <w:rFonts w:hint="eastAsia"/>
                      <w:color w:val="auto"/>
                      <w:sz w:val="21"/>
                      <w:szCs w:val="21"/>
                    </w:rPr>
                    <w:t>2</w:t>
                  </w:r>
                </w:p>
              </w:tc>
              <w:tc>
                <w:tcPr>
                  <w:tcW w:w="3836" w:type="dxa"/>
                  <w:shd w:val="clear" w:color="auto" w:fill="auto"/>
                  <w:vAlign w:val="center"/>
                </w:tcPr>
                <w:p>
                  <w:pPr>
                    <w:pStyle w:val="76"/>
                    <w:spacing w:line="400" w:lineRule="exact"/>
                    <w:rPr>
                      <w:color w:val="auto"/>
                      <w:sz w:val="21"/>
                      <w:szCs w:val="21"/>
                    </w:rPr>
                  </w:pPr>
                  <w:r>
                    <w:rPr>
                      <w:rFonts w:hint="eastAsia"/>
                      <w:color w:val="auto"/>
                      <w:sz w:val="21"/>
                      <w:szCs w:val="21"/>
                    </w:rPr>
                    <w:t>严格控制产业规模和产业准入，在现有水平上，不再引进煤矸石烧结砖类项目，控制煤炭消耗总量和污染物不增加</w:t>
                  </w:r>
                </w:p>
              </w:tc>
              <w:tc>
                <w:tcPr>
                  <w:tcW w:w="3331" w:type="dxa"/>
                  <w:shd w:val="clear" w:color="auto" w:fill="auto"/>
                  <w:vAlign w:val="center"/>
                </w:tcPr>
                <w:p>
                  <w:pPr>
                    <w:pStyle w:val="76"/>
                    <w:spacing w:line="400" w:lineRule="exact"/>
                    <w:rPr>
                      <w:color w:val="auto"/>
                      <w:sz w:val="21"/>
                      <w:szCs w:val="21"/>
                    </w:rPr>
                  </w:pPr>
                  <w:r>
                    <w:rPr>
                      <w:rFonts w:hint="eastAsia"/>
                      <w:color w:val="auto"/>
                      <w:sz w:val="21"/>
                      <w:szCs w:val="21"/>
                    </w:rPr>
                    <w:t>项目生产过程中燃用清洁能源天然气，不属于煤矸石烧结砖类项目；园区现有企业已采取措施削减污染物排放；现有措施保证园区煤炭消耗总量和污染物不增加</w:t>
                  </w:r>
                </w:p>
              </w:tc>
              <w:tc>
                <w:tcPr>
                  <w:tcW w:w="957" w:type="dxa"/>
                  <w:shd w:val="clear" w:color="auto" w:fill="auto"/>
                  <w:vAlign w:val="center"/>
                </w:tcPr>
                <w:p>
                  <w:pPr>
                    <w:pStyle w:val="76"/>
                    <w:spacing w:line="400" w:lineRule="exact"/>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0" w:type="dxa"/>
                  <w:shd w:val="clear" w:color="auto" w:fill="auto"/>
                  <w:vAlign w:val="center"/>
                </w:tcPr>
                <w:p>
                  <w:pPr>
                    <w:pStyle w:val="76"/>
                    <w:spacing w:line="400" w:lineRule="exact"/>
                    <w:rPr>
                      <w:color w:val="auto"/>
                      <w:sz w:val="21"/>
                      <w:szCs w:val="21"/>
                    </w:rPr>
                  </w:pPr>
                  <w:r>
                    <w:rPr>
                      <w:rFonts w:hint="eastAsia"/>
                      <w:color w:val="auto"/>
                      <w:sz w:val="21"/>
                      <w:szCs w:val="21"/>
                    </w:rPr>
                    <w:t>3</w:t>
                  </w:r>
                </w:p>
              </w:tc>
              <w:tc>
                <w:tcPr>
                  <w:tcW w:w="3836" w:type="dxa"/>
                  <w:shd w:val="clear" w:color="auto" w:fill="auto"/>
                  <w:vAlign w:val="center"/>
                </w:tcPr>
                <w:p>
                  <w:pPr>
                    <w:pStyle w:val="76"/>
                    <w:spacing w:line="400" w:lineRule="exact"/>
                    <w:rPr>
                      <w:color w:val="auto"/>
                      <w:sz w:val="21"/>
                      <w:szCs w:val="21"/>
                    </w:rPr>
                  </w:pPr>
                  <w:r>
                    <w:rPr>
                      <w:rFonts w:hint="eastAsia"/>
                      <w:color w:val="auto"/>
                      <w:sz w:val="21"/>
                      <w:szCs w:val="21"/>
                    </w:rPr>
                    <w:t>鉴于关中地区治污降霾任务艰巨，环境空气容量十分有限，应根据“治污降霾保卫蓝天”相关政策要求，落实调整生产制度，在冬季雾霾多发期适时进行限产停产。</w:t>
                  </w:r>
                </w:p>
              </w:tc>
              <w:tc>
                <w:tcPr>
                  <w:tcW w:w="3331" w:type="dxa"/>
                  <w:shd w:val="clear" w:color="auto" w:fill="auto"/>
                  <w:vAlign w:val="center"/>
                </w:tcPr>
                <w:p>
                  <w:pPr>
                    <w:pStyle w:val="76"/>
                    <w:spacing w:line="400" w:lineRule="exact"/>
                    <w:rPr>
                      <w:color w:val="auto"/>
                      <w:sz w:val="21"/>
                      <w:szCs w:val="21"/>
                    </w:rPr>
                  </w:pPr>
                  <w:r>
                    <w:rPr>
                      <w:rFonts w:hint="eastAsia"/>
                      <w:color w:val="auto"/>
                      <w:sz w:val="21"/>
                      <w:szCs w:val="21"/>
                    </w:rPr>
                    <w:t>企业将根据“治污降霾保卫蓝天”相关政策要求，落实调整生产制度，在冬季雾霾多发期适时进行限产停产</w:t>
                  </w:r>
                </w:p>
              </w:tc>
              <w:tc>
                <w:tcPr>
                  <w:tcW w:w="957" w:type="dxa"/>
                  <w:shd w:val="clear" w:color="auto" w:fill="auto"/>
                  <w:vAlign w:val="center"/>
                </w:tcPr>
                <w:p>
                  <w:pPr>
                    <w:pStyle w:val="76"/>
                    <w:spacing w:line="400" w:lineRule="exact"/>
                    <w:rPr>
                      <w:color w:val="auto"/>
                      <w:sz w:val="21"/>
                      <w:szCs w:val="21"/>
                    </w:rPr>
                  </w:pPr>
                  <w:r>
                    <w:rPr>
                      <w:rFonts w:hint="eastAsia"/>
                      <w:color w:val="auto"/>
                      <w:sz w:val="21"/>
                      <w:szCs w:val="21"/>
                    </w:rPr>
                    <w:t>符合</w:t>
                  </w:r>
                </w:p>
              </w:tc>
            </w:tr>
          </w:tbl>
          <w:p>
            <w:pPr>
              <w:spacing w:line="360" w:lineRule="auto"/>
              <w:ind w:firstLine="480" w:firstLineChars="200"/>
              <w:rPr>
                <w:color w:val="auto"/>
                <w:sz w:val="24"/>
              </w:rPr>
            </w:pPr>
            <w:r>
              <w:rPr>
                <w:rFonts w:hint="eastAsia"/>
                <w:color w:val="auto"/>
                <w:sz w:val="24"/>
              </w:rPr>
              <w:t>（6）与《关于印发&lt;工业炉窑大气污染综合治理方案&gt;的通知》（环大气[2019]56号）符合性</w:t>
            </w:r>
          </w:p>
          <w:p>
            <w:pPr>
              <w:spacing w:line="360" w:lineRule="auto"/>
              <w:ind w:firstLine="480" w:firstLineChars="200"/>
              <w:rPr>
                <w:rFonts w:hAnsi="宋体"/>
                <w:color w:val="auto"/>
                <w:sz w:val="24"/>
              </w:rPr>
            </w:pPr>
            <w:r>
              <w:rPr>
                <w:rFonts w:hint="eastAsia" w:hAnsi="宋体"/>
                <w:color w:val="auto"/>
                <w:sz w:val="24"/>
              </w:rPr>
              <w:t>为贯彻落实《国务院关于印发打赢蓝天保卫战三年行动计划的通知》有关要求，指导各地加强工业炉窑大气污染综合治理，协同控制温室气体排放，促进产业高质量发展，生态环境部、国家发展和改革委员会、工业和信息化部、财政部制定《</w:t>
            </w:r>
            <w:r>
              <w:rPr>
                <w:rFonts w:hint="eastAsia"/>
                <w:color w:val="auto"/>
                <w:sz w:val="24"/>
              </w:rPr>
              <w:t>工业炉窑大气污染综合治理方案</w:t>
            </w:r>
            <w:r>
              <w:rPr>
                <w:rFonts w:hint="eastAsia" w:hAnsi="宋体"/>
                <w:color w:val="auto"/>
                <w:sz w:val="24"/>
              </w:rPr>
              <w:t>》。</w:t>
            </w:r>
          </w:p>
          <w:p>
            <w:pPr>
              <w:jc w:val="center"/>
              <w:rPr>
                <w:b/>
                <w:color w:val="auto"/>
              </w:rPr>
            </w:pPr>
            <w:r>
              <w:rPr>
                <w:rFonts w:hint="eastAsia"/>
                <w:b/>
                <w:color w:val="auto"/>
              </w:rPr>
              <w:t>表4    与《工业炉窑大气污染综合治理方案》相符性分析</w:t>
            </w:r>
          </w:p>
          <w:tbl>
            <w:tblPr>
              <w:tblStyle w:val="24"/>
              <w:tblW w:w="8824"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00"/>
              <w:gridCol w:w="4275"/>
              <w:gridCol w:w="2892"/>
              <w:gridCol w:w="95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0" w:type="dxa"/>
                  <w:shd w:val="clear" w:color="auto" w:fill="auto"/>
                  <w:vAlign w:val="center"/>
                </w:tcPr>
                <w:p>
                  <w:pPr>
                    <w:pStyle w:val="76"/>
                    <w:spacing w:line="400" w:lineRule="exact"/>
                    <w:rPr>
                      <w:color w:val="auto"/>
                      <w:sz w:val="21"/>
                      <w:szCs w:val="21"/>
                    </w:rPr>
                  </w:pPr>
                  <w:r>
                    <w:rPr>
                      <w:rFonts w:hint="eastAsia"/>
                      <w:color w:val="auto"/>
                      <w:sz w:val="21"/>
                      <w:szCs w:val="21"/>
                    </w:rPr>
                    <w:t>序号</w:t>
                  </w:r>
                </w:p>
              </w:tc>
              <w:tc>
                <w:tcPr>
                  <w:tcW w:w="4275" w:type="dxa"/>
                  <w:shd w:val="clear" w:color="auto" w:fill="auto"/>
                  <w:vAlign w:val="center"/>
                </w:tcPr>
                <w:p>
                  <w:pPr>
                    <w:pStyle w:val="76"/>
                    <w:spacing w:line="400" w:lineRule="exact"/>
                    <w:rPr>
                      <w:color w:val="auto"/>
                      <w:sz w:val="21"/>
                      <w:szCs w:val="21"/>
                    </w:rPr>
                  </w:pPr>
                  <w:r>
                    <w:rPr>
                      <w:rFonts w:hint="eastAsia"/>
                      <w:color w:val="auto"/>
                      <w:sz w:val="21"/>
                      <w:szCs w:val="21"/>
                    </w:rPr>
                    <w:t>方案要求</w:t>
                  </w:r>
                </w:p>
              </w:tc>
              <w:tc>
                <w:tcPr>
                  <w:tcW w:w="2892" w:type="dxa"/>
                  <w:shd w:val="clear" w:color="auto" w:fill="auto"/>
                  <w:vAlign w:val="center"/>
                </w:tcPr>
                <w:p>
                  <w:pPr>
                    <w:pStyle w:val="76"/>
                    <w:spacing w:line="400" w:lineRule="exact"/>
                    <w:rPr>
                      <w:color w:val="auto"/>
                      <w:sz w:val="21"/>
                      <w:szCs w:val="21"/>
                    </w:rPr>
                  </w:pPr>
                  <w:r>
                    <w:rPr>
                      <w:rFonts w:hint="eastAsia"/>
                      <w:color w:val="auto"/>
                      <w:sz w:val="21"/>
                      <w:szCs w:val="21"/>
                    </w:rPr>
                    <w:t>项目情况</w:t>
                  </w:r>
                </w:p>
              </w:tc>
              <w:tc>
                <w:tcPr>
                  <w:tcW w:w="957" w:type="dxa"/>
                  <w:shd w:val="clear" w:color="auto" w:fill="auto"/>
                  <w:vAlign w:val="center"/>
                </w:tcPr>
                <w:p>
                  <w:pPr>
                    <w:pStyle w:val="76"/>
                    <w:spacing w:line="400" w:lineRule="exact"/>
                    <w:rPr>
                      <w:color w:val="auto"/>
                      <w:sz w:val="21"/>
                      <w:szCs w:val="21"/>
                    </w:rPr>
                  </w:pPr>
                  <w:r>
                    <w:rPr>
                      <w:rFonts w:hint="eastAsia"/>
                      <w:color w:val="auto"/>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0" w:type="dxa"/>
                  <w:shd w:val="clear" w:color="auto" w:fill="auto"/>
                  <w:vAlign w:val="center"/>
                </w:tcPr>
                <w:p>
                  <w:pPr>
                    <w:pStyle w:val="76"/>
                    <w:spacing w:line="400" w:lineRule="exact"/>
                    <w:rPr>
                      <w:color w:val="auto"/>
                      <w:sz w:val="21"/>
                      <w:szCs w:val="21"/>
                    </w:rPr>
                  </w:pPr>
                  <w:r>
                    <w:rPr>
                      <w:rFonts w:hint="eastAsia"/>
                      <w:color w:val="auto"/>
                      <w:sz w:val="21"/>
                      <w:szCs w:val="21"/>
                    </w:rPr>
                    <w:t>1</w:t>
                  </w:r>
                </w:p>
              </w:tc>
              <w:tc>
                <w:tcPr>
                  <w:tcW w:w="4275" w:type="dxa"/>
                  <w:shd w:val="clear" w:color="auto" w:fill="auto"/>
                  <w:vAlign w:val="center"/>
                </w:tcPr>
                <w:p>
                  <w:pPr>
                    <w:pStyle w:val="76"/>
                    <w:spacing w:line="400" w:lineRule="exact"/>
                    <w:rPr>
                      <w:color w:val="auto"/>
                      <w:sz w:val="21"/>
                      <w:szCs w:val="21"/>
                    </w:rPr>
                  </w:pPr>
                  <w:r>
                    <w:rPr>
                      <w:rFonts w:hint="eastAsia"/>
                      <w:color w:val="auto"/>
                      <w:sz w:val="21"/>
                      <w:szCs w:val="21"/>
                    </w:rPr>
                    <w:t>新建涉工业炉窑的建设项目，原则上要入园区，配套建设高效环保治理设施</w:t>
                  </w:r>
                </w:p>
              </w:tc>
              <w:tc>
                <w:tcPr>
                  <w:tcW w:w="2892" w:type="dxa"/>
                  <w:shd w:val="clear" w:color="auto" w:fill="auto"/>
                  <w:vAlign w:val="center"/>
                </w:tcPr>
                <w:p>
                  <w:pPr>
                    <w:pStyle w:val="76"/>
                    <w:spacing w:line="400" w:lineRule="exact"/>
                    <w:rPr>
                      <w:color w:val="auto"/>
                      <w:sz w:val="21"/>
                      <w:szCs w:val="21"/>
                    </w:rPr>
                  </w:pPr>
                  <w:r>
                    <w:rPr>
                      <w:rFonts w:hint="eastAsia"/>
                      <w:color w:val="auto"/>
                      <w:sz w:val="21"/>
                      <w:szCs w:val="21"/>
                    </w:rPr>
                    <w:t>项目位于长安东部新型建材产业基地内，属于进入园区项目；项目配套除尘设备减少粉尘排放</w:t>
                  </w:r>
                </w:p>
              </w:tc>
              <w:tc>
                <w:tcPr>
                  <w:tcW w:w="957" w:type="dxa"/>
                  <w:shd w:val="clear" w:color="auto" w:fill="auto"/>
                  <w:vAlign w:val="center"/>
                </w:tcPr>
                <w:p>
                  <w:pPr>
                    <w:pStyle w:val="76"/>
                    <w:spacing w:line="400" w:lineRule="exact"/>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0" w:type="dxa"/>
                  <w:shd w:val="clear" w:color="auto" w:fill="auto"/>
                  <w:vAlign w:val="center"/>
                </w:tcPr>
                <w:p>
                  <w:pPr>
                    <w:pStyle w:val="76"/>
                    <w:spacing w:line="400" w:lineRule="exact"/>
                    <w:rPr>
                      <w:color w:val="auto"/>
                      <w:sz w:val="21"/>
                      <w:szCs w:val="21"/>
                    </w:rPr>
                  </w:pPr>
                  <w:r>
                    <w:rPr>
                      <w:rFonts w:hint="eastAsia"/>
                      <w:color w:val="auto"/>
                      <w:sz w:val="21"/>
                      <w:szCs w:val="21"/>
                    </w:rPr>
                    <w:t>2</w:t>
                  </w:r>
                </w:p>
              </w:tc>
              <w:tc>
                <w:tcPr>
                  <w:tcW w:w="4275" w:type="dxa"/>
                  <w:shd w:val="clear" w:color="auto" w:fill="auto"/>
                  <w:vAlign w:val="center"/>
                </w:tcPr>
                <w:p>
                  <w:pPr>
                    <w:pStyle w:val="76"/>
                    <w:spacing w:line="400" w:lineRule="exact"/>
                    <w:rPr>
                      <w:color w:val="auto"/>
                      <w:sz w:val="21"/>
                      <w:szCs w:val="21"/>
                    </w:rPr>
                  </w:pPr>
                  <w:r>
                    <w:rPr>
                      <w:rFonts w:hint="eastAsia"/>
                      <w:color w:val="auto"/>
                      <w:sz w:val="21"/>
                      <w:szCs w:val="21"/>
                    </w:rPr>
                    <w:t>推进工业炉窑全面达标排放。已有行业排放标准的工业炉窑（见附件3），严格执行行业排放标准相关规定，配套建设高效脱硫脱硝除尘设施（见附件4），确保稳定达标排放。已制定更严格地方排放标准的，按地方标准执行。</w:t>
                  </w:r>
                </w:p>
              </w:tc>
              <w:tc>
                <w:tcPr>
                  <w:tcW w:w="2892" w:type="dxa"/>
                  <w:shd w:val="clear" w:color="auto" w:fill="auto"/>
                  <w:vAlign w:val="center"/>
                </w:tcPr>
                <w:p>
                  <w:pPr>
                    <w:pStyle w:val="76"/>
                    <w:spacing w:line="400" w:lineRule="exact"/>
                    <w:rPr>
                      <w:color w:val="auto"/>
                      <w:sz w:val="21"/>
                      <w:szCs w:val="21"/>
                    </w:rPr>
                  </w:pPr>
                  <w:r>
                    <w:rPr>
                      <w:rFonts w:hint="eastAsia"/>
                      <w:color w:val="auto"/>
                      <w:sz w:val="21"/>
                      <w:szCs w:val="21"/>
                    </w:rPr>
                    <w:t>本项目污染物均满足《关中地区重点行业大气污染物排放标准》（GB61</w:t>
                  </w:r>
                  <w:r>
                    <w:rPr>
                      <w:color w:val="auto"/>
                      <w:sz w:val="21"/>
                      <w:szCs w:val="21"/>
                    </w:rPr>
                    <w:t xml:space="preserve"> </w:t>
                  </w:r>
                  <w:r>
                    <w:rPr>
                      <w:rFonts w:hint="eastAsia"/>
                      <w:color w:val="auto"/>
                      <w:sz w:val="21"/>
                      <w:szCs w:val="21"/>
                    </w:rPr>
                    <w:t>1226-2018）中的砖瓦工业大气污染物排放浓度限值要求</w:t>
                  </w:r>
                </w:p>
              </w:tc>
              <w:tc>
                <w:tcPr>
                  <w:tcW w:w="957" w:type="dxa"/>
                  <w:shd w:val="clear" w:color="auto" w:fill="auto"/>
                  <w:vAlign w:val="center"/>
                </w:tcPr>
                <w:p>
                  <w:pPr>
                    <w:pStyle w:val="76"/>
                    <w:spacing w:line="400" w:lineRule="exact"/>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0" w:type="dxa"/>
                  <w:shd w:val="clear" w:color="auto" w:fill="auto"/>
                  <w:vAlign w:val="center"/>
                </w:tcPr>
                <w:p>
                  <w:pPr>
                    <w:pStyle w:val="76"/>
                    <w:spacing w:line="400" w:lineRule="exact"/>
                    <w:rPr>
                      <w:color w:val="auto"/>
                      <w:sz w:val="21"/>
                      <w:szCs w:val="21"/>
                    </w:rPr>
                  </w:pPr>
                  <w:r>
                    <w:rPr>
                      <w:rFonts w:hint="eastAsia"/>
                      <w:color w:val="auto"/>
                      <w:sz w:val="21"/>
                      <w:szCs w:val="21"/>
                    </w:rPr>
                    <w:t>3</w:t>
                  </w:r>
                </w:p>
              </w:tc>
              <w:tc>
                <w:tcPr>
                  <w:tcW w:w="4275" w:type="dxa"/>
                  <w:shd w:val="clear" w:color="auto" w:fill="auto"/>
                  <w:vAlign w:val="center"/>
                </w:tcPr>
                <w:p>
                  <w:pPr>
                    <w:pStyle w:val="76"/>
                    <w:spacing w:line="400" w:lineRule="exact"/>
                    <w:rPr>
                      <w:b/>
                      <w:color w:val="auto"/>
                      <w:sz w:val="21"/>
                      <w:szCs w:val="21"/>
                    </w:rPr>
                  </w:pPr>
                  <w:r>
                    <w:rPr>
                      <w:color w:val="auto"/>
                      <w:sz w:val="21"/>
                      <w:szCs w:val="21"/>
                    </w:rPr>
                    <w:t>全面加强无组织排放管理。严格控制工业炉窑生产工艺过程及相关物料储存、输送等无组织排放，在保障生产安全的前提下，采取密闭、封闭等有效措施（见附件5），有效提高废气收集率，产尘点及车间不得有可见烟粉尘外逸。生产工艺产尘点（装置）应采取密闭、封闭或设置集气罩等措施。粒状、块状物料应采用入棚入仓或建设防风抑尘网等方式进行储存，粒状物料采用密闭、封闭等方式输送。物料输送过程中产尘点应采取有效抑尘措施。</w:t>
                  </w:r>
                </w:p>
              </w:tc>
              <w:tc>
                <w:tcPr>
                  <w:tcW w:w="2892" w:type="dxa"/>
                  <w:shd w:val="clear" w:color="auto" w:fill="auto"/>
                  <w:vAlign w:val="center"/>
                </w:tcPr>
                <w:p>
                  <w:pPr>
                    <w:pStyle w:val="76"/>
                    <w:spacing w:line="400" w:lineRule="exact"/>
                    <w:rPr>
                      <w:color w:val="auto"/>
                      <w:sz w:val="21"/>
                      <w:szCs w:val="21"/>
                    </w:rPr>
                  </w:pPr>
                  <w:r>
                    <w:rPr>
                      <w:rFonts w:hint="eastAsia"/>
                      <w:color w:val="auto"/>
                      <w:sz w:val="21"/>
                      <w:szCs w:val="21"/>
                    </w:rPr>
                    <w:t>本项目物料储存均在密闭的车间内进行，物料在密闭车间内堆放，工艺粉尘采用集气罩收集后，除尘器处理后排放。</w:t>
                  </w:r>
                </w:p>
              </w:tc>
              <w:tc>
                <w:tcPr>
                  <w:tcW w:w="957" w:type="dxa"/>
                  <w:shd w:val="clear" w:color="auto" w:fill="auto"/>
                  <w:vAlign w:val="center"/>
                </w:tcPr>
                <w:p>
                  <w:pPr>
                    <w:pStyle w:val="76"/>
                    <w:spacing w:line="400" w:lineRule="exact"/>
                    <w:rPr>
                      <w:color w:val="auto"/>
                      <w:sz w:val="21"/>
                      <w:szCs w:val="21"/>
                    </w:rPr>
                  </w:pPr>
                  <w:r>
                    <w:rPr>
                      <w:rFonts w:hint="eastAsia"/>
                      <w:color w:val="auto"/>
                      <w:sz w:val="21"/>
                      <w:szCs w:val="21"/>
                    </w:rPr>
                    <w:t>符合</w:t>
                  </w:r>
                </w:p>
              </w:tc>
            </w:tr>
          </w:tbl>
          <w:p>
            <w:pPr>
              <w:spacing w:line="360" w:lineRule="auto"/>
              <w:ind w:firstLine="480" w:firstLineChars="200"/>
              <w:rPr>
                <w:color w:val="auto"/>
                <w:sz w:val="24"/>
              </w:rPr>
            </w:pPr>
            <w:r>
              <w:rPr>
                <w:rFonts w:hint="eastAsia"/>
                <w:color w:val="auto"/>
                <w:sz w:val="24"/>
              </w:rPr>
              <w:t>（7）与《三部门关于加快烧结砖瓦行业转型发展的若干意见》符合性</w:t>
            </w:r>
          </w:p>
          <w:p>
            <w:pPr>
              <w:spacing w:line="360" w:lineRule="auto"/>
              <w:ind w:firstLine="480" w:firstLineChars="200"/>
              <w:rPr>
                <w:rFonts w:hAnsi="宋体"/>
                <w:color w:val="auto"/>
                <w:sz w:val="24"/>
              </w:rPr>
            </w:pPr>
            <w:r>
              <w:rPr>
                <w:rFonts w:hint="eastAsia" w:hAnsi="宋体"/>
                <w:color w:val="auto"/>
                <w:sz w:val="24"/>
              </w:rPr>
              <w:t>为贯彻落实《国务院关于印发大气污染防治行动计划的通知》（国发〔2013〕37号）、《国务院办公厅关于促进建材工业稳增长调结构增效益的指导意见》（国办发〔2016〕34号）和《京津冀及周边地区2017－2018年秋冬季大气污染综合治理攻坚行动方案》（环大气〔2017〕110号），引导烧结砖瓦行业加快转型发展，工业和信息化部、环境保护部、国家安全监管总局提出《</w:t>
            </w:r>
            <w:r>
              <w:rPr>
                <w:rFonts w:hint="eastAsia"/>
                <w:color w:val="auto"/>
                <w:sz w:val="24"/>
              </w:rPr>
              <w:t>三部门关于加快烧结砖瓦行业转型发展的若干意见</w:t>
            </w:r>
            <w:r>
              <w:rPr>
                <w:rFonts w:hint="eastAsia" w:hAnsi="宋体"/>
                <w:color w:val="auto"/>
                <w:sz w:val="24"/>
              </w:rPr>
              <w:t>》（工信部联原[2017]279号）。</w:t>
            </w:r>
          </w:p>
          <w:p>
            <w:pPr>
              <w:jc w:val="center"/>
              <w:rPr>
                <w:b/>
                <w:color w:val="auto"/>
              </w:rPr>
            </w:pPr>
            <w:r>
              <w:rPr>
                <w:rFonts w:hint="eastAsia"/>
                <w:b/>
                <w:color w:val="auto"/>
              </w:rPr>
              <w:t>表5    与《三部门关于加快烧结砖瓦行业转型发展的若干意见》相符性分析</w:t>
            </w:r>
          </w:p>
          <w:tbl>
            <w:tblPr>
              <w:tblStyle w:val="24"/>
              <w:tblW w:w="8824"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00"/>
              <w:gridCol w:w="4275"/>
              <w:gridCol w:w="2892"/>
              <w:gridCol w:w="95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0" w:type="dxa"/>
                  <w:shd w:val="clear" w:color="auto" w:fill="auto"/>
                  <w:vAlign w:val="center"/>
                </w:tcPr>
                <w:p>
                  <w:pPr>
                    <w:pStyle w:val="76"/>
                    <w:spacing w:line="400" w:lineRule="exact"/>
                    <w:rPr>
                      <w:color w:val="auto"/>
                      <w:sz w:val="21"/>
                      <w:szCs w:val="21"/>
                    </w:rPr>
                  </w:pPr>
                  <w:r>
                    <w:rPr>
                      <w:rFonts w:hint="eastAsia"/>
                      <w:color w:val="auto"/>
                      <w:sz w:val="21"/>
                      <w:szCs w:val="21"/>
                    </w:rPr>
                    <w:t>序号</w:t>
                  </w:r>
                </w:p>
              </w:tc>
              <w:tc>
                <w:tcPr>
                  <w:tcW w:w="4275" w:type="dxa"/>
                  <w:shd w:val="clear" w:color="auto" w:fill="auto"/>
                  <w:vAlign w:val="center"/>
                </w:tcPr>
                <w:p>
                  <w:pPr>
                    <w:pStyle w:val="76"/>
                    <w:spacing w:line="400" w:lineRule="exact"/>
                    <w:rPr>
                      <w:color w:val="auto"/>
                      <w:sz w:val="21"/>
                      <w:szCs w:val="21"/>
                    </w:rPr>
                  </w:pPr>
                  <w:r>
                    <w:rPr>
                      <w:rFonts w:hint="eastAsia"/>
                      <w:color w:val="auto"/>
                      <w:sz w:val="21"/>
                      <w:szCs w:val="21"/>
                    </w:rPr>
                    <w:t>意见要求</w:t>
                  </w:r>
                </w:p>
              </w:tc>
              <w:tc>
                <w:tcPr>
                  <w:tcW w:w="2892" w:type="dxa"/>
                  <w:shd w:val="clear" w:color="auto" w:fill="auto"/>
                  <w:vAlign w:val="center"/>
                </w:tcPr>
                <w:p>
                  <w:pPr>
                    <w:pStyle w:val="76"/>
                    <w:spacing w:line="400" w:lineRule="exact"/>
                    <w:rPr>
                      <w:color w:val="auto"/>
                      <w:sz w:val="21"/>
                      <w:szCs w:val="21"/>
                    </w:rPr>
                  </w:pPr>
                  <w:r>
                    <w:rPr>
                      <w:rFonts w:hint="eastAsia"/>
                      <w:color w:val="auto"/>
                      <w:sz w:val="21"/>
                      <w:szCs w:val="21"/>
                    </w:rPr>
                    <w:t>项目情况</w:t>
                  </w:r>
                </w:p>
              </w:tc>
              <w:tc>
                <w:tcPr>
                  <w:tcW w:w="957" w:type="dxa"/>
                  <w:shd w:val="clear" w:color="auto" w:fill="auto"/>
                  <w:vAlign w:val="center"/>
                </w:tcPr>
                <w:p>
                  <w:pPr>
                    <w:pStyle w:val="76"/>
                    <w:spacing w:line="400" w:lineRule="exact"/>
                    <w:rPr>
                      <w:color w:val="auto"/>
                      <w:sz w:val="21"/>
                      <w:szCs w:val="21"/>
                    </w:rPr>
                  </w:pPr>
                  <w:r>
                    <w:rPr>
                      <w:rFonts w:hint="eastAsia"/>
                      <w:color w:val="auto"/>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0" w:type="dxa"/>
                  <w:shd w:val="clear" w:color="auto" w:fill="auto"/>
                  <w:vAlign w:val="center"/>
                </w:tcPr>
                <w:p>
                  <w:pPr>
                    <w:pStyle w:val="76"/>
                    <w:spacing w:line="400" w:lineRule="exact"/>
                    <w:rPr>
                      <w:color w:val="auto"/>
                      <w:sz w:val="21"/>
                      <w:szCs w:val="21"/>
                    </w:rPr>
                  </w:pPr>
                  <w:r>
                    <w:rPr>
                      <w:rFonts w:hint="eastAsia"/>
                      <w:color w:val="auto"/>
                      <w:sz w:val="21"/>
                      <w:szCs w:val="21"/>
                    </w:rPr>
                    <w:t>1</w:t>
                  </w:r>
                </w:p>
              </w:tc>
              <w:tc>
                <w:tcPr>
                  <w:tcW w:w="4275" w:type="dxa"/>
                  <w:shd w:val="clear" w:color="auto" w:fill="auto"/>
                  <w:vAlign w:val="center"/>
                </w:tcPr>
                <w:p>
                  <w:pPr>
                    <w:pStyle w:val="76"/>
                    <w:spacing w:line="400" w:lineRule="exact"/>
                    <w:rPr>
                      <w:color w:val="auto"/>
                      <w:sz w:val="21"/>
                      <w:szCs w:val="21"/>
                    </w:rPr>
                  </w:pPr>
                  <w:r>
                    <w:rPr>
                      <w:rFonts w:hint="eastAsia"/>
                      <w:color w:val="auto"/>
                      <w:sz w:val="21"/>
                      <w:szCs w:val="21"/>
                    </w:rPr>
                    <w:t>大力发展轻质高强、保温防火、与建筑同寿命、多功能一体化的装配式墙材、屋面及围护结构部品。引导砖瓦产品向高掺量、高孔洞率、高强度、多功能和自装饰等方向发展，重点发展结构功能一体化的烧结多孔砖、空心砖、自保温砌块、复合保温砌块、清水墙砖、透水路面砖、烧结墙板等产品，防水防腐防火保温一体化的装配式墙材、屋面等产品，以及综合性能好的烧结瓦和太阳能屋面瓦等。</w:t>
                  </w:r>
                </w:p>
              </w:tc>
              <w:tc>
                <w:tcPr>
                  <w:tcW w:w="2892" w:type="dxa"/>
                  <w:shd w:val="clear" w:color="auto" w:fill="auto"/>
                  <w:vAlign w:val="center"/>
                </w:tcPr>
                <w:p>
                  <w:pPr>
                    <w:pStyle w:val="76"/>
                    <w:spacing w:line="400" w:lineRule="exact"/>
                    <w:rPr>
                      <w:color w:val="auto"/>
                      <w:sz w:val="21"/>
                      <w:szCs w:val="21"/>
                    </w:rPr>
                  </w:pPr>
                  <w:r>
                    <w:rPr>
                      <w:rFonts w:hint="eastAsia"/>
                      <w:color w:val="auto"/>
                      <w:sz w:val="21"/>
                      <w:szCs w:val="21"/>
                    </w:rPr>
                    <w:t>本项目产品主要包括清水砖（多孔砖）、空心砌块、保温砌块</w:t>
                  </w:r>
                </w:p>
              </w:tc>
              <w:tc>
                <w:tcPr>
                  <w:tcW w:w="957" w:type="dxa"/>
                  <w:shd w:val="clear" w:color="auto" w:fill="auto"/>
                  <w:vAlign w:val="center"/>
                </w:tcPr>
                <w:p>
                  <w:pPr>
                    <w:pStyle w:val="76"/>
                    <w:spacing w:line="400" w:lineRule="exact"/>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0" w:type="dxa"/>
                  <w:shd w:val="clear" w:color="auto" w:fill="auto"/>
                  <w:vAlign w:val="center"/>
                </w:tcPr>
                <w:p>
                  <w:pPr>
                    <w:pStyle w:val="76"/>
                    <w:spacing w:line="400" w:lineRule="exact"/>
                    <w:rPr>
                      <w:color w:val="auto"/>
                      <w:sz w:val="21"/>
                      <w:szCs w:val="21"/>
                    </w:rPr>
                  </w:pPr>
                  <w:r>
                    <w:rPr>
                      <w:rFonts w:hint="eastAsia"/>
                      <w:color w:val="auto"/>
                      <w:sz w:val="21"/>
                      <w:szCs w:val="21"/>
                    </w:rPr>
                    <w:t>2</w:t>
                  </w:r>
                </w:p>
              </w:tc>
              <w:tc>
                <w:tcPr>
                  <w:tcW w:w="4275" w:type="dxa"/>
                  <w:shd w:val="clear" w:color="auto" w:fill="auto"/>
                  <w:vAlign w:val="center"/>
                </w:tcPr>
                <w:p>
                  <w:pPr>
                    <w:pStyle w:val="76"/>
                    <w:spacing w:line="400" w:lineRule="exact"/>
                    <w:rPr>
                      <w:color w:val="auto"/>
                      <w:sz w:val="21"/>
                      <w:szCs w:val="21"/>
                    </w:rPr>
                  </w:pPr>
                  <w:r>
                    <w:rPr>
                      <w:rFonts w:hint="eastAsia"/>
                      <w:color w:val="auto"/>
                      <w:sz w:val="21"/>
                      <w:szCs w:val="21"/>
                    </w:rPr>
                    <w:t>开展清洁生产技术改造，原燃料应密闭存储或采取防风、抑尘、降尘等措施。严格控制并强化治理原燃料破碎、干燥焙烧、制备成型等工段无组织排放烟（粉）尘。安装污染物在线监控系统并与监管部门联网，主动披露污染物排放信息。</w:t>
                  </w:r>
                </w:p>
              </w:tc>
              <w:tc>
                <w:tcPr>
                  <w:tcW w:w="2892" w:type="dxa"/>
                  <w:shd w:val="clear" w:color="auto" w:fill="auto"/>
                  <w:vAlign w:val="center"/>
                </w:tcPr>
                <w:p>
                  <w:pPr>
                    <w:pStyle w:val="76"/>
                    <w:spacing w:line="400" w:lineRule="exact"/>
                    <w:rPr>
                      <w:color w:val="auto"/>
                      <w:sz w:val="21"/>
                      <w:szCs w:val="21"/>
                    </w:rPr>
                  </w:pPr>
                  <w:r>
                    <w:rPr>
                      <w:rFonts w:hint="eastAsia"/>
                      <w:color w:val="auto"/>
                      <w:sz w:val="21"/>
                      <w:szCs w:val="21"/>
                    </w:rPr>
                    <w:t>本项目采用密闭原料储存场所，破碎工段粉尘有组织排放；拟设置在线监控系统并与监管部门联网</w:t>
                  </w:r>
                </w:p>
              </w:tc>
              <w:tc>
                <w:tcPr>
                  <w:tcW w:w="957" w:type="dxa"/>
                  <w:shd w:val="clear" w:color="auto" w:fill="auto"/>
                  <w:vAlign w:val="center"/>
                </w:tcPr>
                <w:p>
                  <w:pPr>
                    <w:pStyle w:val="76"/>
                    <w:spacing w:line="400" w:lineRule="exact"/>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0" w:type="dxa"/>
                  <w:shd w:val="clear" w:color="auto" w:fill="auto"/>
                  <w:vAlign w:val="center"/>
                </w:tcPr>
                <w:p>
                  <w:pPr>
                    <w:pStyle w:val="76"/>
                    <w:spacing w:line="400" w:lineRule="exact"/>
                    <w:rPr>
                      <w:color w:val="auto"/>
                      <w:sz w:val="21"/>
                      <w:szCs w:val="21"/>
                    </w:rPr>
                  </w:pPr>
                  <w:r>
                    <w:rPr>
                      <w:rFonts w:hint="eastAsia"/>
                      <w:color w:val="auto"/>
                      <w:sz w:val="21"/>
                      <w:szCs w:val="21"/>
                    </w:rPr>
                    <w:t>3</w:t>
                  </w:r>
                </w:p>
              </w:tc>
              <w:tc>
                <w:tcPr>
                  <w:tcW w:w="4275" w:type="dxa"/>
                  <w:shd w:val="clear" w:color="auto" w:fill="auto"/>
                  <w:vAlign w:val="center"/>
                </w:tcPr>
                <w:p>
                  <w:pPr>
                    <w:pStyle w:val="76"/>
                    <w:spacing w:line="400" w:lineRule="exact"/>
                    <w:rPr>
                      <w:color w:val="auto"/>
                      <w:sz w:val="21"/>
                      <w:szCs w:val="21"/>
                    </w:rPr>
                  </w:pPr>
                  <w:r>
                    <w:rPr>
                      <w:rFonts w:hint="eastAsia"/>
                      <w:color w:val="auto"/>
                      <w:sz w:val="21"/>
                      <w:szCs w:val="21"/>
                    </w:rPr>
                    <w:t>从原料制备、挤出成型、干燥焙烧、包装入库到运输，实现全过程自动化生产、信息化控制。推进互联网、云计算、大数据在砖瓦行业应用。开发推广电子计量精准控制配料和自动控制挤出成型、烘干焙烧系统。加快“机器代人”改造，实现高精度切坯、翻坯、码卸坯、包装仓储等环节自动化机器人化，提升砖瓦生产智能化和本质安全水平，逐步建立个性化定制的产品配送系统。</w:t>
                  </w:r>
                </w:p>
              </w:tc>
              <w:tc>
                <w:tcPr>
                  <w:tcW w:w="2892" w:type="dxa"/>
                  <w:shd w:val="clear" w:color="auto" w:fill="auto"/>
                  <w:vAlign w:val="center"/>
                </w:tcPr>
                <w:p>
                  <w:pPr>
                    <w:pStyle w:val="76"/>
                    <w:spacing w:line="400" w:lineRule="exact"/>
                    <w:rPr>
                      <w:color w:val="auto"/>
                      <w:sz w:val="21"/>
                      <w:szCs w:val="21"/>
                    </w:rPr>
                  </w:pPr>
                  <w:r>
                    <w:rPr>
                      <w:rFonts w:hint="eastAsia"/>
                      <w:color w:val="auto"/>
                      <w:sz w:val="21"/>
                      <w:szCs w:val="21"/>
                    </w:rPr>
                    <w:t>生产过程中采用自动化控制，翻坯、码卸坯、包装仓储等环节自动化机器人化</w:t>
                  </w:r>
                </w:p>
              </w:tc>
              <w:tc>
                <w:tcPr>
                  <w:tcW w:w="957" w:type="dxa"/>
                  <w:shd w:val="clear" w:color="auto" w:fill="auto"/>
                  <w:vAlign w:val="center"/>
                </w:tcPr>
                <w:p>
                  <w:pPr>
                    <w:pStyle w:val="76"/>
                    <w:spacing w:line="400" w:lineRule="exact"/>
                    <w:rPr>
                      <w:color w:val="auto"/>
                      <w:sz w:val="21"/>
                      <w:szCs w:val="21"/>
                    </w:rPr>
                  </w:pPr>
                  <w:r>
                    <w:rPr>
                      <w:rFonts w:hint="eastAsia"/>
                      <w:color w:val="auto"/>
                      <w:sz w:val="21"/>
                      <w:szCs w:val="21"/>
                    </w:rPr>
                    <w:t>符合</w:t>
                  </w:r>
                </w:p>
              </w:tc>
            </w:tr>
          </w:tbl>
          <w:p>
            <w:pPr>
              <w:spacing w:line="360" w:lineRule="auto"/>
              <w:ind w:firstLine="480" w:firstLineChars="200"/>
              <w:rPr>
                <w:rFonts w:hAnsi="宋体"/>
                <w:color w:val="auto"/>
                <w:sz w:val="24"/>
              </w:rPr>
            </w:pPr>
          </w:p>
          <w:p>
            <w:pPr>
              <w:spacing w:line="360" w:lineRule="auto"/>
              <w:ind w:firstLine="480" w:firstLineChars="200"/>
              <w:rPr>
                <w:color w:val="auto"/>
                <w:sz w:val="24"/>
              </w:rPr>
            </w:pPr>
            <w:r>
              <w:rPr>
                <w:rFonts w:hint="eastAsia"/>
                <w:color w:val="auto"/>
                <w:sz w:val="24"/>
              </w:rPr>
              <w:t>（8）与《西安市“铁腕治霾·保卫蓝天”三年行动方案（2018—2020年）（修订版）》符合性</w:t>
            </w:r>
          </w:p>
          <w:p>
            <w:pPr>
              <w:spacing w:line="360" w:lineRule="auto"/>
              <w:ind w:firstLine="480" w:firstLineChars="200"/>
              <w:rPr>
                <w:rFonts w:hAnsi="宋体"/>
                <w:color w:val="auto"/>
                <w:sz w:val="24"/>
              </w:rPr>
            </w:pPr>
            <w:r>
              <w:rPr>
                <w:rFonts w:hint="eastAsia" w:hAnsi="宋体"/>
                <w:color w:val="auto"/>
                <w:sz w:val="24"/>
              </w:rPr>
              <w:t>为全面对标国务院《打赢蓝天保卫战三年行动计划》和《陕西省铁腕治霾打赢蓝天保卫战三年行动方案(2018—2020年)(修订版)》，坚持全民共治、源头防治、标本兼治，持续实施大气污染防治行动，改善全市空气质量，西安市人民政府制定</w:t>
            </w:r>
            <w:r>
              <w:rPr>
                <w:rFonts w:hint="eastAsia"/>
                <w:color w:val="auto"/>
                <w:sz w:val="24"/>
              </w:rPr>
              <w:t>《西安市“铁腕治霾·保卫蓝天”三年行动方案（2018—2020年）（修订版）》</w:t>
            </w:r>
            <w:r>
              <w:rPr>
                <w:rFonts w:hint="eastAsia" w:hAnsi="宋体"/>
                <w:color w:val="auto"/>
                <w:sz w:val="24"/>
              </w:rPr>
              <w:t>。</w:t>
            </w:r>
          </w:p>
          <w:p>
            <w:pPr>
              <w:jc w:val="center"/>
              <w:rPr>
                <w:b/>
                <w:color w:val="auto"/>
              </w:rPr>
            </w:pPr>
            <w:r>
              <w:rPr>
                <w:rFonts w:hint="eastAsia"/>
                <w:b/>
                <w:color w:val="auto"/>
              </w:rPr>
              <w:t>表6    与《西安市“铁腕治霾·保卫蓝天”三年行动方案（2018—2020年）（修订版）》相符性分析</w:t>
            </w:r>
          </w:p>
          <w:tbl>
            <w:tblPr>
              <w:tblStyle w:val="24"/>
              <w:tblW w:w="8824"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00"/>
              <w:gridCol w:w="4275"/>
              <w:gridCol w:w="2892"/>
              <w:gridCol w:w="95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0" w:type="dxa"/>
                  <w:shd w:val="clear" w:color="auto" w:fill="auto"/>
                  <w:vAlign w:val="center"/>
                </w:tcPr>
                <w:p>
                  <w:pPr>
                    <w:pStyle w:val="76"/>
                    <w:spacing w:line="400" w:lineRule="exact"/>
                    <w:rPr>
                      <w:color w:val="auto"/>
                      <w:sz w:val="21"/>
                      <w:szCs w:val="21"/>
                    </w:rPr>
                  </w:pPr>
                  <w:r>
                    <w:rPr>
                      <w:rFonts w:hint="eastAsia"/>
                      <w:color w:val="auto"/>
                      <w:sz w:val="21"/>
                      <w:szCs w:val="21"/>
                    </w:rPr>
                    <w:t>序号</w:t>
                  </w:r>
                </w:p>
              </w:tc>
              <w:tc>
                <w:tcPr>
                  <w:tcW w:w="4275" w:type="dxa"/>
                  <w:shd w:val="clear" w:color="auto" w:fill="auto"/>
                  <w:vAlign w:val="center"/>
                </w:tcPr>
                <w:p>
                  <w:pPr>
                    <w:pStyle w:val="76"/>
                    <w:spacing w:line="400" w:lineRule="exact"/>
                    <w:rPr>
                      <w:color w:val="auto"/>
                      <w:sz w:val="21"/>
                      <w:szCs w:val="21"/>
                    </w:rPr>
                  </w:pPr>
                  <w:r>
                    <w:rPr>
                      <w:rFonts w:hint="eastAsia"/>
                      <w:color w:val="auto"/>
                      <w:sz w:val="21"/>
                      <w:szCs w:val="21"/>
                    </w:rPr>
                    <w:t>方案要求</w:t>
                  </w:r>
                </w:p>
              </w:tc>
              <w:tc>
                <w:tcPr>
                  <w:tcW w:w="2892" w:type="dxa"/>
                  <w:shd w:val="clear" w:color="auto" w:fill="auto"/>
                  <w:vAlign w:val="center"/>
                </w:tcPr>
                <w:p>
                  <w:pPr>
                    <w:pStyle w:val="76"/>
                    <w:spacing w:line="400" w:lineRule="exact"/>
                    <w:rPr>
                      <w:color w:val="auto"/>
                      <w:sz w:val="21"/>
                      <w:szCs w:val="21"/>
                    </w:rPr>
                  </w:pPr>
                  <w:r>
                    <w:rPr>
                      <w:rFonts w:hint="eastAsia"/>
                      <w:color w:val="auto"/>
                      <w:sz w:val="21"/>
                      <w:szCs w:val="21"/>
                    </w:rPr>
                    <w:t>项目情况</w:t>
                  </w:r>
                </w:p>
              </w:tc>
              <w:tc>
                <w:tcPr>
                  <w:tcW w:w="957" w:type="dxa"/>
                  <w:shd w:val="clear" w:color="auto" w:fill="auto"/>
                  <w:vAlign w:val="center"/>
                </w:tcPr>
                <w:p>
                  <w:pPr>
                    <w:pStyle w:val="76"/>
                    <w:spacing w:line="400" w:lineRule="exact"/>
                    <w:rPr>
                      <w:color w:val="auto"/>
                      <w:sz w:val="21"/>
                      <w:szCs w:val="21"/>
                    </w:rPr>
                  </w:pPr>
                  <w:r>
                    <w:rPr>
                      <w:rFonts w:hint="eastAsia"/>
                      <w:color w:val="auto"/>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0" w:type="dxa"/>
                  <w:shd w:val="clear" w:color="auto" w:fill="auto"/>
                  <w:vAlign w:val="center"/>
                </w:tcPr>
                <w:p>
                  <w:pPr>
                    <w:pStyle w:val="76"/>
                    <w:spacing w:line="400" w:lineRule="exact"/>
                    <w:rPr>
                      <w:color w:val="auto"/>
                      <w:sz w:val="21"/>
                      <w:szCs w:val="21"/>
                    </w:rPr>
                  </w:pPr>
                  <w:r>
                    <w:rPr>
                      <w:rFonts w:hint="eastAsia"/>
                      <w:color w:val="auto"/>
                      <w:sz w:val="21"/>
                      <w:szCs w:val="21"/>
                    </w:rPr>
                    <w:t>1</w:t>
                  </w:r>
                </w:p>
              </w:tc>
              <w:tc>
                <w:tcPr>
                  <w:tcW w:w="4275" w:type="dxa"/>
                  <w:shd w:val="clear" w:color="auto" w:fill="auto"/>
                  <w:vAlign w:val="center"/>
                </w:tcPr>
                <w:p>
                  <w:pPr>
                    <w:pStyle w:val="76"/>
                    <w:spacing w:line="400" w:lineRule="exact"/>
                    <w:rPr>
                      <w:color w:val="auto"/>
                      <w:sz w:val="21"/>
                      <w:szCs w:val="21"/>
                    </w:rPr>
                  </w:pPr>
                  <w:r>
                    <w:rPr>
                      <w:rFonts w:hint="eastAsia"/>
                      <w:color w:val="auto"/>
                      <w:sz w:val="21"/>
                      <w:szCs w:val="21"/>
                    </w:rPr>
                    <w:t>积极推行区域、规划环境影响评价，禁止新建钢铁、石化、化工、焦化、建材、有色等建设项目，对现有的化工、建材、有色等项目的改、扩建环境影响评价，应满足区域、规划环评要求。禁止新增化工园区。</w:t>
                  </w:r>
                </w:p>
              </w:tc>
              <w:tc>
                <w:tcPr>
                  <w:tcW w:w="2892" w:type="dxa"/>
                  <w:shd w:val="clear" w:color="auto" w:fill="auto"/>
                  <w:vAlign w:val="center"/>
                </w:tcPr>
                <w:p>
                  <w:pPr>
                    <w:pStyle w:val="76"/>
                    <w:spacing w:line="400" w:lineRule="exact"/>
                    <w:rPr>
                      <w:color w:val="auto"/>
                      <w:sz w:val="21"/>
                      <w:szCs w:val="21"/>
                    </w:rPr>
                  </w:pPr>
                  <w:r>
                    <w:rPr>
                      <w:rFonts w:hint="eastAsia"/>
                      <w:color w:val="auto"/>
                      <w:sz w:val="21"/>
                      <w:szCs w:val="21"/>
                    </w:rPr>
                    <w:t>本项目属于已有项目，符合规划环评要求</w:t>
                  </w:r>
                </w:p>
              </w:tc>
              <w:tc>
                <w:tcPr>
                  <w:tcW w:w="957" w:type="dxa"/>
                  <w:shd w:val="clear" w:color="auto" w:fill="auto"/>
                  <w:vAlign w:val="center"/>
                </w:tcPr>
                <w:p>
                  <w:pPr>
                    <w:pStyle w:val="76"/>
                    <w:spacing w:line="400" w:lineRule="exact"/>
                    <w:rPr>
                      <w:color w:val="auto"/>
                      <w:sz w:val="21"/>
                      <w:szCs w:val="21"/>
                    </w:rPr>
                  </w:pPr>
                  <w:r>
                    <w:rPr>
                      <w:rFonts w:hint="eastAsia"/>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0" w:type="dxa"/>
                  <w:shd w:val="clear" w:color="auto" w:fill="auto"/>
                  <w:vAlign w:val="center"/>
                </w:tcPr>
                <w:p>
                  <w:pPr>
                    <w:pStyle w:val="76"/>
                    <w:spacing w:line="400" w:lineRule="exact"/>
                    <w:rPr>
                      <w:color w:val="auto"/>
                      <w:sz w:val="21"/>
                      <w:szCs w:val="21"/>
                    </w:rPr>
                  </w:pPr>
                  <w:r>
                    <w:rPr>
                      <w:rFonts w:hint="eastAsia"/>
                      <w:color w:val="auto"/>
                      <w:sz w:val="21"/>
                      <w:szCs w:val="21"/>
                    </w:rPr>
                    <w:t>2</w:t>
                  </w:r>
                </w:p>
              </w:tc>
              <w:tc>
                <w:tcPr>
                  <w:tcW w:w="4275" w:type="dxa"/>
                  <w:shd w:val="clear" w:color="auto" w:fill="auto"/>
                  <w:vAlign w:val="center"/>
                </w:tcPr>
                <w:p>
                  <w:pPr>
                    <w:pStyle w:val="76"/>
                    <w:spacing w:line="400" w:lineRule="exact"/>
                    <w:rPr>
                      <w:color w:val="auto"/>
                      <w:sz w:val="21"/>
                      <w:szCs w:val="21"/>
                    </w:rPr>
                  </w:pPr>
                  <w:r>
                    <w:rPr>
                      <w:rFonts w:hint="eastAsia"/>
                      <w:color w:val="auto"/>
                      <w:sz w:val="21"/>
                      <w:szCs w:val="21"/>
                    </w:rPr>
                    <w:t>重点工业污染源全面安装烟气在线监控设施，监督污染源企业确保在线监测数据的真实、准确。</w:t>
                  </w:r>
                </w:p>
              </w:tc>
              <w:tc>
                <w:tcPr>
                  <w:tcW w:w="2892" w:type="dxa"/>
                  <w:shd w:val="clear" w:color="auto" w:fill="auto"/>
                  <w:vAlign w:val="center"/>
                </w:tcPr>
                <w:p>
                  <w:pPr>
                    <w:pStyle w:val="76"/>
                    <w:spacing w:line="400" w:lineRule="exact"/>
                    <w:rPr>
                      <w:color w:val="auto"/>
                      <w:sz w:val="21"/>
                      <w:szCs w:val="21"/>
                    </w:rPr>
                  </w:pPr>
                  <w:r>
                    <w:rPr>
                      <w:rFonts w:hint="eastAsia"/>
                      <w:color w:val="auto"/>
                      <w:sz w:val="21"/>
                      <w:szCs w:val="21"/>
                    </w:rPr>
                    <w:t>本项目拟安装烟气在线监控设施</w:t>
                  </w:r>
                </w:p>
              </w:tc>
              <w:tc>
                <w:tcPr>
                  <w:tcW w:w="957" w:type="dxa"/>
                  <w:shd w:val="clear" w:color="auto" w:fill="auto"/>
                  <w:vAlign w:val="center"/>
                </w:tcPr>
                <w:p>
                  <w:pPr>
                    <w:pStyle w:val="76"/>
                    <w:spacing w:line="400" w:lineRule="exact"/>
                    <w:rPr>
                      <w:color w:val="auto"/>
                      <w:sz w:val="21"/>
                      <w:szCs w:val="21"/>
                    </w:rPr>
                  </w:pPr>
                  <w:r>
                    <w:rPr>
                      <w:rFonts w:hint="eastAsia"/>
                      <w:color w:val="auto"/>
                      <w:sz w:val="21"/>
                      <w:szCs w:val="21"/>
                    </w:rPr>
                    <w:t>符合</w:t>
                  </w:r>
                </w:p>
              </w:tc>
            </w:tr>
          </w:tbl>
          <w:p>
            <w:pPr>
              <w:widowControl/>
              <w:spacing w:line="360" w:lineRule="auto"/>
              <w:ind w:firstLine="482" w:firstLineChars="200"/>
              <w:jc w:val="left"/>
              <w:rPr>
                <w:b/>
                <w:color w:val="auto"/>
                <w:kern w:val="0"/>
                <w:sz w:val="24"/>
                <w:szCs w:val="24"/>
              </w:rPr>
            </w:pPr>
            <w:r>
              <w:rPr>
                <w:rFonts w:hint="eastAsia"/>
                <w:b/>
                <w:color w:val="auto"/>
                <w:kern w:val="0"/>
                <w:sz w:val="24"/>
                <w:szCs w:val="24"/>
              </w:rPr>
              <w:t>（9）项目与秦岭生态保护区的关系</w:t>
            </w:r>
          </w:p>
          <w:p>
            <w:pPr>
              <w:widowControl/>
              <w:spacing w:line="360" w:lineRule="auto"/>
              <w:ind w:firstLine="480" w:firstLineChars="200"/>
              <w:jc w:val="left"/>
              <w:rPr>
                <w:color w:val="auto"/>
                <w:kern w:val="0"/>
                <w:sz w:val="24"/>
                <w:szCs w:val="24"/>
              </w:rPr>
            </w:pPr>
            <w:r>
              <w:rPr>
                <w:rFonts w:hint="eastAsia"/>
                <w:color w:val="auto"/>
                <w:kern w:val="0"/>
                <w:sz w:val="24"/>
                <w:szCs w:val="24"/>
              </w:rPr>
              <w:t>根据《陕西省秦岭生态环境保护条例》，秦岭生态环境保护范围，是指本省行政区域内秦岭山体东西以省界为界、南北以秦岭山体坡底为界的区域。根据《西安市秦岭生态环境保护“十三五”规划》，秦岭西安段位于秦岭中段北麓，地处北纬33º42´～34º23´与东经107º40´～109º49´之间，东西长100公里，南北纵深30～60公里，其范围包括沿山路以北1000米至西安市东、西、南行政界限，面积5852.67平方公里，占西安市国土总面积的57.9%。自西向东涉及周至、户县、长安、蓝田、灞桥、临潼六个区县，425个行政村、700个自然村，人口达81万人。本项目位于长安行政区域107省道以北约6km，在划定的保护范围外约5km，不在秦岭保护区范围内。</w:t>
            </w:r>
          </w:p>
          <w:p>
            <w:pPr>
              <w:widowControl/>
              <w:spacing w:line="360" w:lineRule="auto"/>
              <w:ind w:firstLine="482" w:firstLineChars="200"/>
              <w:jc w:val="left"/>
              <w:rPr>
                <w:b/>
                <w:color w:val="auto"/>
                <w:kern w:val="0"/>
                <w:sz w:val="24"/>
                <w:szCs w:val="24"/>
              </w:rPr>
            </w:pPr>
            <w:r>
              <w:rPr>
                <w:b/>
                <w:color w:val="auto"/>
                <w:kern w:val="0"/>
                <w:sz w:val="24"/>
                <w:szCs w:val="24"/>
              </w:rPr>
              <w:t>4、项目关注的主要环境问题及环境影响</w:t>
            </w:r>
          </w:p>
          <w:p>
            <w:pPr>
              <w:widowControl/>
              <w:spacing w:line="360" w:lineRule="auto"/>
              <w:ind w:firstLine="480" w:firstLineChars="200"/>
              <w:jc w:val="left"/>
              <w:rPr>
                <w:color w:val="auto"/>
                <w:sz w:val="24"/>
              </w:rPr>
            </w:pPr>
            <w:r>
              <w:rPr>
                <w:color w:val="auto"/>
                <w:sz w:val="24"/>
              </w:rPr>
              <w:t>在工作过程中重点关注的环境问题有以下几个方面：</w:t>
            </w:r>
          </w:p>
          <w:p>
            <w:pPr>
              <w:widowControl/>
              <w:spacing w:line="360" w:lineRule="auto"/>
              <w:ind w:firstLine="480" w:firstLineChars="200"/>
              <w:jc w:val="left"/>
              <w:rPr>
                <w:color w:val="auto"/>
                <w:sz w:val="24"/>
              </w:rPr>
            </w:pPr>
            <w:r>
              <w:rPr>
                <w:color w:val="auto"/>
                <w:sz w:val="24"/>
              </w:rPr>
              <w:t>（1）环保设施与污染防治技术政策的符合性；</w:t>
            </w:r>
          </w:p>
          <w:p>
            <w:pPr>
              <w:widowControl/>
              <w:spacing w:line="360" w:lineRule="auto"/>
              <w:ind w:firstLine="480" w:firstLineChars="200"/>
              <w:jc w:val="left"/>
              <w:rPr>
                <w:color w:val="auto"/>
                <w:sz w:val="24"/>
              </w:rPr>
            </w:pPr>
            <w:r>
              <w:rPr>
                <w:color w:val="auto"/>
                <w:sz w:val="24"/>
              </w:rPr>
              <w:t>（2）运营期</w:t>
            </w:r>
            <w:r>
              <w:rPr>
                <w:rFonts w:hint="eastAsia"/>
                <w:color w:val="auto"/>
                <w:sz w:val="24"/>
              </w:rPr>
              <w:t>生产</w:t>
            </w:r>
            <w:r>
              <w:rPr>
                <w:color w:val="auto"/>
                <w:sz w:val="24"/>
              </w:rPr>
              <w:t>废气对周围空气环境的影响；</w:t>
            </w:r>
          </w:p>
          <w:p>
            <w:pPr>
              <w:widowControl/>
              <w:spacing w:line="360" w:lineRule="auto"/>
              <w:ind w:firstLine="480" w:firstLineChars="200"/>
              <w:jc w:val="left"/>
              <w:rPr>
                <w:color w:val="auto"/>
                <w:sz w:val="24"/>
              </w:rPr>
            </w:pPr>
            <w:r>
              <w:rPr>
                <w:color w:val="auto"/>
                <w:sz w:val="24"/>
              </w:rPr>
              <w:t>（4）污染防治措施的可行性论证。</w:t>
            </w:r>
          </w:p>
          <w:p>
            <w:pPr>
              <w:widowControl/>
              <w:spacing w:line="360" w:lineRule="auto"/>
              <w:ind w:firstLine="482" w:firstLineChars="200"/>
              <w:jc w:val="left"/>
              <w:rPr>
                <w:b/>
                <w:color w:val="auto"/>
                <w:kern w:val="0"/>
                <w:sz w:val="24"/>
                <w:szCs w:val="24"/>
              </w:rPr>
            </w:pPr>
            <w:r>
              <w:rPr>
                <w:b/>
                <w:color w:val="auto"/>
                <w:kern w:val="0"/>
                <w:sz w:val="24"/>
                <w:szCs w:val="24"/>
              </w:rPr>
              <w:t>5、环境影响评价的主要结论</w:t>
            </w:r>
          </w:p>
          <w:p>
            <w:pPr>
              <w:pStyle w:val="104"/>
              <w:spacing w:line="360" w:lineRule="auto"/>
              <w:ind w:firstLine="480" w:firstLineChars="200"/>
              <w:rPr>
                <w:rFonts w:ascii="Times New Roman" w:cs="Times New Roman"/>
                <w:color w:val="auto"/>
              </w:rPr>
            </w:pPr>
            <w:r>
              <w:rPr>
                <w:rFonts w:hint="eastAsia" w:hAnsi="宋体"/>
                <w:bCs/>
                <w:color w:val="auto"/>
              </w:rPr>
              <w:t>西安众昊新型环保建材建设</w:t>
            </w:r>
            <w:r>
              <w:rPr>
                <w:rFonts w:ascii="Times New Roman" w:cs="Times New Roman"/>
                <w:color w:val="auto"/>
              </w:rPr>
              <w:t>目符合国家产业政策要求，选址合理，项目的污染治理措施能够满足环保管理要求，废气、废水、噪声和固体废物均能实现达标排放和安</w:t>
            </w:r>
            <w:r>
              <w:rPr>
                <w:rFonts w:hint="eastAsia" w:ascii="Times New Roman" w:cs="Times New Roman"/>
                <w:color w:val="auto"/>
              </w:rPr>
              <w:t>合理</w:t>
            </w:r>
            <w:r>
              <w:rPr>
                <w:rFonts w:ascii="Times New Roman" w:cs="Times New Roman"/>
                <w:color w:val="auto"/>
              </w:rPr>
              <w:t>处置，对环境的影响较小该项目的建设是可行的。</w:t>
            </w:r>
            <w:r>
              <w:rPr>
                <w:rFonts w:ascii="Times New Roman" w:cs="Times New Roman"/>
                <w:color w:val="auto"/>
              </w:rPr>
              <w:tab/>
            </w:r>
          </w:p>
          <w:p>
            <w:pPr>
              <w:widowControl/>
              <w:spacing w:line="360" w:lineRule="auto"/>
              <w:jc w:val="left"/>
              <w:rPr>
                <w:b/>
                <w:color w:val="auto"/>
                <w:sz w:val="24"/>
              </w:rPr>
            </w:pPr>
            <w:r>
              <w:rPr>
                <w:b/>
                <w:color w:val="auto"/>
                <w:sz w:val="24"/>
              </w:rPr>
              <w:t>二、地理位置与交通</w:t>
            </w:r>
          </w:p>
          <w:p>
            <w:pPr>
              <w:spacing w:line="360" w:lineRule="auto"/>
              <w:ind w:firstLine="480" w:firstLineChars="200"/>
              <w:rPr>
                <w:color w:val="auto"/>
                <w:sz w:val="24"/>
              </w:rPr>
            </w:pPr>
            <w:r>
              <w:rPr>
                <w:color w:val="auto"/>
                <w:sz w:val="24"/>
              </w:rPr>
              <w:t>本项目位于西安市长安区魏寨乡东部新型建材产业基地地块</w:t>
            </w:r>
            <w:r>
              <w:rPr>
                <w:rFonts w:hint="eastAsia"/>
                <w:color w:val="auto"/>
                <w:sz w:val="24"/>
              </w:rPr>
              <w:t>四</w:t>
            </w:r>
            <w:r>
              <w:rPr>
                <w:color w:val="auto"/>
                <w:sz w:val="24"/>
              </w:rPr>
              <w:t>范围内，</w:t>
            </w:r>
            <w:r>
              <w:rPr>
                <w:rFonts w:hint="eastAsia"/>
                <w:color w:val="auto"/>
                <w:sz w:val="24"/>
              </w:rPr>
              <w:t>中心坐标东经</w:t>
            </w:r>
            <w:r>
              <w:rPr>
                <w:color w:val="auto"/>
                <w:sz w:val="24"/>
              </w:rPr>
              <w:t>109°9'6.44"</w:t>
            </w:r>
            <w:r>
              <w:rPr>
                <w:rFonts w:hint="eastAsia"/>
                <w:color w:val="auto"/>
                <w:sz w:val="24"/>
              </w:rPr>
              <w:t>，北纬</w:t>
            </w:r>
            <w:r>
              <w:rPr>
                <w:color w:val="auto"/>
                <w:sz w:val="24"/>
              </w:rPr>
              <w:t>34°6'24.75"</w:t>
            </w:r>
            <w:r>
              <w:rPr>
                <w:rFonts w:hint="eastAsia"/>
                <w:color w:val="auto"/>
                <w:sz w:val="24"/>
              </w:rPr>
              <w:t>，</w:t>
            </w:r>
            <w:r>
              <w:rPr>
                <w:color w:val="auto"/>
                <w:sz w:val="24"/>
              </w:rPr>
              <w:t>包括厂区和取土区，</w:t>
            </w:r>
            <w:r>
              <w:rPr>
                <w:rFonts w:hint="eastAsia"/>
                <w:color w:val="auto"/>
                <w:sz w:val="24"/>
              </w:rPr>
              <w:t>生产</w:t>
            </w:r>
            <w:r>
              <w:rPr>
                <w:color w:val="auto"/>
                <w:sz w:val="24"/>
              </w:rPr>
              <w:t>厂区北侧为</w:t>
            </w:r>
            <w:r>
              <w:rPr>
                <w:rFonts w:hint="eastAsia"/>
                <w:color w:val="auto"/>
                <w:sz w:val="24"/>
              </w:rPr>
              <w:t>空地及园区道路</w:t>
            </w:r>
            <w:r>
              <w:rPr>
                <w:color w:val="auto"/>
                <w:sz w:val="24"/>
              </w:rPr>
              <w:t>，隔路为</w:t>
            </w:r>
            <w:r>
              <w:rPr>
                <w:rFonts w:hint="eastAsia"/>
                <w:color w:val="auto"/>
                <w:sz w:val="24"/>
              </w:rPr>
              <w:t>老凹村农田</w:t>
            </w:r>
            <w:r>
              <w:rPr>
                <w:color w:val="auto"/>
                <w:sz w:val="24"/>
              </w:rPr>
              <w:t>，</w:t>
            </w:r>
            <w:r>
              <w:rPr>
                <w:rFonts w:hint="eastAsia"/>
                <w:color w:val="auto"/>
                <w:sz w:val="24"/>
              </w:rPr>
              <w:t>厂区</w:t>
            </w:r>
            <w:r>
              <w:rPr>
                <w:color w:val="auto"/>
                <w:sz w:val="24"/>
              </w:rPr>
              <w:t>西侧为</w:t>
            </w:r>
            <w:r>
              <w:rPr>
                <w:rFonts w:hint="eastAsia"/>
                <w:color w:val="auto"/>
                <w:sz w:val="24"/>
              </w:rPr>
              <w:t>隔乡村道路为蚕姑沟村，距离约10m</w:t>
            </w:r>
            <w:r>
              <w:rPr>
                <w:color w:val="auto"/>
                <w:sz w:val="24"/>
              </w:rPr>
              <w:t>，南侧为粘土</w:t>
            </w:r>
            <w:r>
              <w:rPr>
                <w:rFonts w:hint="eastAsia"/>
                <w:color w:val="auto"/>
                <w:sz w:val="24"/>
              </w:rPr>
              <w:t>取土</w:t>
            </w:r>
            <w:r>
              <w:rPr>
                <w:color w:val="auto"/>
                <w:sz w:val="24"/>
              </w:rPr>
              <w:t>区，</w:t>
            </w:r>
            <w:r>
              <w:rPr>
                <w:rFonts w:hint="eastAsia"/>
                <w:color w:val="auto"/>
                <w:sz w:val="24"/>
              </w:rPr>
              <w:t>粘土取土区南侧为空地，</w:t>
            </w:r>
            <w:r>
              <w:rPr>
                <w:color w:val="auto"/>
                <w:sz w:val="24"/>
              </w:rPr>
              <w:t>东侧为东部新型建材产业基地地块</w:t>
            </w:r>
            <w:r>
              <w:rPr>
                <w:rFonts w:hint="eastAsia"/>
                <w:color w:val="auto"/>
                <w:sz w:val="24"/>
              </w:rPr>
              <w:t>五，现已建成西安方运建材有限公司</w:t>
            </w:r>
            <w:r>
              <w:rPr>
                <w:color w:val="auto"/>
                <w:sz w:val="24"/>
              </w:rPr>
              <w:t>。项目地理位置见附图1。</w:t>
            </w:r>
          </w:p>
          <w:p>
            <w:pPr>
              <w:pStyle w:val="104"/>
              <w:spacing w:line="360" w:lineRule="auto"/>
              <w:rPr>
                <w:rFonts w:ascii="Times New Roman" w:cs="Times New Roman"/>
                <w:color w:val="auto"/>
              </w:rPr>
            </w:pPr>
            <w:r>
              <w:rPr>
                <w:rFonts w:hint="eastAsia" w:ascii="Times New Roman" w:cs="Times New Roman"/>
                <w:b/>
                <w:color w:val="auto"/>
              </w:rPr>
              <w:t>三</w:t>
            </w:r>
            <w:r>
              <w:rPr>
                <w:rFonts w:ascii="Times New Roman" w:cs="Times New Roman"/>
                <w:b/>
                <w:color w:val="auto"/>
              </w:rPr>
              <w:t>、工程内容和规模</w:t>
            </w:r>
          </w:p>
          <w:p>
            <w:pPr>
              <w:tabs>
                <w:tab w:val="left" w:pos="240"/>
              </w:tabs>
              <w:spacing w:line="360" w:lineRule="auto"/>
              <w:ind w:firstLine="480" w:firstLineChars="200"/>
              <w:rPr>
                <w:color w:val="auto"/>
                <w:sz w:val="24"/>
              </w:rPr>
            </w:pPr>
            <w:r>
              <w:rPr>
                <w:rFonts w:hint="eastAsia"/>
                <w:color w:val="auto"/>
                <w:sz w:val="24"/>
              </w:rPr>
              <w:t>项目生产厂区占地面积为23333.3m</w:t>
            </w:r>
            <w:r>
              <w:rPr>
                <w:rFonts w:hint="eastAsia"/>
                <w:color w:val="auto"/>
                <w:sz w:val="24"/>
                <w:vertAlign w:val="superscript"/>
              </w:rPr>
              <w:t>2</w:t>
            </w:r>
            <w:r>
              <w:rPr>
                <w:rFonts w:hint="eastAsia"/>
                <w:color w:val="auto"/>
                <w:sz w:val="24"/>
              </w:rPr>
              <w:t>（合计35亩），取土区占地面积为12.24ha（合计183.6亩），取土区位于厂区南侧。厂区主要建设1条年产15万m</w:t>
            </w:r>
            <w:r>
              <w:rPr>
                <w:rFonts w:hint="eastAsia"/>
                <w:color w:val="auto"/>
                <w:sz w:val="24"/>
                <w:vertAlign w:val="superscript"/>
              </w:rPr>
              <w:t>3</w:t>
            </w:r>
            <w:r>
              <w:rPr>
                <w:rFonts w:hint="eastAsia"/>
                <w:color w:val="auto"/>
                <w:sz w:val="24"/>
              </w:rPr>
              <w:t>烧结空心砌块</w:t>
            </w:r>
            <w:r>
              <w:rPr>
                <w:rFonts w:hint="eastAsia" w:hAnsi="宋体"/>
                <w:bCs/>
                <w:color w:val="auto"/>
                <w:sz w:val="24"/>
              </w:rPr>
              <w:t>生产线，主要建设内容包括联合车间及配套设施，同时配套建设取土区</w:t>
            </w:r>
            <w:r>
              <w:rPr>
                <w:rFonts w:hint="eastAsia"/>
                <w:color w:val="auto"/>
                <w:sz w:val="24"/>
              </w:rPr>
              <w:t>。</w:t>
            </w:r>
          </w:p>
          <w:p>
            <w:pPr>
              <w:spacing w:line="360" w:lineRule="auto"/>
              <w:ind w:firstLine="480" w:firstLineChars="200"/>
              <w:rPr>
                <w:color w:val="auto"/>
                <w:sz w:val="24"/>
              </w:rPr>
            </w:pPr>
            <w:r>
              <w:rPr>
                <w:rFonts w:hAnsi="宋体"/>
                <w:color w:val="auto"/>
                <w:sz w:val="24"/>
                <w:szCs w:val="24"/>
              </w:rPr>
              <w:t>项目组成及主要建设内容见表</w:t>
            </w:r>
            <w:r>
              <w:rPr>
                <w:rFonts w:hint="eastAsia" w:hAnsi="宋体"/>
                <w:color w:val="auto"/>
                <w:sz w:val="24"/>
                <w:szCs w:val="24"/>
              </w:rPr>
              <w:t>7</w:t>
            </w:r>
            <w:r>
              <w:rPr>
                <w:rFonts w:hint="eastAsia"/>
                <w:color w:val="auto"/>
                <w:sz w:val="24"/>
                <w:szCs w:val="24"/>
              </w:rPr>
              <w:t>，</w:t>
            </w:r>
            <w:r>
              <w:rPr>
                <w:rFonts w:hAnsi="宋体"/>
                <w:color w:val="auto"/>
                <w:sz w:val="24"/>
                <w:szCs w:val="24"/>
              </w:rPr>
              <w:t>主要经济指标见表</w:t>
            </w:r>
            <w:r>
              <w:rPr>
                <w:rFonts w:hint="eastAsia" w:hAnsi="宋体"/>
                <w:color w:val="auto"/>
                <w:sz w:val="24"/>
                <w:szCs w:val="24"/>
              </w:rPr>
              <w:t>8</w:t>
            </w:r>
            <w:r>
              <w:rPr>
                <w:rFonts w:hint="eastAsia" w:hAnsi="宋体"/>
                <w:color w:val="auto"/>
                <w:sz w:val="24"/>
              </w:rPr>
              <w:t>。</w:t>
            </w:r>
          </w:p>
          <w:p>
            <w:pPr>
              <w:jc w:val="center"/>
              <w:rPr>
                <w:color w:val="auto"/>
              </w:rPr>
            </w:pPr>
            <w:r>
              <w:rPr>
                <w:rFonts w:hAnsi="宋体"/>
                <w:b/>
                <w:color w:val="auto"/>
              </w:rPr>
              <w:t>表</w:t>
            </w:r>
            <w:r>
              <w:rPr>
                <w:rFonts w:hint="eastAsia" w:hAnsi="宋体"/>
                <w:b/>
                <w:color w:val="auto"/>
              </w:rPr>
              <w:t>7</w:t>
            </w:r>
            <w:r>
              <w:rPr>
                <w:b/>
                <w:color w:val="auto"/>
              </w:rPr>
              <w:t xml:space="preserve">   </w:t>
            </w:r>
            <w:r>
              <w:rPr>
                <w:rFonts w:hAnsi="宋体"/>
                <w:b/>
                <w:color w:val="auto"/>
              </w:rPr>
              <w:t>项目组成及主要建设内容一览表</w:t>
            </w:r>
          </w:p>
          <w:tbl>
            <w:tblPr>
              <w:tblStyle w:val="24"/>
              <w:tblW w:w="882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1" w:type="dxa"/>
                <w:bottom w:w="0" w:type="dxa"/>
                <w:right w:w="51" w:type="dxa"/>
              </w:tblCellMar>
            </w:tblPr>
            <w:tblGrid>
              <w:gridCol w:w="690"/>
              <w:gridCol w:w="1272"/>
              <w:gridCol w:w="68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restart"/>
                  <w:vAlign w:val="center"/>
                </w:tcPr>
                <w:p>
                  <w:pPr>
                    <w:jc w:val="center"/>
                    <w:rPr>
                      <w:color w:val="auto"/>
                      <w:szCs w:val="21"/>
                    </w:rPr>
                  </w:pPr>
                  <w:r>
                    <w:rPr>
                      <w:color w:val="auto"/>
                      <w:szCs w:val="21"/>
                    </w:rPr>
                    <w:t>项目</w:t>
                  </w:r>
                </w:p>
                <w:p>
                  <w:pPr>
                    <w:jc w:val="center"/>
                    <w:rPr>
                      <w:color w:val="auto"/>
                      <w:szCs w:val="21"/>
                    </w:rPr>
                  </w:pPr>
                  <w:r>
                    <w:rPr>
                      <w:color w:val="auto"/>
                      <w:szCs w:val="21"/>
                    </w:rPr>
                    <w:t>组成</w:t>
                  </w:r>
                </w:p>
              </w:tc>
              <w:tc>
                <w:tcPr>
                  <w:tcW w:w="8134" w:type="dxa"/>
                  <w:gridSpan w:val="2"/>
                  <w:vAlign w:val="center"/>
                </w:tcPr>
                <w:p>
                  <w:pPr>
                    <w:jc w:val="center"/>
                    <w:rPr>
                      <w:color w:val="auto"/>
                      <w:szCs w:val="21"/>
                    </w:rPr>
                  </w:pPr>
                  <w:r>
                    <w:rPr>
                      <w:color w:val="auto"/>
                      <w:szCs w:val="21"/>
                    </w:rPr>
                    <w:t>主要建设内容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ind w:firstLine="420" w:firstLineChars="200"/>
                    <w:jc w:val="center"/>
                    <w:rPr>
                      <w:color w:val="auto"/>
                      <w:szCs w:val="21"/>
                    </w:rPr>
                  </w:pPr>
                </w:p>
              </w:tc>
              <w:tc>
                <w:tcPr>
                  <w:tcW w:w="1272" w:type="dxa"/>
                  <w:vAlign w:val="center"/>
                </w:tcPr>
                <w:p>
                  <w:pPr>
                    <w:jc w:val="center"/>
                    <w:rPr>
                      <w:color w:val="auto"/>
                      <w:szCs w:val="21"/>
                    </w:rPr>
                  </w:pPr>
                  <w:r>
                    <w:rPr>
                      <w:color w:val="auto"/>
                      <w:szCs w:val="21"/>
                    </w:rPr>
                    <w:t>名称</w:t>
                  </w:r>
                </w:p>
              </w:tc>
              <w:tc>
                <w:tcPr>
                  <w:tcW w:w="6862" w:type="dxa"/>
                  <w:vAlign w:val="center"/>
                </w:tcPr>
                <w:p>
                  <w:pPr>
                    <w:jc w:val="center"/>
                    <w:rPr>
                      <w:color w:val="auto"/>
                      <w:szCs w:val="21"/>
                    </w:rPr>
                  </w:pPr>
                  <w:r>
                    <w:rPr>
                      <w:rFonts w:hint="eastAsia"/>
                      <w:color w:val="auto"/>
                      <w:szCs w:val="21"/>
                    </w:rPr>
                    <w:t>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restart"/>
                  <w:vAlign w:val="center"/>
                </w:tcPr>
                <w:p>
                  <w:pPr>
                    <w:jc w:val="center"/>
                    <w:rPr>
                      <w:color w:val="auto"/>
                      <w:szCs w:val="21"/>
                    </w:rPr>
                  </w:pPr>
                  <w:r>
                    <w:rPr>
                      <w:color w:val="auto"/>
                      <w:szCs w:val="21"/>
                    </w:rPr>
                    <w:t>主体</w:t>
                  </w:r>
                </w:p>
                <w:p>
                  <w:pPr>
                    <w:jc w:val="center"/>
                    <w:rPr>
                      <w:color w:val="auto"/>
                      <w:szCs w:val="21"/>
                    </w:rPr>
                  </w:pPr>
                  <w:r>
                    <w:rPr>
                      <w:color w:val="auto"/>
                      <w:szCs w:val="21"/>
                    </w:rPr>
                    <w:t>工程</w:t>
                  </w:r>
                </w:p>
              </w:tc>
              <w:tc>
                <w:tcPr>
                  <w:tcW w:w="1272" w:type="dxa"/>
                  <w:vAlign w:val="center"/>
                </w:tcPr>
                <w:p>
                  <w:pPr>
                    <w:jc w:val="center"/>
                    <w:rPr>
                      <w:color w:val="auto"/>
                      <w:szCs w:val="21"/>
                    </w:rPr>
                  </w:pPr>
                  <w:r>
                    <w:rPr>
                      <w:rFonts w:hint="eastAsia"/>
                      <w:color w:val="auto"/>
                      <w:szCs w:val="21"/>
                    </w:rPr>
                    <w:t>生产车间</w:t>
                  </w:r>
                </w:p>
              </w:tc>
              <w:tc>
                <w:tcPr>
                  <w:tcW w:w="6862" w:type="dxa"/>
                  <w:vAlign w:val="center"/>
                </w:tcPr>
                <w:p>
                  <w:pPr>
                    <w:rPr>
                      <w:color w:val="auto"/>
                      <w:szCs w:val="21"/>
                    </w:rPr>
                  </w:pPr>
                  <w:r>
                    <w:rPr>
                      <w:rFonts w:hint="eastAsia"/>
                      <w:color w:val="auto"/>
                      <w:szCs w:val="21"/>
                    </w:rPr>
                    <w:t>建筑面积12096</w:t>
                  </w:r>
                  <w:r>
                    <w:rPr>
                      <w:rFonts w:hint="eastAsia"/>
                      <w:color w:val="auto"/>
                    </w:rPr>
                    <w:t>m</w:t>
                  </w:r>
                  <w:r>
                    <w:rPr>
                      <w:rFonts w:hint="eastAsia"/>
                      <w:color w:val="auto"/>
                      <w:vertAlign w:val="superscript"/>
                    </w:rPr>
                    <w:t>2</w:t>
                  </w:r>
                  <w:r>
                    <w:rPr>
                      <w:rFonts w:hint="eastAsia"/>
                      <w:color w:val="auto"/>
                      <w:szCs w:val="21"/>
                    </w:rPr>
                    <w:t>，建筑尺寸168m</w:t>
                  </w:r>
                  <w:r>
                    <w:rPr>
                      <w:color w:val="auto"/>
                      <w:szCs w:val="21"/>
                    </w:rPr>
                    <w:t>×</w:t>
                  </w:r>
                  <w:r>
                    <w:rPr>
                      <w:rFonts w:hint="eastAsia"/>
                      <w:color w:val="auto"/>
                      <w:szCs w:val="21"/>
                    </w:rPr>
                    <w:t>54m+84</w:t>
                  </w:r>
                  <w:r>
                    <w:rPr>
                      <w:color w:val="auto"/>
                      <w:szCs w:val="21"/>
                    </w:rPr>
                    <w:t>×</w:t>
                  </w:r>
                  <w:r>
                    <w:rPr>
                      <w:rFonts w:hint="eastAsia"/>
                      <w:color w:val="auto"/>
                      <w:szCs w:val="21"/>
                    </w:rPr>
                    <w:t>48</w:t>
                  </w:r>
                  <w:r>
                    <w:rPr>
                      <w:color w:val="auto"/>
                      <w:szCs w:val="21"/>
                    </w:rPr>
                    <w:t>m</w:t>
                  </w:r>
                  <w:r>
                    <w:rPr>
                      <w:rFonts w:hint="eastAsia"/>
                      <w:color w:val="auto"/>
                      <w:szCs w:val="21"/>
                    </w:rPr>
                    <w:t>，</w:t>
                  </w:r>
                  <w:r>
                    <w:rPr>
                      <w:color w:val="auto"/>
                      <w:szCs w:val="21"/>
                    </w:rPr>
                    <w:t>一层</w:t>
                  </w:r>
                  <w:r>
                    <w:rPr>
                      <w:rFonts w:hint="eastAsia"/>
                      <w:color w:val="auto"/>
                      <w:szCs w:val="21"/>
                    </w:rPr>
                    <w:t>轻钢结构，建筑高度9.5m，包括原料处理车间、陈化室、成型车间、焙烧窑、干燥室、卸砖区等部分。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jc w:val="center"/>
                    <w:rPr>
                      <w:color w:val="auto"/>
                      <w:szCs w:val="21"/>
                    </w:rPr>
                  </w:pPr>
                </w:p>
              </w:tc>
              <w:tc>
                <w:tcPr>
                  <w:tcW w:w="1272" w:type="dxa"/>
                  <w:vAlign w:val="center"/>
                </w:tcPr>
                <w:p>
                  <w:pPr>
                    <w:jc w:val="center"/>
                    <w:rPr>
                      <w:color w:val="auto"/>
                      <w:szCs w:val="21"/>
                    </w:rPr>
                  </w:pPr>
                  <w:r>
                    <w:rPr>
                      <w:rFonts w:hint="eastAsia"/>
                      <w:color w:val="auto"/>
                      <w:szCs w:val="21"/>
                    </w:rPr>
                    <w:t>取土区</w:t>
                  </w:r>
                </w:p>
              </w:tc>
              <w:tc>
                <w:tcPr>
                  <w:tcW w:w="6862" w:type="dxa"/>
                  <w:vAlign w:val="center"/>
                </w:tcPr>
                <w:p>
                  <w:pPr>
                    <w:jc w:val="left"/>
                    <w:rPr>
                      <w:color w:val="auto"/>
                      <w:szCs w:val="21"/>
                    </w:rPr>
                  </w:pPr>
                  <w:r>
                    <w:rPr>
                      <w:rFonts w:hint="eastAsia"/>
                      <w:color w:val="auto"/>
                      <w:szCs w:val="21"/>
                    </w:rPr>
                    <w:t>占地面积</w:t>
                  </w:r>
                  <w:r>
                    <w:rPr>
                      <w:color w:val="auto"/>
                      <w:szCs w:val="21"/>
                    </w:rPr>
                    <w:t>12.24ha</w:t>
                  </w:r>
                  <w:r>
                    <w:rPr>
                      <w:rFonts w:hint="eastAsia"/>
                      <w:color w:val="auto"/>
                      <w:szCs w:val="21"/>
                    </w:rPr>
                    <w:t>，位于厂区南侧，设计利用储量320.58</w:t>
                  </w:r>
                  <w:r>
                    <w:rPr>
                      <w:color w:val="auto"/>
                      <w:sz w:val="24"/>
                      <w:szCs w:val="24"/>
                    </w:rPr>
                    <w:t>×</w:t>
                  </w:r>
                  <w:r>
                    <w:rPr>
                      <w:color w:val="auto"/>
                      <w:szCs w:val="21"/>
                    </w:rPr>
                    <w:t>10</w:t>
                  </w:r>
                  <w:r>
                    <w:rPr>
                      <w:color w:val="auto"/>
                      <w:szCs w:val="21"/>
                      <w:vertAlign w:val="superscript"/>
                    </w:rPr>
                    <w:t>4</w:t>
                  </w:r>
                  <w:r>
                    <w:rPr>
                      <w:rFonts w:hint="eastAsia"/>
                      <w:color w:val="auto"/>
                      <w:szCs w:val="21"/>
                    </w:rPr>
                    <w:t>m</w:t>
                  </w:r>
                  <w:r>
                    <w:rPr>
                      <w:rFonts w:hint="eastAsia"/>
                      <w:color w:val="auto"/>
                      <w:szCs w:val="21"/>
                      <w:vertAlign w:val="superscript"/>
                    </w:rPr>
                    <w:t>3</w:t>
                  </w:r>
                  <w:r>
                    <w:rPr>
                      <w:rFonts w:hint="eastAsia"/>
                      <w:color w:val="auto"/>
                      <w:szCs w:val="21"/>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restart"/>
                  <w:vAlign w:val="center"/>
                </w:tcPr>
                <w:p>
                  <w:pPr>
                    <w:jc w:val="center"/>
                    <w:rPr>
                      <w:color w:val="auto"/>
                      <w:szCs w:val="21"/>
                    </w:rPr>
                  </w:pPr>
                  <w:r>
                    <w:rPr>
                      <w:rFonts w:hint="eastAsia"/>
                      <w:color w:val="auto"/>
                      <w:szCs w:val="21"/>
                    </w:rPr>
                    <w:t>辅助</w:t>
                  </w:r>
                </w:p>
                <w:p>
                  <w:pPr>
                    <w:jc w:val="center"/>
                    <w:rPr>
                      <w:color w:val="auto"/>
                      <w:szCs w:val="21"/>
                    </w:rPr>
                  </w:pPr>
                  <w:r>
                    <w:rPr>
                      <w:rFonts w:hint="eastAsia"/>
                      <w:color w:val="auto"/>
                      <w:szCs w:val="21"/>
                    </w:rPr>
                    <w:t>工程</w:t>
                  </w:r>
                </w:p>
              </w:tc>
              <w:tc>
                <w:tcPr>
                  <w:tcW w:w="1272" w:type="dxa"/>
                  <w:vAlign w:val="center"/>
                </w:tcPr>
                <w:p>
                  <w:pPr>
                    <w:jc w:val="center"/>
                    <w:rPr>
                      <w:color w:val="auto"/>
                      <w:szCs w:val="21"/>
                    </w:rPr>
                  </w:pPr>
                  <w:r>
                    <w:rPr>
                      <w:rFonts w:hint="eastAsia"/>
                      <w:color w:val="auto"/>
                      <w:szCs w:val="21"/>
                    </w:rPr>
                    <w:t>办公楼</w:t>
                  </w:r>
                </w:p>
              </w:tc>
              <w:tc>
                <w:tcPr>
                  <w:tcW w:w="6862" w:type="dxa"/>
                  <w:vAlign w:val="center"/>
                </w:tcPr>
                <w:p>
                  <w:pPr>
                    <w:jc w:val="left"/>
                    <w:rPr>
                      <w:color w:val="auto"/>
                    </w:rPr>
                  </w:pPr>
                  <w:r>
                    <w:rPr>
                      <w:rFonts w:hint="eastAsia"/>
                      <w:color w:val="auto"/>
                      <w:szCs w:val="21"/>
                    </w:rPr>
                    <w:t>利用厂区内已建成办公楼，建筑面积562.84</w:t>
                  </w:r>
                  <w:r>
                    <w:rPr>
                      <w:rFonts w:hint="eastAsia"/>
                      <w:color w:val="auto"/>
                    </w:rPr>
                    <w:t>m</w:t>
                  </w:r>
                  <w:r>
                    <w:rPr>
                      <w:rFonts w:hint="eastAsia"/>
                      <w:color w:val="auto"/>
                      <w:vertAlign w:val="superscript"/>
                    </w:rPr>
                    <w:t>2</w:t>
                  </w:r>
                  <w:r>
                    <w:rPr>
                      <w:rFonts w:hint="eastAsia"/>
                      <w:color w:val="auto"/>
                    </w:rPr>
                    <w:t>，砖混结构，用于办公</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jc w:val="center"/>
                    <w:rPr>
                      <w:color w:val="auto"/>
                      <w:szCs w:val="21"/>
                    </w:rPr>
                  </w:pPr>
                </w:p>
              </w:tc>
              <w:tc>
                <w:tcPr>
                  <w:tcW w:w="1272" w:type="dxa"/>
                  <w:vAlign w:val="center"/>
                </w:tcPr>
                <w:p>
                  <w:pPr>
                    <w:jc w:val="center"/>
                    <w:rPr>
                      <w:color w:val="auto"/>
                      <w:szCs w:val="21"/>
                    </w:rPr>
                  </w:pPr>
                  <w:r>
                    <w:rPr>
                      <w:rFonts w:hint="eastAsia"/>
                      <w:color w:val="auto"/>
                      <w:szCs w:val="21"/>
                    </w:rPr>
                    <w:t>宿舍楼</w:t>
                  </w:r>
                </w:p>
              </w:tc>
              <w:tc>
                <w:tcPr>
                  <w:tcW w:w="6862" w:type="dxa"/>
                  <w:vAlign w:val="center"/>
                </w:tcPr>
                <w:p>
                  <w:pPr>
                    <w:jc w:val="center"/>
                    <w:rPr>
                      <w:color w:val="auto"/>
                    </w:rPr>
                  </w:pPr>
                  <w:r>
                    <w:rPr>
                      <w:rFonts w:hint="eastAsia"/>
                      <w:color w:val="auto"/>
                      <w:szCs w:val="21"/>
                    </w:rPr>
                    <w:t>利用厂区内已建成宿舍楼，建筑面积329.4</w:t>
                  </w:r>
                  <w:r>
                    <w:rPr>
                      <w:rFonts w:hint="eastAsia"/>
                      <w:color w:val="auto"/>
                    </w:rPr>
                    <w:t>m</w:t>
                  </w:r>
                  <w:r>
                    <w:rPr>
                      <w:rFonts w:hint="eastAsia"/>
                      <w:color w:val="auto"/>
                      <w:vertAlign w:val="superscript"/>
                    </w:rPr>
                    <w:t>2</w:t>
                  </w:r>
                  <w:r>
                    <w:rPr>
                      <w:rFonts w:hint="eastAsia"/>
                      <w:color w:val="auto"/>
                    </w:rPr>
                    <w:t>，砖混结构，用于员工休息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jc w:val="center"/>
                    <w:rPr>
                      <w:color w:val="auto"/>
                      <w:szCs w:val="21"/>
                    </w:rPr>
                  </w:pPr>
                </w:p>
              </w:tc>
              <w:tc>
                <w:tcPr>
                  <w:tcW w:w="1272" w:type="dxa"/>
                  <w:vAlign w:val="center"/>
                </w:tcPr>
                <w:p>
                  <w:pPr>
                    <w:jc w:val="center"/>
                    <w:rPr>
                      <w:color w:val="auto"/>
                      <w:szCs w:val="21"/>
                    </w:rPr>
                  </w:pPr>
                  <w:r>
                    <w:rPr>
                      <w:rFonts w:hint="eastAsia"/>
                      <w:color w:val="auto"/>
                      <w:szCs w:val="21"/>
                    </w:rPr>
                    <w:t>餐厅</w:t>
                  </w:r>
                </w:p>
              </w:tc>
              <w:tc>
                <w:tcPr>
                  <w:tcW w:w="6862" w:type="dxa"/>
                  <w:vAlign w:val="center"/>
                </w:tcPr>
                <w:p>
                  <w:pPr>
                    <w:jc w:val="center"/>
                    <w:rPr>
                      <w:color w:val="auto"/>
                    </w:rPr>
                  </w:pPr>
                  <w:r>
                    <w:rPr>
                      <w:rFonts w:hint="eastAsia"/>
                      <w:color w:val="auto"/>
                      <w:szCs w:val="21"/>
                    </w:rPr>
                    <w:t>建筑面积60</w:t>
                  </w:r>
                  <w:r>
                    <w:rPr>
                      <w:rFonts w:hint="eastAsia"/>
                      <w:color w:val="auto"/>
                    </w:rPr>
                    <w:t>m</w:t>
                  </w:r>
                  <w:r>
                    <w:rPr>
                      <w:rFonts w:hint="eastAsia"/>
                      <w:color w:val="auto"/>
                      <w:vertAlign w:val="superscript"/>
                    </w:rPr>
                    <w:t>2</w:t>
                  </w:r>
                  <w:r>
                    <w:rPr>
                      <w:rFonts w:hint="eastAsia"/>
                      <w:color w:val="auto"/>
                    </w:rPr>
                    <w:t>，砖混结构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jc w:val="center"/>
                    <w:rPr>
                      <w:color w:val="auto"/>
                      <w:szCs w:val="21"/>
                    </w:rPr>
                  </w:pPr>
                </w:p>
              </w:tc>
              <w:tc>
                <w:tcPr>
                  <w:tcW w:w="1272" w:type="dxa"/>
                  <w:vAlign w:val="center"/>
                </w:tcPr>
                <w:p>
                  <w:pPr>
                    <w:jc w:val="center"/>
                    <w:rPr>
                      <w:color w:val="auto"/>
                      <w:szCs w:val="21"/>
                    </w:rPr>
                  </w:pPr>
                  <w:r>
                    <w:rPr>
                      <w:rFonts w:hint="eastAsia"/>
                      <w:color w:val="auto"/>
                      <w:szCs w:val="21"/>
                    </w:rPr>
                    <w:t>简易房</w:t>
                  </w:r>
                </w:p>
              </w:tc>
              <w:tc>
                <w:tcPr>
                  <w:tcW w:w="6862" w:type="dxa"/>
                  <w:vAlign w:val="center"/>
                </w:tcPr>
                <w:p>
                  <w:pPr>
                    <w:jc w:val="center"/>
                    <w:rPr>
                      <w:color w:val="auto"/>
                      <w:szCs w:val="21"/>
                    </w:rPr>
                  </w:pPr>
                  <w:r>
                    <w:rPr>
                      <w:rFonts w:hint="eastAsia"/>
                      <w:color w:val="auto"/>
                      <w:szCs w:val="21"/>
                    </w:rPr>
                    <w:t>占地面积270</w:t>
                  </w:r>
                  <w:r>
                    <w:rPr>
                      <w:rFonts w:hint="eastAsia"/>
                      <w:color w:val="auto"/>
                    </w:rPr>
                    <w:t>m</w:t>
                  </w:r>
                  <w:r>
                    <w:rPr>
                      <w:rFonts w:hint="eastAsia"/>
                      <w:color w:val="auto"/>
                      <w:vertAlign w:val="superscript"/>
                    </w:rPr>
                    <w:t>2</w:t>
                  </w:r>
                  <w:r>
                    <w:rPr>
                      <w:rFonts w:hint="eastAsia"/>
                      <w:color w:val="auto"/>
                    </w:rPr>
                    <w:t>，用于存放物品。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restart"/>
                  <w:vAlign w:val="center"/>
                </w:tcPr>
                <w:p>
                  <w:pPr>
                    <w:jc w:val="center"/>
                    <w:rPr>
                      <w:color w:val="auto"/>
                      <w:szCs w:val="21"/>
                    </w:rPr>
                  </w:pPr>
                  <w:r>
                    <w:rPr>
                      <w:rFonts w:hint="eastAsia"/>
                      <w:color w:val="auto"/>
                      <w:szCs w:val="21"/>
                    </w:rPr>
                    <w:t>依托</w:t>
                  </w:r>
                </w:p>
                <w:p>
                  <w:pPr>
                    <w:jc w:val="center"/>
                    <w:rPr>
                      <w:color w:val="auto"/>
                      <w:szCs w:val="21"/>
                    </w:rPr>
                  </w:pPr>
                  <w:r>
                    <w:rPr>
                      <w:rFonts w:hint="eastAsia"/>
                      <w:color w:val="auto"/>
                      <w:szCs w:val="21"/>
                    </w:rPr>
                    <w:t>工程</w:t>
                  </w:r>
                </w:p>
              </w:tc>
              <w:tc>
                <w:tcPr>
                  <w:tcW w:w="1272" w:type="dxa"/>
                  <w:vAlign w:val="center"/>
                </w:tcPr>
                <w:p>
                  <w:pPr>
                    <w:jc w:val="center"/>
                    <w:rPr>
                      <w:color w:val="auto"/>
                      <w:szCs w:val="21"/>
                    </w:rPr>
                  </w:pPr>
                  <w:r>
                    <w:rPr>
                      <w:rFonts w:hint="eastAsia"/>
                      <w:color w:val="auto"/>
                      <w:szCs w:val="21"/>
                    </w:rPr>
                    <w:t>给水</w:t>
                  </w:r>
                </w:p>
              </w:tc>
              <w:tc>
                <w:tcPr>
                  <w:tcW w:w="6862" w:type="dxa"/>
                  <w:vAlign w:val="center"/>
                </w:tcPr>
                <w:p>
                  <w:pPr>
                    <w:jc w:val="left"/>
                    <w:rPr>
                      <w:color w:val="auto"/>
                      <w:szCs w:val="21"/>
                    </w:rPr>
                  </w:pPr>
                  <w:r>
                    <w:rPr>
                      <w:rFonts w:hint="eastAsia"/>
                      <w:color w:val="auto"/>
                      <w:szCs w:val="21"/>
                    </w:rPr>
                    <w:t>近期采用自备井供水，远期依托园区供水系统供水，</w:t>
                  </w:r>
                  <w:r>
                    <w:rPr>
                      <w:color w:val="auto"/>
                    </w:rPr>
                    <w:t>新鲜水使用量为</w:t>
                  </w:r>
                  <w:r>
                    <w:rPr>
                      <w:rFonts w:hint="eastAsia"/>
                      <w:color w:val="auto"/>
                    </w:rPr>
                    <w:t>82.7</w:t>
                  </w:r>
                  <w:r>
                    <w:rPr>
                      <w:color w:val="auto"/>
                    </w:rPr>
                    <w:t>m</w:t>
                  </w:r>
                  <w:r>
                    <w:rPr>
                      <w:color w:val="auto"/>
                      <w:vertAlign w:val="superscript"/>
                    </w:rPr>
                    <w:t>3</w:t>
                  </w:r>
                  <w:r>
                    <w:rPr>
                      <w:color w:val="auto"/>
                    </w:rPr>
                    <w:t>/</w:t>
                  </w:r>
                  <w:r>
                    <w:rPr>
                      <w:rFonts w:hint="eastAsia"/>
                      <w:color w:val="auto"/>
                    </w:rPr>
                    <w:t>d（24820</w:t>
                  </w:r>
                  <w:r>
                    <w:rPr>
                      <w:color w:val="auto"/>
                    </w:rPr>
                    <w:t>m</w:t>
                  </w:r>
                  <w:r>
                    <w:rPr>
                      <w:color w:val="auto"/>
                      <w:vertAlign w:val="superscript"/>
                    </w:rPr>
                    <w:t>3</w:t>
                  </w:r>
                  <w:r>
                    <w:rPr>
                      <w:color w:val="auto"/>
                    </w:rPr>
                    <w:t>/a</w:t>
                  </w:r>
                  <w:r>
                    <w:rPr>
                      <w:rFonts w:hint="eastAsia"/>
                      <w:color w:val="auto"/>
                    </w:rPr>
                    <w:t>），主要用于原料搅拌及员工生活。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jc w:val="center"/>
                    <w:rPr>
                      <w:color w:val="auto"/>
                      <w:szCs w:val="21"/>
                    </w:rPr>
                  </w:pPr>
                </w:p>
              </w:tc>
              <w:tc>
                <w:tcPr>
                  <w:tcW w:w="1272" w:type="dxa"/>
                  <w:vAlign w:val="center"/>
                </w:tcPr>
                <w:p>
                  <w:pPr>
                    <w:jc w:val="center"/>
                    <w:rPr>
                      <w:color w:val="auto"/>
                      <w:szCs w:val="21"/>
                    </w:rPr>
                  </w:pPr>
                  <w:r>
                    <w:rPr>
                      <w:rFonts w:hint="eastAsia"/>
                      <w:color w:val="auto"/>
                      <w:szCs w:val="21"/>
                    </w:rPr>
                    <w:t>排水</w:t>
                  </w:r>
                </w:p>
              </w:tc>
              <w:tc>
                <w:tcPr>
                  <w:tcW w:w="6862" w:type="dxa"/>
                  <w:vAlign w:val="center"/>
                </w:tcPr>
                <w:p>
                  <w:pPr>
                    <w:jc w:val="left"/>
                    <w:rPr>
                      <w:color w:val="auto"/>
                      <w:szCs w:val="21"/>
                    </w:rPr>
                  </w:pPr>
                  <w:r>
                    <w:rPr>
                      <w:color w:val="auto"/>
                      <w:szCs w:val="21"/>
                    </w:rPr>
                    <w:t>本项目生产过程</w:t>
                  </w:r>
                  <w:r>
                    <w:rPr>
                      <w:rFonts w:hint="eastAsia"/>
                      <w:color w:val="auto"/>
                      <w:szCs w:val="21"/>
                    </w:rPr>
                    <w:t>中无废水产生；项目生活废水经化粪池储存后定期清掏，不外排。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jc w:val="center"/>
                    <w:rPr>
                      <w:color w:val="auto"/>
                      <w:szCs w:val="21"/>
                    </w:rPr>
                  </w:pPr>
                </w:p>
              </w:tc>
              <w:tc>
                <w:tcPr>
                  <w:tcW w:w="1272" w:type="dxa"/>
                  <w:vAlign w:val="center"/>
                </w:tcPr>
                <w:p>
                  <w:pPr>
                    <w:jc w:val="center"/>
                    <w:rPr>
                      <w:color w:val="auto"/>
                      <w:szCs w:val="21"/>
                    </w:rPr>
                  </w:pPr>
                  <w:r>
                    <w:rPr>
                      <w:rFonts w:hint="eastAsia"/>
                      <w:color w:val="auto"/>
                      <w:szCs w:val="21"/>
                    </w:rPr>
                    <w:t>供电</w:t>
                  </w:r>
                </w:p>
              </w:tc>
              <w:tc>
                <w:tcPr>
                  <w:tcW w:w="6862" w:type="dxa"/>
                  <w:vAlign w:val="center"/>
                </w:tcPr>
                <w:p>
                  <w:pPr>
                    <w:jc w:val="left"/>
                    <w:rPr>
                      <w:color w:val="auto"/>
                      <w:szCs w:val="21"/>
                    </w:rPr>
                  </w:pPr>
                  <w:r>
                    <w:rPr>
                      <w:rFonts w:hint="eastAsia"/>
                      <w:color w:val="auto"/>
                      <w:szCs w:val="21"/>
                    </w:rPr>
                    <w:t>由引镇110kV变压站提供，厂区设配电室1座，配备2台1250KVA变压器。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jc w:val="center"/>
                    <w:rPr>
                      <w:color w:val="auto"/>
                      <w:szCs w:val="21"/>
                    </w:rPr>
                  </w:pPr>
                </w:p>
              </w:tc>
              <w:tc>
                <w:tcPr>
                  <w:tcW w:w="1272" w:type="dxa"/>
                  <w:vAlign w:val="center"/>
                </w:tcPr>
                <w:p>
                  <w:pPr>
                    <w:jc w:val="center"/>
                    <w:rPr>
                      <w:color w:val="auto"/>
                      <w:szCs w:val="21"/>
                    </w:rPr>
                  </w:pPr>
                  <w:r>
                    <w:rPr>
                      <w:rFonts w:hint="eastAsia"/>
                      <w:color w:val="auto"/>
                      <w:szCs w:val="21"/>
                    </w:rPr>
                    <w:t>供气</w:t>
                  </w:r>
                </w:p>
              </w:tc>
              <w:tc>
                <w:tcPr>
                  <w:tcW w:w="6862" w:type="dxa"/>
                  <w:vAlign w:val="center"/>
                </w:tcPr>
                <w:p>
                  <w:pPr>
                    <w:jc w:val="left"/>
                    <w:rPr>
                      <w:color w:val="auto"/>
                      <w:szCs w:val="21"/>
                    </w:rPr>
                  </w:pPr>
                  <w:r>
                    <w:rPr>
                      <w:rFonts w:hint="eastAsia"/>
                      <w:color w:val="auto"/>
                      <w:szCs w:val="21"/>
                    </w:rPr>
                    <w:t>项目拟依托园区天然气管线，天然气来自长安区魏寨街道办民用点供天然气工程。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jc w:val="center"/>
                    <w:rPr>
                      <w:color w:val="auto"/>
                      <w:szCs w:val="21"/>
                    </w:rPr>
                  </w:pPr>
                </w:p>
              </w:tc>
              <w:tc>
                <w:tcPr>
                  <w:tcW w:w="1272" w:type="dxa"/>
                  <w:vAlign w:val="center"/>
                </w:tcPr>
                <w:p>
                  <w:pPr>
                    <w:jc w:val="center"/>
                    <w:rPr>
                      <w:color w:val="auto"/>
                      <w:szCs w:val="21"/>
                    </w:rPr>
                  </w:pPr>
                  <w:r>
                    <w:rPr>
                      <w:rFonts w:hint="eastAsia"/>
                      <w:color w:val="auto"/>
                      <w:szCs w:val="21"/>
                    </w:rPr>
                    <w:t>供热</w:t>
                  </w:r>
                </w:p>
              </w:tc>
              <w:tc>
                <w:tcPr>
                  <w:tcW w:w="6862" w:type="dxa"/>
                  <w:vAlign w:val="center"/>
                </w:tcPr>
                <w:p>
                  <w:pPr>
                    <w:jc w:val="left"/>
                    <w:rPr>
                      <w:color w:val="auto"/>
                      <w:szCs w:val="21"/>
                    </w:rPr>
                  </w:pPr>
                  <w:r>
                    <w:rPr>
                      <w:rFonts w:hint="eastAsia"/>
                      <w:color w:val="auto"/>
                      <w:szCs w:val="21"/>
                    </w:rPr>
                    <w:t>项目生产区无供暖需求，生活区供暖采用隧道窑余热供暖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jc w:val="center"/>
                    <w:rPr>
                      <w:color w:val="auto"/>
                      <w:szCs w:val="21"/>
                    </w:rPr>
                  </w:pPr>
                </w:p>
              </w:tc>
              <w:tc>
                <w:tcPr>
                  <w:tcW w:w="1272" w:type="dxa"/>
                  <w:vAlign w:val="center"/>
                </w:tcPr>
                <w:p>
                  <w:pPr>
                    <w:jc w:val="center"/>
                    <w:rPr>
                      <w:color w:val="auto"/>
                      <w:szCs w:val="21"/>
                    </w:rPr>
                  </w:pPr>
                  <w:r>
                    <w:rPr>
                      <w:rFonts w:hint="eastAsia"/>
                      <w:color w:val="auto"/>
                      <w:szCs w:val="21"/>
                    </w:rPr>
                    <w:t>制冷</w:t>
                  </w:r>
                </w:p>
              </w:tc>
              <w:tc>
                <w:tcPr>
                  <w:tcW w:w="6862" w:type="dxa"/>
                  <w:vAlign w:val="center"/>
                </w:tcPr>
                <w:p>
                  <w:pPr>
                    <w:jc w:val="left"/>
                    <w:rPr>
                      <w:color w:val="auto"/>
                      <w:szCs w:val="21"/>
                    </w:rPr>
                  </w:pPr>
                  <w:r>
                    <w:rPr>
                      <w:rFonts w:hint="eastAsia"/>
                      <w:color w:val="auto"/>
                      <w:szCs w:val="21"/>
                    </w:rPr>
                    <w:t>办公及生活配套设施采用分体式空调制冷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515" w:hRule="atLeast"/>
                <w:jc w:val="center"/>
              </w:trPr>
              <w:tc>
                <w:tcPr>
                  <w:tcW w:w="690" w:type="dxa"/>
                  <w:vAlign w:val="center"/>
                </w:tcPr>
                <w:p>
                  <w:pPr>
                    <w:jc w:val="center"/>
                    <w:rPr>
                      <w:color w:val="auto"/>
                      <w:szCs w:val="21"/>
                    </w:rPr>
                  </w:pPr>
                  <w:r>
                    <w:rPr>
                      <w:rFonts w:hint="eastAsia"/>
                      <w:color w:val="auto"/>
                      <w:szCs w:val="21"/>
                    </w:rPr>
                    <w:t>储运工程</w:t>
                  </w:r>
                </w:p>
              </w:tc>
              <w:tc>
                <w:tcPr>
                  <w:tcW w:w="1272" w:type="dxa"/>
                  <w:vAlign w:val="center"/>
                </w:tcPr>
                <w:p>
                  <w:pPr>
                    <w:jc w:val="center"/>
                    <w:rPr>
                      <w:color w:val="auto"/>
                      <w:szCs w:val="21"/>
                    </w:rPr>
                  </w:pPr>
                  <w:r>
                    <w:rPr>
                      <w:rFonts w:hint="eastAsia"/>
                      <w:color w:val="auto"/>
                      <w:szCs w:val="21"/>
                    </w:rPr>
                    <w:t>成品堆场</w:t>
                  </w:r>
                </w:p>
              </w:tc>
              <w:tc>
                <w:tcPr>
                  <w:tcW w:w="6862" w:type="dxa"/>
                  <w:vAlign w:val="center"/>
                </w:tcPr>
                <w:p>
                  <w:pPr>
                    <w:jc w:val="left"/>
                    <w:rPr>
                      <w:color w:val="auto"/>
                      <w:szCs w:val="21"/>
                    </w:rPr>
                  </w:pPr>
                  <w:r>
                    <w:rPr>
                      <w:rFonts w:hint="eastAsia"/>
                      <w:color w:val="auto"/>
                      <w:szCs w:val="21"/>
                    </w:rPr>
                    <w:t>占地面积7015</w:t>
                  </w:r>
                  <w:r>
                    <w:rPr>
                      <w:rFonts w:hint="eastAsia"/>
                      <w:color w:val="auto"/>
                    </w:rPr>
                    <w:t>m</w:t>
                  </w:r>
                  <w:r>
                    <w:rPr>
                      <w:rFonts w:hint="eastAsia"/>
                      <w:color w:val="auto"/>
                      <w:vertAlign w:val="superscript"/>
                    </w:rPr>
                    <w:t>2</w:t>
                  </w:r>
                  <w:r>
                    <w:rPr>
                      <w:rFonts w:hint="eastAsia"/>
                      <w:color w:val="auto"/>
                      <w:szCs w:val="21"/>
                    </w:rPr>
                    <w:t>，位于厂区北侧，露天堆放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restart"/>
                  <w:vAlign w:val="center"/>
                </w:tcPr>
                <w:p>
                  <w:pPr>
                    <w:jc w:val="center"/>
                    <w:rPr>
                      <w:color w:val="auto"/>
                      <w:szCs w:val="21"/>
                    </w:rPr>
                  </w:pPr>
                  <w:r>
                    <w:rPr>
                      <w:rFonts w:hint="eastAsia"/>
                      <w:color w:val="auto"/>
                      <w:szCs w:val="21"/>
                    </w:rPr>
                    <w:t>环保</w:t>
                  </w:r>
                </w:p>
                <w:p>
                  <w:pPr>
                    <w:jc w:val="center"/>
                    <w:rPr>
                      <w:color w:val="auto"/>
                      <w:szCs w:val="21"/>
                    </w:rPr>
                  </w:pPr>
                  <w:r>
                    <w:rPr>
                      <w:rFonts w:hint="eastAsia"/>
                      <w:color w:val="auto"/>
                      <w:szCs w:val="21"/>
                    </w:rPr>
                    <w:t>工程</w:t>
                  </w:r>
                </w:p>
              </w:tc>
              <w:tc>
                <w:tcPr>
                  <w:tcW w:w="1272" w:type="dxa"/>
                  <w:vMerge w:val="restart"/>
                  <w:vAlign w:val="center"/>
                </w:tcPr>
                <w:p>
                  <w:pPr>
                    <w:jc w:val="center"/>
                    <w:rPr>
                      <w:color w:val="auto"/>
                      <w:szCs w:val="21"/>
                    </w:rPr>
                  </w:pPr>
                  <w:r>
                    <w:rPr>
                      <w:rFonts w:hint="eastAsia"/>
                      <w:color w:val="auto"/>
                      <w:szCs w:val="21"/>
                    </w:rPr>
                    <w:t>废气</w:t>
                  </w:r>
                </w:p>
              </w:tc>
              <w:tc>
                <w:tcPr>
                  <w:tcW w:w="6862" w:type="dxa"/>
                  <w:vAlign w:val="center"/>
                </w:tcPr>
                <w:p>
                  <w:pPr>
                    <w:jc w:val="left"/>
                    <w:rPr>
                      <w:color w:val="auto"/>
                      <w:szCs w:val="21"/>
                    </w:rPr>
                  </w:pPr>
                  <w:r>
                    <w:rPr>
                      <w:rFonts w:hint="eastAsia"/>
                      <w:color w:val="auto"/>
                      <w:spacing w:val="6"/>
                      <w:szCs w:val="21"/>
                    </w:rPr>
                    <w:t>隧道窑焙烧废气</w:t>
                  </w:r>
                  <w:r>
                    <w:rPr>
                      <w:rFonts w:hint="eastAsia"/>
                      <w:color w:val="auto"/>
                      <w:szCs w:val="21"/>
                    </w:rPr>
                    <w:t>收集后由15m排气筒(</w:t>
                  </w:r>
                  <w:r>
                    <w:rPr>
                      <w:color w:val="auto"/>
                      <w:szCs w:val="21"/>
                    </w:rPr>
                    <w:t>1#)</w:t>
                  </w:r>
                  <w:r>
                    <w:rPr>
                      <w:rFonts w:hint="eastAsia"/>
                      <w:color w:val="auto"/>
                      <w:szCs w:val="21"/>
                    </w:rPr>
                    <w:t>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jc w:val="center"/>
                    <w:rPr>
                      <w:color w:val="auto"/>
                      <w:szCs w:val="21"/>
                    </w:rPr>
                  </w:pPr>
                </w:p>
              </w:tc>
              <w:tc>
                <w:tcPr>
                  <w:tcW w:w="1272" w:type="dxa"/>
                  <w:vMerge w:val="continue"/>
                  <w:vAlign w:val="center"/>
                </w:tcPr>
                <w:p>
                  <w:pPr>
                    <w:jc w:val="center"/>
                    <w:rPr>
                      <w:color w:val="auto"/>
                      <w:szCs w:val="21"/>
                    </w:rPr>
                  </w:pPr>
                </w:p>
              </w:tc>
              <w:tc>
                <w:tcPr>
                  <w:tcW w:w="6862" w:type="dxa"/>
                  <w:vAlign w:val="center"/>
                </w:tcPr>
                <w:p>
                  <w:pPr>
                    <w:jc w:val="left"/>
                    <w:rPr>
                      <w:color w:val="auto"/>
                      <w:szCs w:val="21"/>
                    </w:rPr>
                  </w:pPr>
                  <w:r>
                    <w:rPr>
                      <w:rFonts w:hint="eastAsia"/>
                      <w:bCs/>
                      <w:color w:val="auto"/>
                      <w:szCs w:val="21"/>
                    </w:rPr>
                    <w:t>粉碎车间</w:t>
                  </w:r>
                  <w:r>
                    <w:rPr>
                      <w:rFonts w:hint="eastAsia"/>
                      <w:color w:val="auto"/>
                      <w:szCs w:val="21"/>
                    </w:rPr>
                    <w:t>粉尘由集气罩收集，经引风机进入袋式除尘器处理后，经15m高排气筒(</w:t>
                  </w:r>
                  <w:r>
                    <w:rPr>
                      <w:color w:val="auto"/>
                      <w:szCs w:val="21"/>
                    </w:rPr>
                    <w:t>2#)</w:t>
                  </w:r>
                  <w:r>
                    <w:rPr>
                      <w:rFonts w:hint="eastAsia"/>
                      <w:color w:val="auto"/>
                      <w:szCs w:val="21"/>
                    </w:rPr>
                    <w:t>集中排放。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jc w:val="center"/>
                    <w:rPr>
                      <w:color w:val="auto"/>
                      <w:szCs w:val="21"/>
                    </w:rPr>
                  </w:pPr>
                </w:p>
              </w:tc>
              <w:tc>
                <w:tcPr>
                  <w:tcW w:w="1272" w:type="dxa"/>
                  <w:vMerge w:val="continue"/>
                  <w:vAlign w:val="center"/>
                </w:tcPr>
                <w:p>
                  <w:pPr>
                    <w:jc w:val="center"/>
                    <w:rPr>
                      <w:color w:val="auto"/>
                      <w:szCs w:val="21"/>
                    </w:rPr>
                  </w:pPr>
                </w:p>
              </w:tc>
              <w:tc>
                <w:tcPr>
                  <w:tcW w:w="6862" w:type="dxa"/>
                  <w:vAlign w:val="center"/>
                </w:tcPr>
                <w:p>
                  <w:pPr>
                    <w:jc w:val="left"/>
                    <w:rPr>
                      <w:bCs/>
                      <w:color w:val="auto"/>
                      <w:szCs w:val="21"/>
                    </w:rPr>
                  </w:pPr>
                  <w:r>
                    <w:rPr>
                      <w:rFonts w:hint="eastAsia"/>
                      <w:bCs/>
                      <w:color w:val="auto"/>
                      <w:szCs w:val="21"/>
                    </w:rPr>
                    <w:t>干燥窑设置3台排潮风机，干燥废气通过3个15m排气筒</w:t>
                  </w:r>
                  <w:r>
                    <w:rPr>
                      <w:rFonts w:hint="eastAsia"/>
                      <w:color w:val="auto"/>
                      <w:szCs w:val="21"/>
                    </w:rPr>
                    <w:t>(</w:t>
                  </w:r>
                  <w:r>
                    <w:rPr>
                      <w:color w:val="auto"/>
                      <w:szCs w:val="21"/>
                    </w:rPr>
                    <w:t>3#</w:t>
                  </w:r>
                  <w:r>
                    <w:rPr>
                      <w:rFonts w:hint="eastAsia"/>
                      <w:color w:val="auto"/>
                      <w:szCs w:val="21"/>
                    </w:rPr>
                    <w:t>、</w:t>
                  </w:r>
                  <w:r>
                    <w:rPr>
                      <w:color w:val="auto"/>
                      <w:szCs w:val="21"/>
                    </w:rPr>
                    <w:t>4#</w:t>
                  </w:r>
                  <w:r>
                    <w:rPr>
                      <w:rFonts w:hint="eastAsia"/>
                      <w:color w:val="auto"/>
                      <w:szCs w:val="21"/>
                    </w:rPr>
                    <w:t>、</w:t>
                  </w:r>
                  <w:r>
                    <w:rPr>
                      <w:color w:val="auto"/>
                      <w:szCs w:val="21"/>
                    </w:rPr>
                    <w:t>5#)</w:t>
                  </w:r>
                  <w:r>
                    <w:rPr>
                      <w:rFonts w:hint="eastAsia"/>
                      <w:bCs/>
                      <w:color w:val="auto"/>
                      <w:szCs w:val="21"/>
                    </w:rPr>
                    <w:t>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jc w:val="center"/>
                    <w:rPr>
                      <w:color w:val="auto"/>
                      <w:szCs w:val="21"/>
                    </w:rPr>
                  </w:pPr>
                </w:p>
              </w:tc>
              <w:tc>
                <w:tcPr>
                  <w:tcW w:w="1272" w:type="dxa"/>
                  <w:vMerge w:val="continue"/>
                  <w:vAlign w:val="center"/>
                </w:tcPr>
                <w:p>
                  <w:pPr>
                    <w:jc w:val="center"/>
                    <w:rPr>
                      <w:color w:val="auto"/>
                      <w:szCs w:val="21"/>
                    </w:rPr>
                  </w:pPr>
                </w:p>
              </w:tc>
              <w:tc>
                <w:tcPr>
                  <w:tcW w:w="6862" w:type="dxa"/>
                  <w:vAlign w:val="center"/>
                </w:tcPr>
                <w:p>
                  <w:pPr>
                    <w:jc w:val="left"/>
                    <w:rPr>
                      <w:bCs/>
                      <w:color w:val="auto"/>
                      <w:szCs w:val="21"/>
                    </w:rPr>
                  </w:pPr>
                  <w:r>
                    <w:rPr>
                      <w:rFonts w:hint="eastAsia"/>
                      <w:bCs/>
                      <w:color w:val="auto"/>
                      <w:szCs w:val="21"/>
                    </w:rPr>
                    <w:t>取土区粘土运输车辆采用平槽装运，</w:t>
                  </w:r>
                  <w:r>
                    <w:rPr>
                      <w:rFonts w:hint="eastAsia"/>
                      <w:color w:val="auto"/>
                      <w:szCs w:val="21"/>
                    </w:rPr>
                    <w:t>采用密目网遮盖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jc w:val="center"/>
                    <w:rPr>
                      <w:color w:val="auto"/>
                      <w:szCs w:val="21"/>
                    </w:rPr>
                  </w:pPr>
                </w:p>
              </w:tc>
              <w:tc>
                <w:tcPr>
                  <w:tcW w:w="1272" w:type="dxa"/>
                  <w:vMerge w:val="continue"/>
                  <w:vAlign w:val="center"/>
                </w:tcPr>
                <w:p>
                  <w:pPr>
                    <w:jc w:val="center"/>
                    <w:rPr>
                      <w:color w:val="auto"/>
                      <w:szCs w:val="21"/>
                    </w:rPr>
                  </w:pPr>
                </w:p>
              </w:tc>
              <w:tc>
                <w:tcPr>
                  <w:tcW w:w="6862" w:type="dxa"/>
                  <w:vAlign w:val="center"/>
                </w:tcPr>
                <w:p>
                  <w:pPr>
                    <w:jc w:val="left"/>
                    <w:rPr>
                      <w:color w:val="auto"/>
                      <w:szCs w:val="21"/>
                    </w:rPr>
                  </w:pPr>
                  <w:r>
                    <w:rPr>
                      <w:rFonts w:hint="eastAsia"/>
                      <w:color w:val="auto"/>
                      <w:szCs w:val="21"/>
                    </w:rPr>
                    <w:t>取土区无组织扬尘采用洒水车</w:t>
                  </w:r>
                  <w:r>
                    <w:rPr>
                      <w:color w:val="auto"/>
                      <w:szCs w:val="21"/>
                    </w:rPr>
                    <w:t>洒水降尘</w:t>
                  </w:r>
                  <w:r>
                    <w:rPr>
                      <w:rFonts w:hint="eastAsia"/>
                      <w:color w:val="auto"/>
                      <w:szCs w:val="21"/>
                    </w:rPr>
                    <w:t>，非作业面采用密目网遮盖</w:t>
                  </w:r>
                </w:p>
              </w:tc>
            </w:tr>
            <w:tr>
              <w:tblPrEx>
                <w:tblCellMar>
                  <w:top w:w="0" w:type="dxa"/>
                  <w:left w:w="51" w:type="dxa"/>
                  <w:bottom w:w="0" w:type="dxa"/>
                  <w:right w:w="51" w:type="dxa"/>
                </w:tblCellMar>
              </w:tblPrEx>
              <w:trPr>
                <w:trHeight w:val="340" w:hRule="atLeast"/>
                <w:jc w:val="center"/>
              </w:trPr>
              <w:tc>
                <w:tcPr>
                  <w:tcW w:w="690" w:type="dxa"/>
                  <w:vMerge w:val="continue"/>
                  <w:vAlign w:val="center"/>
                </w:tcPr>
                <w:p>
                  <w:pPr>
                    <w:jc w:val="center"/>
                    <w:rPr>
                      <w:color w:val="auto"/>
                      <w:szCs w:val="21"/>
                    </w:rPr>
                  </w:pPr>
                </w:p>
              </w:tc>
              <w:tc>
                <w:tcPr>
                  <w:tcW w:w="1272" w:type="dxa"/>
                  <w:vMerge w:val="continue"/>
                  <w:vAlign w:val="center"/>
                </w:tcPr>
                <w:p>
                  <w:pPr>
                    <w:jc w:val="center"/>
                    <w:rPr>
                      <w:color w:val="auto"/>
                      <w:szCs w:val="21"/>
                    </w:rPr>
                  </w:pPr>
                </w:p>
              </w:tc>
              <w:tc>
                <w:tcPr>
                  <w:tcW w:w="6862" w:type="dxa"/>
                  <w:vAlign w:val="center"/>
                </w:tcPr>
                <w:p>
                  <w:pPr>
                    <w:jc w:val="left"/>
                    <w:rPr>
                      <w:color w:val="auto"/>
                      <w:szCs w:val="21"/>
                    </w:rPr>
                  </w:pPr>
                  <w:r>
                    <w:rPr>
                      <w:rFonts w:hint="eastAsia"/>
                      <w:color w:val="auto"/>
                      <w:szCs w:val="21"/>
                    </w:rPr>
                    <w:t>餐厅油烟废气经油烟净化器处理后排放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jc w:val="center"/>
                    <w:rPr>
                      <w:color w:val="auto"/>
                      <w:szCs w:val="21"/>
                    </w:rPr>
                  </w:pPr>
                </w:p>
              </w:tc>
              <w:tc>
                <w:tcPr>
                  <w:tcW w:w="1272" w:type="dxa"/>
                  <w:vAlign w:val="center"/>
                </w:tcPr>
                <w:p>
                  <w:pPr>
                    <w:jc w:val="center"/>
                    <w:rPr>
                      <w:color w:val="auto"/>
                      <w:szCs w:val="21"/>
                    </w:rPr>
                  </w:pPr>
                  <w:r>
                    <w:rPr>
                      <w:rFonts w:hint="eastAsia"/>
                      <w:color w:val="auto"/>
                      <w:szCs w:val="21"/>
                    </w:rPr>
                    <w:t>废水</w:t>
                  </w:r>
                </w:p>
              </w:tc>
              <w:tc>
                <w:tcPr>
                  <w:tcW w:w="6862" w:type="dxa"/>
                  <w:vAlign w:val="center"/>
                </w:tcPr>
                <w:p>
                  <w:pPr>
                    <w:jc w:val="left"/>
                    <w:rPr>
                      <w:color w:val="auto"/>
                      <w:szCs w:val="21"/>
                    </w:rPr>
                  </w:pPr>
                  <w:r>
                    <w:rPr>
                      <w:color w:val="auto"/>
                      <w:szCs w:val="21"/>
                    </w:rPr>
                    <w:t>本项目生产过程</w:t>
                  </w:r>
                  <w:r>
                    <w:rPr>
                      <w:rFonts w:hint="eastAsia"/>
                      <w:color w:val="auto"/>
                      <w:szCs w:val="21"/>
                    </w:rPr>
                    <w:t>中无废水产生；项目生活废水经化粪池储存后定期清掏，不外排。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ind w:firstLine="420" w:firstLineChars="200"/>
                    <w:rPr>
                      <w:color w:val="auto"/>
                      <w:szCs w:val="21"/>
                    </w:rPr>
                  </w:pPr>
                </w:p>
              </w:tc>
              <w:tc>
                <w:tcPr>
                  <w:tcW w:w="1272" w:type="dxa"/>
                  <w:vAlign w:val="center"/>
                </w:tcPr>
                <w:p>
                  <w:pPr>
                    <w:jc w:val="center"/>
                    <w:rPr>
                      <w:color w:val="auto"/>
                      <w:szCs w:val="21"/>
                    </w:rPr>
                  </w:pPr>
                  <w:r>
                    <w:rPr>
                      <w:rFonts w:hint="eastAsia"/>
                      <w:color w:val="auto"/>
                      <w:szCs w:val="21"/>
                    </w:rPr>
                    <w:t>噪声</w:t>
                  </w:r>
                </w:p>
              </w:tc>
              <w:tc>
                <w:tcPr>
                  <w:tcW w:w="6862" w:type="dxa"/>
                  <w:vAlign w:val="center"/>
                </w:tcPr>
                <w:p>
                  <w:pPr>
                    <w:jc w:val="left"/>
                    <w:rPr>
                      <w:color w:val="auto"/>
                      <w:szCs w:val="21"/>
                    </w:rPr>
                  </w:pPr>
                  <w:r>
                    <w:rPr>
                      <w:rFonts w:hint="eastAsia"/>
                      <w:color w:val="auto"/>
                      <w:szCs w:val="21"/>
                    </w:rPr>
                    <w:t>选用低噪声设备、基础减振、车间隔声等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ind w:firstLine="420" w:firstLineChars="200"/>
                    <w:rPr>
                      <w:color w:val="auto"/>
                      <w:szCs w:val="21"/>
                    </w:rPr>
                  </w:pPr>
                </w:p>
              </w:tc>
              <w:tc>
                <w:tcPr>
                  <w:tcW w:w="1272" w:type="dxa"/>
                  <w:vMerge w:val="restart"/>
                  <w:vAlign w:val="center"/>
                </w:tcPr>
                <w:p>
                  <w:pPr>
                    <w:jc w:val="center"/>
                    <w:rPr>
                      <w:color w:val="auto"/>
                      <w:szCs w:val="21"/>
                    </w:rPr>
                  </w:pPr>
                  <w:r>
                    <w:rPr>
                      <w:rFonts w:hint="eastAsia"/>
                      <w:color w:val="auto"/>
                      <w:szCs w:val="21"/>
                    </w:rPr>
                    <w:t>固体废物</w:t>
                  </w:r>
                </w:p>
              </w:tc>
              <w:tc>
                <w:tcPr>
                  <w:tcW w:w="6862" w:type="dxa"/>
                  <w:vAlign w:val="center"/>
                </w:tcPr>
                <w:p>
                  <w:pPr>
                    <w:jc w:val="left"/>
                    <w:rPr>
                      <w:color w:val="auto"/>
                      <w:szCs w:val="21"/>
                    </w:rPr>
                  </w:pPr>
                  <w:r>
                    <w:rPr>
                      <w:rFonts w:hint="eastAsia"/>
                      <w:color w:val="auto"/>
                      <w:szCs w:val="21"/>
                    </w:rPr>
                    <w:t>项目产生的废坯和收集灰回用于制瓦生产线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ind w:firstLine="420" w:firstLineChars="200"/>
                    <w:rPr>
                      <w:color w:val="auto"/>
                      <w:szCs w:val="21"/>
                    </w:rPr>
                  </w:pPr>
                </w:p>
              </w:tc>
              <w:tc>
                <w:tcPr>
                  <w:tcW w:w="1272" w:type="dxa"/>
                  <w:vMerge w:val="continue"/>
                  <w:vAlign w:val="center"/>
                </w:tcPr>
                <w:p>
                  <w:pPr>
                    <w:jc w:val="center"/>
                    <w:rPr>
                      <w:color w:val="auto"/>
                      <w:szCs w:val="21"/>
                    </w:rPr>
                  </w:pPr>
                </w:p>
              </w:tc>
              <w:tc>
                <w:tcPr>
                  <w:tcW w:w="6862" w:type="dxa"/>
                  <w:vAlign w:val="center"/>
                </w:tcPr>
                <w:p>
                  <w:pPr>
                    <w:jc w:val="left"/>
                    <w:rPr>
                      <w:color w:val="auto"/>
                      <w:szCs w:val="21"/>
                    </w:rPr>
                  </w:pPr>
                  <w:r>
                    <w:rPr>
                      <w:color w:val="auto"/>
                      <w:szCs w:val="21"/>
                    </w:rPr>
                    <w:t>员工生活垃圾分类收集，由当地环卫部门统一清运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ind w:firstLine="420" w:firstLineChars="200"/>
                    <w:rPr>
                      <w:color w:val="auto"/>
                      <w:szCs w:val="21"/>
                    </w:rPr>
                  </w:pPr>
                </w:p>
              </w:tc>
              <w:tc>
                <w:tcPr>
                  <w:tcW w:w="1272" w:type="dxa"/>
                  <w:vMerge w:val="continue"/>
                  <w:vAlign w:val="center"/>
                </w:tcPr>
                <w:p>
                  <w:pPr>
                    <w:jc w:val="center"/>
                    <w:rPr>
                      <w:color w:val="auto"/>
                      <w:szCs w:val="21"/>
                    </w:rPr>
                  </w:pPr>
                </w:p>
              </w:tc>
              <w:tc>
                <w:tcPr>
                  <w:tcW w:w="6862" w:type="dxa"/>
                  <w:vAlign w:val="center"/>
                </w:tcPr>
                <w:p>
                  <w:pPr>
                    <w:jc w:val="left"/>
                    <w:rPr>
                      <w:color w:val="auto"/>
                      <w:szCs w:val="21"/>
                    </w:rPr>
                  </w:pPr>
                  <w:r>
                    <w:rPr>
                      <w:rFonts w:hint="eastAsia"/>
                      <w:color w:val="auto"/>
                      <w:szCs w:val="21"/>
                    </w:rPr>
                    <w:t>废机油（危废代码</w:t>
                  </w:r>
                  <w:r>
                    <w:rPr>
                      <w:rFonts w:hint="eastAsia" w:hAnsi="宋体"/>
                      <w:color w:val="auto"/>
                      <w:szCs w:val="21"/>
                    </w:rPr>
                    <w:t>900-217-08）</w:t>
                  </w:r>
                  <w:r>
                    <w:rPr>
                      <w:rFonts w:hint="eastAsia"/>
                      <w:color w:val="auto"/>
                      <w:szCs w:val="21"/>
                    </w:rPr>
                    <w:t>收集后交有危险废物处置资质的单位处置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ind w:firstLine="420" w:firstLineChars="200"/>
                    <w:rPr>
                      <w:color w:val="auto"/>
                      <w:szCs w:val="21"/>
                    </w:rPr>
                  </w:pPr>
                </w:p>
              </w:tc>
              <w:tc>
                <w:tcPr>
                  <w:tcW w:w="1272" w:type="dxa"/>
                  <w:vMerge w:val="continue"/>
                  <w:vAlign w:val="center"/>
                </w:tcPr>
                <w:p>
                  <w:pPr>
                    <w:jc w:val="center"/>
                    <w:rPr>
                      <w:color w:val="auto"/>
                      <w:szCs w:val="21"/>
                    </w:rPr>
                  </w:pPr>
                </w:p>
              </w:tc>
              <w:tc>
                <w:tcPr>
                  <w:tcW w:w="6862" w:type="dxa"/>
                  <w:vAlign w:val="center"/>
                </w:tcPr>
                <w:p>
                  <w:pPr>
                    <w:jc w:val="left"/>
                    <w:rPr>
                      <w:color w:val="auto"/>
                      <w:szCs w:val="21"/>
                    </w:rPr>
                  </w:pPr>
                  <w:r>
                    <w:rPr>
                      <w:rFonts w:hint="eastAsia"/>
                      <w:color w:val="auto"/>
                      <w:szCs w:val="21"/>
                    </w:rPr>
                    <w:t>餐厨垃圾集中收集交相关回收单位处置，其中，废油脂交由有资质单位处置。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690" w:type="dxa"/>
                  <w:vMerge w:val="continue"/>
                  <w:vAlign w:val="center"/>
                </w:tcPr>
                <w:p>
                  <w:pPr>
                    <w:ind w:firstLine="420" w:firstLineChars="200"/>
                    <w:rPr>
                      <w:color w:val="auto"/>
                      <w:szCs w:val="21"/>
                    </w:rPr>
                  </w:pPr>
                </w:p>
              </w:tc>
              <w:tc>
                <w:tcPr>
                  <w:tcW w:w="1272" w:type="dxa"/>
                  <w:vAlign w:val="center"/>
                </w:tcPr>
                <w:p>
                  <w:pPr>
                    <w:jc w:val="center"/>
                    <w:rPr>
                      <w:color w:val="auto"/>
                      <w:szCs w:val="21"/>
                    </w:rPr>
                  </w:pPr>
                  <w:r>
                    <w:rPr>
                      <w:rFonts w:hint="eastAsia"/>
                      <w:color w:val="auto"/>
                      <w:szCs w:val="21"/>
                    </w:rPr>
                    <w:t>绿化</w:t>
                  </w:r>
                </w:p>
              </w:tc>
              <w:tc>
                <w:tcPr>
                  <w:tcW w:w="6862" w:type="dxa"/>
                  <w:vAlign w:val="center"/>
                </w:tcPr>
                <w:p>
                  <w:pPr>
                    <w:jc w:val="left"/>
                    <w:rPr>
                      <w:color w:val="auto"/>
                      <w:szCs w:val="21"/>
                    </w:rPr>
                  </w:pPr>
                  <w:r>
                    <w:rPr>
                      <w:rFonts w:hint="eastAsia"/>
                      <w:color w:val="auto"/>
                      <w:szCs w:val="21"/>
                    </w:rPr>
                    <w:t>绿化面积为4000m</w:t>
                  </w:r>
                  <w:r>
                    <w:rPr>
                      <w:rFonts w:hint="eastAsia"/>
                      <w:color w:val="auto"/>
                      <w:szCs w:val="21"/>
                      <w:vertAlign w:val="superscript"/>
                    </w:rPr>
                    <w:t>2</w:t>
                  </w:r>
                </w:p>
              </w:tc>
            </w:tr>
          </w:tbl>
          <w:p>
            <w:pPr>
              <w:jc w:val="center"/>
              <w:rPr>
                <w:b/>
                <w:color w:val="auto"/>
              </w:rPr>
            </w:pPr>
            <w:r>
              <w:rPr>
                <w:rFonts w:hAnsi="宋体"/>
                <w:b/>
                <w:color w:val="auto"/>
              </w:rPr>
              <w:t>表</w:t>
            </w:r>
            <w:r>
              <w:rPr>
                <w:rFonts w:hint="eastAsia" w:hAnsi="宋体"/>
                <w:b/>
                <w:color w:val="auto"/>
              </w:rPr>
              <w:t>8</w:t>
            </w:r>
            <w:r>
              <w:rPr>
                <w:b/>
                <w:color w:val="auto"/>
              </w:rPr>
              <w:t xml:space="preserve">    </w:t>
            </w:r>
            <w:r>
              <w:rPr>
                <w:rFonts w:hAnsi="宋体"/>
                <w:b/>
                <w:color w:val="auto"/>
              </w:rPr>
              <w:t>主要</w:t>
            </w:r>
            <w:r>
              <w:rPr>
                <w:rFonts w:hint="eastAsia" w:hAnsi="宋体"/>
                <w:b/>
                <w:color w:val="auto"/>
              </w:rPr>
              <w:t>构筑物占地面积</w:t>
            </w:r>
          </w:p>
          <w:tbl>
            <w:tblPr>
              <w:tblStyle w:val="24"/>
              <w:tblW w:w="894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03"/>
              <w:gridCol w:w="36"/>
              <w:gridCol w:w="2739"/>
              <w:gridCol w:w="1276"/>
              <w:gridCol w:w="33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3" w:type="dxa"/>
                  <w:vAlign w:val="center"/>
                </w:tcPr>
                <w:p>
                  <w:pPr>
                    <w:spacing w:line="240" w:lineRule="atLeast"/>
                    <w:jc w:val="center"/>
                    <w:rPr>
                      <w:color w:val="auto"/>
                      <w:szCs w:val="21"/>
                    </w:rPr>
                  </w:pPr>
                  <w:r>
                    <w:rPr>
                      <w:rFonts w:hAnsi="宋体"/>
                      <w:color w:val="auto"/>
                      <w:szCs w:val="21"/>
                    </w:rPr>
                    <w:t>序号</w:t>
                  </w:r>
                </w:p>
              </w:tc>
              <w:tc>
                <w:tcPr>
                  <w:tcW w:w="3578" w:type="dxa"/>
                  <w:gridSpan w:val="3"/>
                  <w:vAlign w:val="center"/>
                </w:tcPr>
                <w:p>
                  <w:pPr>
                    <w:spacing w:line="240" w:lineRule="atLeast"/>
                    <w:jc w:val="center"/>
                    <w:rPr>
                      <w:color w:val="auto"/>
                      <w:szCs w:val="21"/>
                    </w:rPr>
                  </w:pPr>
                  <w:r>
                    <w:rPr>
                      <w:rFonts w:hAnsi="宋体"/>
                      <w:color w:val="auto"/>
                      <w:szCs w:val="21"/>
                    </w:rPr>
                    <w:t>项目</w:t>
                  </w:r>
                </w:p>
              </w:tc>
              <w:tc>
                <w:tcPr>
                  <w:tcW w:w="1276" w:type="dxa"/>
                  <w:vAlign w:val="center"/>
                </w:tcPr>
                <w:p>
                  <w:pPr>
                    <w:spacing w:line="240" w:lineRule="atLeast"/>
                    <w:jc w:val="center"/>
                    <w:rPr>
                      <w:color w:val="auto"/>
                      <w:szCs w:val="21"/>
                    </w:rPr>
                  </w:pPr>
                  <w:r>
                    <w:rPr>
                      <w:rFonts w:hAnsi="宋体"/>
                      <w:color w:val="auto"/>
                      <w:szCs w:val="21"/>
                    </w:rPr>
                    <w:t>单位</w:t>
                  </w:r>
                </w:p>
              </w:tc>
              <w:tc>
                <w:tcPr>
                  <w:tcW w:w="3393" w:type="dxa"/>
                  <w:vAlign w:val="center"/>
                </w:tcPr>
                <w:p>
                  <w:pPr>
                    <w:spacing w:line="240" w:lineRule="atLeast"/>
                    <w:jc w:val="center"/>
                    <w:rPr>
                      <w:color w:val="auto"/>
                      <w:szCs w:val="21"/>
                    </w:rPr>
                  </w:pPr>
                  <w:r>
                    <w:rPr>
                      <w:rFonts w:hAnsi="宋体"/>
                      <w:color w:val="auto"/>
                      <w:szCs w:val="21"/>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3" w:type="dxa"/>
                  <w:vAlign w:val="center"/>
                </w:tcPr>
                <w:p>
                  <w:pPr>
                    <w:spacing w:line="240" w:lineRule="atLeast"/>
                    <w:jc w:val="center"/>
                    <w:rPr>
                      <w:color w:val="auto"/>
                      <w:szCs w:val="21"/>
                    </w:rPr>
                  </w:pPr>
                  <w:r>
                    <w:rPr>
                      <w:color w:val="auto"/>
                      <w:szCs w:val="21"/>
                    </w:rPr>
                    <w:t>1</w:t>
                  </w:r>
                </w:p>
              </w:tc>
              <w:tc>
                <w:tcPr>
                  <w:tcW w:w="3578" w:type="dxa"/>
                  <w:gridSpan w:val="3"/>
                  <w:vAlign w:val="center"/>
                </w:tcPr>
                <w:p>
                  <w:pPr>
                    <w:spacing w:line="240" w:lineRule="atLeast"/>
                    <w:jc w:val="center"/>
                    <w:rPr>
                      <w:rFonts w:hAnsi="宋体"/>
                      <w:color w:val="auto"/>
                      <w:szCs w:val="21"/>
                    </w:rPr>
                  </w:pPr>
                  <w:r>
                    <w:rPr>
                      <w:rFonts w:hint="eastAsia" w:hAnsi="宋体"/>
                      <w:color w:val="auto"/>
                      <w:szCs w:val="21"/>
                    </w:rPr>
                    <w:t>占地面积</w:t>
                  </w:r>
                </w:p>
              </w:tc>
              <w:tc>
                <w:tcPr>
                  <w:tcW w:w="1276" w:type="dxa"/>
                  <w:vAlign w:val="center"/>
                </w:tcPr>
                <w:p>
                  <w:pPr>
                    <w:spacing w:line="240" w:lineRule="atLeast"/>
                    <w:jc w:val="center"/>
                    <w:rPr>
                      <w:color w:val="auto"/>
                      <w:szCs w:val="21"/>
                    </w:rPr>
                  </w:pPr>
                  <w:r>
                    <w:rPr>
                      <w:color w:val="auto"/>
                      <w:szCs w:val="21"/>
                    </w:rPr>
                    <w:t>m</w:t>
                  </w:r>
                  <w:r>
                    <w:rPr>
                      <w:color w:val="auto"/>
                      <w:szCs w:val="21"/>
                      <w:vertAlign w:val="superscript"/>
                    </w:rPr>
                    <w:t>2</w:t>
                  </w:r>
                </w:p>
              </w:tc>
              <w:tc>
                <w:tcPr>
                  <w:tcW w:w="3393" w:type="dxa"/>
                  <w:vAlign w:val="center"/>
                </w:tcPr>
                <w:p>
                  <w:pPr>
                    <w:spacing w:line="240" w:lineRule="atLeast"/>
                    <w:jc w:val="center"/>
                    <w:rPr>
                      <w:color w:val="auto"/>
                      <w:szCs w:val="21"/>
                    </w:rPr>
                  </w:pPr>
                  <w:r>
                    <w:rPr>
                      <w:rFonts w:hint="eastAsia"/>
                      <w:color w:val="auto"/>
                      <w:szCs w:val="21"/>
                    </w:rPr>
                    <w:t>145733.3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3" w:type="dxa"/>
                  <w:vMerge w:val="restart"/>
                  <w:vAlign w:val="center"/>
                </w:tcPr>
                <w:p>
                  <w:pPr>
                    <w:spacing w:line="240" w:lineRule="atLeast"/>
                    <w:jc w:val="center"/>
                    <w:rPr>
                      <w:color w:val="auto"/>
                      <w:szCs w:val="21"/>
                    </w:rPr>
                  </w:pPr>
                  <w:r>
                    <w:rPr>
                      <w:rFonts w:hint="eastAsia"/>
                      <w:color w:val="auto"/>
                      <w:szCs w:val="21"/>
                    </w:rPr>
                    <w:t>2</w:t>
                  </w:r>
                </w:p>
              </w:tc>
              <w:tc>
                <w:tcPr>
                  <w:tcW w:w="839" w:type="dxa"/>
                  <w:gridSpan w:val="2"/>
                  <w:vMerge w:val="restart"/>
                  <w:vAlign w:val="center"/>
                </w:tcPr>
                <w:p>
                  <w:pPr>
                    <w:spacing w:line="240" w:lineRule="atLeast"/>
                    <w:jc w:val="center"/>
                    <w:rPr>
                      <w:rFonts w:hAnsi="宋体"/>
                      <w:color w:val="auto"/>
                      <w:szCs w:val="21"/>
                    </w:rPr>
                  </w:pPr>
                  <w:r>
                    <w:rPr>
                      <w:rFonts w:hint="eastAsia" w:hAnsi="宋体"/>
                      <w:color w:val="auto"/>
                      <w:szCs w:val="21"/>
                    </w:rPr>
                    <w:t>其中</w:t>
                  </w:r>
                </w:p>
              </w:tc>
              <w:tc>
                <w:tcPr>
                  <w:tcW w:w="2739" w:type="dxa"/>
                  <w:vAlign w:val="center"/>
                </w:tcPr>
                <w:p>
                  <w:pPr>
                    <w:spacing w:line="240" w:lineRule="atLeast"/>
                    <w:jc w:val="center"/>
                    <w:rPr>
                      <w:rFonts w:hAnsi="宋体"/>
                      <w:color w:val="auto"/>
                      <w:szCs w:val="21"/>
                    </w:rPr>
                  </w:pPr>
                  <w:r>
                    <w:rPr>
                      <w:rFonts w:hint="eastAsia"/>
                      <w:color w:val="auto"/>
                      <w:szCs w:val="21"/>
                    </w:rPr>
                    <w:t>厂区占地面积</w:t>
                  </w:r>
                </w:p>
              </w:tc>
              <w:tc>
                <w:tcPr>
                  <w:tcW w:w="1276" w:type="dxa"/>
                  <w:vAlign w:val="center"/>
                </w:tcPr>
                <w:p>
                  <w:pPr>
                    <w:spacing w:line="240" w:lineRule="atLeast"/>
                    <w:jc w:val="center"/>
                    <w:rPr>
                      <w:color w:val="auto"/>
                      <w:szCs w:val="21"/>
                    </w:rPr>
                  </w:pPr>
                  <w:r>
                    <w:rPr>
                      <w:color w:val="auto"/>
                      <w:szCs w:val="21"/>
                    </w:rPr>
                    <w:t>m</w:t>
                  </w:r>
                  <w:r>
                    <w:rPr>
                      <w:color w:val="auto"/>
                      <w:szCs w:val="21"/>
                      <w:vertAlign w:val="superscript"/>
                    </w:rPr>
                    <w:t>2</w:t>
                  </w:r>
                </w:p>
              </w:tc>
              <w:tc>
                <w:tcPr>
                  <w:tcW w:w="3393" w:type="dxa"/>
                  <w:vAlign w:val="center"/>
                </w:tcPr>
                <w:p>
                  <w:pPr>
                    <w:spacing w:line="240" w:lineRule="atLeast"/>
                    <w:jc w:val="center"/>
                    <w:rPr>
                      <w:color w:val="auto"/>
                      <w:szCs w:val="21"/>
                    </w:rPr>
                  </w:pPr>
                  <w:r>
                    <w:rPr>
                      <w:rFonts w:hint="eastAsia"/>
                      <w:color w:val="auto"/>
                      <w:szCs w:val="21"/>
                    </w:rPr>
                    <w:t>23333.3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3" w:type="dxa"/>
                  <w:vMerge w:val="continue"/>
                  <w:vAlign w:val="center"/>
                </w:tcPr>
                <w:p>
                  <w:pPr>
                    <w:spacing w:line="240" w:lineRule="atLeast"/>
                    <w:jc w:val="center"/>
                    <w:rPr>
                      <w:color w:val="auto"/>
                      <w:szCs w:val="21"/>
                    </w:rPr>
                  </w:pPr>
                </w:p>
              </w:tc>
              <w:tc>
                <w:tcPr>
                  <w:tcW w:w="839" w:type="dxa"/>
                  <w:gridSpan w:val="2"/>
                  <w:vMerge w:val="continue"/>
                  <w:vAlign w:val="center"/>
                </w:tcPr>
                <w:p>
                  <w:pPr>
                    <w:spacing w:line="240" w:lineRule="atLeast"/>
                    <w:jc w:val="center"/>
                    <w:rPr>
                      <w:rFonts w:hAnsi="宋体"/>
                      <w:color w:val="auto"/>
                      <w:szCs w:val="21"/>
                    </w:rPr>
                  </w:pPr>
                </w:p>
              </w:tc>
              <w:tc>
                <w:tcPr>
                  <w:tcW w:w="2739" w:type="dxa"/>
                  <w:vAlign w:val="center"/>
                </w:tcPr>
                <w:p>
                  <w:pPr>
                    <w:spacing w:line="240" w:lineRule="atLeast"/>
                    <w:jc w:val="center"/>
                    <w:rPr>
                      <w:rFonts w:hAnsi="宋体"/>
                      <w:color w:val="auto"/>
                      <w:szCs w:val="21"/>
                    </w:rPr>
                  </w:pPr>
                  <w:r>
                    <w:rPr>
                      <w:rFonts w:hint="eastAsia"/>
                      <w:color w:val="auto"/>
                      <w:szCs w:val="21"/>
                    </w:rPr>
                    <w:t>取土区占地面积</w:t>
                  </w:r>
                </w:p>
              </w:tc>
              <w:tc>
                <w:tcPr>
                  <w:tcW w:w="1276" w:type="dxa"/>
                  <w:vAlign w:val="center"/>
                </w:tcPr>
                <w:p>
                  <w:pPr>
                    <w:spacing w:line="240" w:lineRule="atLeast"/>
                    <w:jc w:val="center"/>
                    <w:rPr>
                      <w:color w:val="auto"/>
                      <w:szCs w:val="21"/>
                    </w:rPr>
                  </w:pPr>
                  <w:r>
                    <w:rPr>
                      <w:rFonts w:hint="eastAsia"/>
                      <w:color w:val="auto"/>
                      <w:szCs w:val="21"/>
                    </w:rPr>
                    <w:t>m</w:t>
                  </w:r>
                  <w:r>
                    <w:rPr>
                      <w:rFonts w:hint="eastAsia"/>
                      <w:color w:val="auto"/>
                      <w:szCs w:val="21"/>
                      <w:vertAlign w:val="superscript"/>
                    </w:rPr>
                    <w:t>2</w:t>
                  </w:r>
                </w:p>
              </w:tc>
              <w:tc>
                <w:tcPr>
                  <w:tcW w:w="3393" w:type="dxa"/>
                  <w:vAlign w:val="center"/>
                </w:tcPr>
                <w:p>
                  <w:pPr>
                    <w:spacing w:line="240" w:lineRule="atLeast"/>
                    <w:jc w:val="center"/>
                    <w:rPr>
                      <w:color w:val="auto"/>
                      <w:szCs w:val="21"/>
                    </w:rPr>
                  </w:pPr>
                  <w:r>
                    <w:rPr>
                      <w:rFonts w:hint="eastAsia"/>
                      <w:color w:val="auto"/>
                      <w:szCs w:val="21"/>
                    </w:rPr>
                    <w:t>122400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3" w:type="dxa"/>
                  <w:vMerge w:val="restart"/>
                  <w:vAlign w:val="center"/>
                </w:tcPr>
                <w:p>
                  <w:pPr>
                    <w:spacing w:line="240" w:lineRule="atLeast"/>
                    <w:jc w:val="center"/>
                    <w:rPr>
                      <w:color w:val="auto"/>
                      <w:szCs w:val="21"/>
                    </w:rPr>
                  </w:pPr>
                  <w:r>
                    <w:rPr>
                      <w:rFonts w:hint="eastAsia"/>
                      <w:color w:val="auto"/>
                      <w:szCs w:val="21"/>
                    </w:rPr>
                    <w:t>3</w:t>
                  </w:r>
                </w:p>
              </w:tc>
              <w:tc>
                <w:tcPr>
                  <w:tcW w:w="803" w:type="dxa"/>
                  <w:vMerge w:val="restart"/>
                  <w:vAlign w:val="center"/>
                </w:tcPr>
                <w:p>
                  <w:pPr>
                    <w:spacing w:line="240" w:lineRule="atLeast"/>
                    <w:jc w:val="center"/>
                    <w:rPr>
                      <w:color w:val="auto"/>
                      <w:szCs w:val="21"/>
                    </w:rPr>
                  </w:pPr>
                  <w:r>
                    <w:rPr>
                      <w:rFonts w:hint="eastAsia"/>
                      <w:color w:val="auto"/>
                      <w:szCs w:val="21"/>
                    </w:rPr>
                    <w:t>厂区占地中</w:t>
                  </w:r>
                </w:p>
              </w:tc>
              <w:tc>
                <w:tcPr>
                  <w:tcW w:w="2775" w:type="dxa"/>
                  <w:gridSpan w:val="2"/>
                  <w:vAlign w:val="center"/>
                </w:tcPr>
                <w:p>
                  <w:pPr>
                    <w:spacing w:line="240" w:lineRule="atLeast"/>
                    <w:jc w:val="center"/>
                    <w:rPr>
                      <w:color w:val="auto"/>
                      <w:szCs w:val="21"/>
                    </w:rPr>
                  </w:pPr>
                  <w:r>
                    <w:rPr>
                      <w:rFonts w:hint="eastAsia"/>
                      <w:color w:val="auto"/>
                      <w:szCs w:val="21"/>
                    </w:rPr>
                    <w:t>生产车间</w:t>
                  </w:r>
                </w:p>
              </w:tc>
              <w:tc>
                <w:tcPr>
                  <w:tcW w:w="1276" w:type="dxa"/>
                  <w:vAlign w:val="center"/>
                </w:tcPr>
                <w:p>
                  <w:pPr>
                    <w:spacing w:line="240" w:lineRule="atLeast"/>
                    <w:jc w:val="center"/>
                    <w:rPr>
                      <w:color w:val="auto"/>
                      <w:szCs w:val="21"/>
                    </w:rPr>
                  </w:pPr>
                  <w:r>
                    <w:rPr>
                      <w:color w:val="auto"/>
                      <w:szCs w:val="21"/>
                    </w:rPr>
                    <w:t>m</w:t>
                  </w:r>
                  <w:r>
                    <w:rPr>
                      <w:color w:val="auto"/>
                      <w:szCs w:val="21"/>
                      <w:vertAlign w:val="superscript"/>
                    </w:rPr>
                    <w:t>2</w:t>
                  </w:r>
                </w:p>
              </w:tc>
              <w:tc>
                <w:tcPr>
                  <w:tcW w:w="3393" w:type="dxa"/>
                  <w:vAlign w:val="center"/>
                </w:tcPr>
                <w:p>
                  <w:pPr>
                    <w:spacing w:line="240" w:lineRule="atLeast"/>
                    <w:jc w:val="center"/>
                    <w:rPr>
                      <w:color w:val="auto"/>
                      <w:szCs w:val="21"/>
                    </w:rPr>
                  </w:pPr>
                  <w:r>
                    <w:rPr>
                      <w:rFonts w:hint="eastAsia"/>
                      <w:color w:val="auto"/>
                      <w:szCs w:val="21"/>
                    </w:rPr>
                    <w:t>12096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693" w:type="dxa"/>
                  <w:vMerge w:val="continue"/>
                  <w:vAlign w:val="center"/>
                </w:tcPr>
                <w:p>
                  <w:pPr>
                    <w:spacing w:line="240" w:lineRule="atLeast"/>
                    <w:jc w:val="center"/>
                    <w:rPr>
                      <w:color w:val="auto"/>
                      <w:szCs w:val="21"/>
                    </w:rPr>
                  </w:pPr>
                </w:p>
              </w:tc>
              <w:tc>
                <w:tcPr>
                  <w:tcW w:w="803" w:type="dxa"/>
                  <w:vMerge w:val="continue"/>
                  <w:vAlign w:val="center"/>
                </w:tcPr>
                <w:p>
                  <w:pPr>
                    <w:spacing w:line="240" w:lineRule="atLeast"/>
                    <w:jc w:val="center"/>
                    <w:rPr>
                      <w:color w:val="auto"/>
                      <w:szCs w:val="21"/>
                    </w:rPr>
                  </w:pPr>
                </w:p>
              </w:tc>
              <w:tc>
                <w:tcPr>
                  <w:tcW w:w="2775" w:type="dxa"/>
                  <w:gridSpan w:val="2"/>
                  <w:vAlign w:val="center"/>
                </w:tcPr>
                <w:p>
                  <w:pPr>
                    <w:spacing w:line="240" w:lineRule="atLeast"/>
                    <w:jc w:val="center"/>
                    <w:rPr>
                      <w:color w:val="auto"/>
                      <w:szCs w:val="21"/>
                    </w:rPr>
                  </w:pPr>
                  <w:r>
                    <w:rPr>
                      <w:rFonts w:hint="eastAsia"/>
                      <w:color w:val="auto"/>
                      <w:szCs w:val="21"/>
                    </w:rPr>
                    <w:t>办公楼</w:t>
                  </w:r>
                </w:p>
              </w:tc>
              <w:tc>
                <w:tcPr>
                  <w:tcW w:w="1276" w:type="dxa"/>
                  <w:vAlign w:val="center"/>
                </w:tcPr>
                <w:p>
                  <w:pPr>
                    <w:spacing w:line="240" w:lineRule="atLeast"/>
                    <w:jc w:val="center"/>
                    <w:rPr>
                      <w:color w:val="auto"/>
                      <w:szCs w:val="21"/>
                    </w:rPr>
                  </w:pPr>
                  <w:r>
                    <w:rPr>
                      <w:color w:val="auto"/>
                      <w:szCs w:val="21"/>
                    </w:rPr>
                    <w:t>m</w:t>
                  </w:r>
                  <w:r>
                    <w:rPr>
                      <w:color w:val="auto"/>
                      <w:szCs w:val="21"/>
                      <w:vertAlign w:val="superscript"/>
                    </w:rPr>
                    <w:t>2</w:t>
                  </w:r>
                </w:p>
              </w:tc>
              <w:tc>
                <w:tcPr>
                  <w:tcW w:w="3393" w:type="dxa"/>
                  <w:vAlign w:val="center"/>
                </w:tcPr>
                <w:p>
                  <w:pPr>
                    <w:spacing w:line="240" w:lineRule="atLeast"/>
                    <w:jc w:val="center"/>
                    <w:rPr>
                      <w:color w:val="auto"/>
                      <w:szCs w:val="21"/>
                    </w:rPr>
                  </w:pPr>
                  <w:r>
                    <w:rPr>
                      <w:rFonts w:hint="eastAsia"/>
                      <w:color w:val="auto"/>
                      <w:szCs w:val="21"/>
                    </w:rPr>
                    <w:t>562.84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3" w:type="dxa"/>
                  <w:vAlign w:val="center"/>
                </w:tcPr>
                <w:p>
                  <w:pPr>
                    <w:spacing w:line="240" w:lineRule="atLeast"/>
                    <w:jc w:val="center"/>
                    <w:rPr>
                      <w:color w:val="auto"/>
                      <w:szCs w:val="21"/>
                    </w:rPr>
                  </w:pPr>
                  <w:r>
                    <w:rPr>
                      <w:rFonts w:hint="eastAsia"/>
                      <w:color w:val="auto"/>
                      <w:szCs w:val="21"/>
                    </w:rPr>
                    <w:t>4</w:t>
                  </w:r>
                </w:p>
              </w:tc>
              <w:tc>
                <w:tcPr>
                  <w:tcW w:w="803" w:type="dxa"/>
                  <w:vMerge w:val="continue"/>
                  <w:vAlign w:val="center"/>
                </w:tcPr>
                <w:p>
                  <w:pPr>
                    <w:spacing w:line="240" w:lineRule="atLeast"/>
                    <w:jc w:val="center"/>
                    <w:rPr>
                      <w:color w:val="auto"/>
                      <w:szCs w:val="21"/>
                    </w:rPr>
                  </w:pPr>
                </w:p>
              </w:tc>
              <w:tc>
                <w:tcPr>
                  <w:tcW w:w="2775" w:type="dxa"/>
                  <w:gridSpan w:val="2"/>
                  <w:vAlign w:val="center"/>
                </w:tcPr>
                <w:p>
                  <w:pPr>
                    <w:spacing w:line="240" w:lineRule="atLeast"/>
                    <w:jc w:val="center"/>
                    <w:rPr>
                      <w:color w:val="auto"/>
                      <w:szCs w:val="21"/>
                    </w:rPr>
                  </w:pPr>
                  <w:r>
                    <w:rPr>
                      <w:rFonts w:hint="eastAsia"/>
                      <w:color w:val="auto"/>
                      <w:szCs w:val="21"/>
                    </w:rPr>
                    <w:t>宿舍楼</w:t>
                  </w:r>
                </w:p>
              </w:tc>
              <w:tc>
                <w:tcPr>
                  <w:tcW w:w="1276" w:type="dxa"/>
                  <w:vAlign w:val="center"/>
                </w:tcPr>
                <w:p>
                  <w:pPr>
                    <w:spacing w:line="240" w:lineRule="atLeast"/>
                    <w:jc w:val="center"/>
                    <w:rPr>
                      <w:color w:val="auto"/>
                      <w:szCs w:val="21"/>
                    </w:rPr>
                  </w:pPr>
                  <w:r>
                    <w:rPr>
                      <w:color w:val="auto"/>
                      <w:szCs w:val="21"/>
                    </w:rPr>
                    <w:t>m</w:t>
                  </w:r>
                  <w:r>
                    <w:rPr>
                      <w:color w:val="auto"/>
                      <w:szCs w:val="21"/>
                      <w:vertAlign w:val="superscript"/>
                    </w:rPr>
                    <w:t>2</w:t>
                  </w:r>
                </w:p>
              </w:tc>
              <w:tc>
                <w:tcPr>
                  <w:tcW w:w="3393" w:type="dxa"/>
                  <w:vAlign w:val="center"/>
                </w:tcPr>
                <w:p>
                  <w:pPr>
                    <w:spacing w:line="240" w:lineRule="atLeast"/>
                    <w:jc w:val="center"/>
                    <w:rPr>
                      <w:color w:val="auto"/>
                      <w:szCs w:val="21"/>
                    </w:rPr>
                  </w:pPr>
                  <w:r>
                    <w:rPr>
                      <w:rFonts w:hint="eastAsia"/>
                      <w:color w:val="auto"/>
                      <w:szCs w:val="21"/>
                    </w:rPr>
                    <w:t>329.4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3" w:type="dxa"/>
                  <w:vAlign w:val="center"/>
                </w:tcPr>
                <w:p>
                  <w:pPr>
                    <w:spacing w:line="240" w:lineRule="atLeast"/>
                    <w:jc w:val="center"/>
                    <w:rPr>
                      <w:color w:val="auto"/>
                      <w:szCs w:val="21"/>
                    </w:rPr>
                  </w:pPr>
                  <w:r>
                    <w:rPr>
                      <w:rFonts w:hint="eastAsia"/>
                      <w:color w:val="auto"/>
                      <w:szCs w:val="21"/>
                    </w:rPr>
                    <w:t>5</w:t>
                  </w:r>
                </w:p>
              </w:tc>
              <w:tc>
                <w:tcPr>
                  <w:tcW w:w="803" w:type="dxa"/>
                  <w:vMerge w:val="continue"/>
                  <w:vAlign w:val="center"/>
                </w:tcPr>
                <w:p>
                  <w:pPr>
                    <w:spacing w:line="240" w:lineRule="atLeast"/>
                    <w:jc w:val="center"/>
                    <w:rPr>
                      <w:color w:val="auto"/>
                      <w:szCs w:val="21"/>
                    </w:rPr>
                  </w:pPr>
                </w:p>
              </w:tc>
              <w:tc>
                <w:tcPr>
                  <w:tcW w:w="2775" w:type="dxa"/>
                  <w:gridSpan w:val="2"/>
                  <w:vAlign w:val="center"/>
                </w:tcPr>
                <w:p>
                  <w:pPr>
                    <w:spacing w:line="240" w:lineRule="atLeast"/>
                    <w:jc w:val="center"/>
                    <w:rPr>
                      <w:color w:val="auto"/>
                      <w:szCs w:val="21"/>
                    </w:rPr>
                  </w:pPr>
                  <w:r>
                    <w:rPr>
                      <w:rFonts w:hint="eastAsia"/>
                      <w:color w:val="auto"/>
                      <w:szCs w:val="21"/>
                    </w:rPr>
                    <w:t>餐厅及简易房</w:t>
                  </w:r>
                </w:p>
              </w:tc>
              <w:tc>
                <w:tcPr>
                  <w:tcW w:w="1276" w:type="dxa"/>
                  <w:vAlign w:val="center"/>
                </w:tcPr>
                <w:p>
                  <w:pPr>
                    <w:spacing w:line="240" w:lineRule="atLeast"/>
                    <w:jc w:val="center"/>
                    <w:rPr>
                      <w:color w:val="auto"/>
                      <w:szCs w:val="21"/>
                    </w:rPr>
                  </w:pPr>
                  <w:r>
                    <w:rPr>
                      <w:color w:val="auto"/>
                      <w:szCs w:val="21"/>
                    </w:rPr>
                    <w:t>m</w:t>
                  </w:r>
                  <w:r>
                    <w:rPr>
                      <w:color w:val="auto"/>
                      <w:szCs w:val="21"/>
                      <w:vertAlign w:val="superscript"/>
                    </w:rPr>
                    <w:t>2</w:t>
                  </w:r>
                </w:p>
              </w:tc>
              <w:tc>
                <w:tcPr>
                  <w:tcW w:w="3393" w:type="dxa"/>
                  <w:vAlign w:val="center"/>
                </w:tcPr>
                <w:p>
                  <w:pPr>
                    <w:spacing w:line="240" w:lineRule="atLeast"/>
                    <w:jc w:val="center"/>
                    <w:rPr>
                      <w:color w:val="auto"/>
                      <w:szCs w:val="21"/>
                    </w:rPr>
                  </w:pPr>
                  <w:r>
                    <w:rPr>
                      <w:rFonts w:hint="eastAsia"/>
                      <w:color w:val="auto"/>
                      <w:szCs w:val="21"/>
                    </w:rPr>
                    <w:t>330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3" w:type="dxa"/>
                  <w:vAlign w:val="center"/>
                </w:tcPr>
                <w:p>
                  <w:pPr>
                    <w:spacing w:line="240" w:lineRule="atLeast"/>
                    <w:jc w:val="center"/>
                    <w:rPr>
                      <w:color w:val="auto"/>
                      <w:szCs w:val="21"/>
                    </w:rPr>
                  </w:pPr>
                  <w:r>
                    <w:rPr>
                      <w:rFonts w:hint="eastAsia"/>
                      <w:color w:val="auto"/>
                      <w:szCs w:val="21"/>
                    </w:rPr>
                    <w:t>6</w:t>
                  </w:r>
                </w:p>
              </w:tc>
              <w:tc>
                <w:tcPr>
                  <w:tcW w:w="803" w:type="dxa"/>
                  <w:vMerge w:val="continue"/>
                  <w:vAlign w:val="center"/>
                </w:tcPr>
                <w:p>
                  <w:pPr>
                    <w:spacing w:line="240" w:lineRule="atLeast"/>
                    <w:jc w:val="center"/>
                    <w:rPr>
                      <w:color w:val="auto"/>
                      <w:szCs w:val="21"/>
                    </w:rPr>
                  </w:pPr>
                </w:p>
              </w:tc>
              <w:tc>
                <w:tcPr>
                  <w:tcW w:w="2775" w:type="dxa"/>
                  <w:gridSpan w:val="2"/>
                  <w:vAlign w:val="center"/>
                </w:tcPr>
                <w:p>
                  <w:pPr>
                    <w:spacing w:line="240" w:lineRule="atLeast"/>
                    <w:jc w:val="center"/>
                    <w:rPr>
                      <w:color w:val="auto"/>
                      <w:szCs w:val="21"/>
                    </w:rPr>
                  </w:pPr>
                  <w:r>
                    <w:rPr>
                      <w:rFonts w:hint="eastAsia"/>
                      <w:color w:val="auto"/>
                      <w:szCs w:val="21"/>
                    </w:rPr>
                    <w:t>成品堆场</w:t>
                  </w:r>
                </w:p>
              </w:tc>
              <w:tc>
                <w:tcPr>
                  <w:tcW w:w="1276" w:type="dxa"/>
                  <w:vAlign w:val="center"/>
                </w:tcPr>
                <w:p>
                  <w:pPr>
                    <w:spacing w:line="240" w:lineRule="atLeast"/>
                    <w:jc w:val="center"/>
                    <w:rPr>
                      <w:color w:val="auto"/>
                      <w:szCs w:val="21"/>
                    </w:rPr>
                  </w:pPr>
                  <w:r>
                    <w:rPr>
                      <w:color w:val="auto"/>
                      <w:szCs w:val="21"/>
                    </w:rPr>
                    <w:t>m</w:t>
                  </w:r>
                  <w:r>
                    <w:rPr>
                      <w:color w:val="auto"/>
                      <w:szCs w:val="21"/>
                      <w:vertAlign w:val="superscript"/>
                    </w:rPr>
                    <w:t>2</w:t>
                  </w:r>
                </w:p>
              </w:tc>
              <w:tc>
                <w:tcPr>
                  <w:tcW w:w="3393" w:type="dxa"/>
                  <w:vAlign w:val="center"/>
                </w:tcPr>
                <w:p>
                  <w:pPr>
                    <w:spacing w:line="240" w:lineRule="atLeast"/>
                    <w:jc w:val="center"/>
                    <w:rPr>
                      <w:color w:val="auto"/>
                      <w:szCs w:val="21"/>
                    </w:rPr>
                  </w:pPr>
                  <w:r>
                    <w:rPr>
                      <w:rFonts w:hint="eastAsia"/>
                      <w:color w:val="auto"/>
                      <w:szCs w:val="21"/>
                    </w:rPr>
                    <w:t>7015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3" w:type="dxa"/>
                  <w:vAlign w:val="center"/>
                </w:tcPr>
                <w:p>
                  <w:pPr>
                    <w:spacing w:line="240" w:lineRule="atLeast"/>
                    <w:jc w:val="center"/>
                    <w:rPr>
                      <w:color w:val="auto"/>
                      <w:szCs w:val="21"/>
                    </w:rPr>
                  </w:pPr>
                  <w:r>
                    <w:rPr>
                      <w:rFonts w:hint="eastAsia"/>
                      <w:color w:val="auto"/>
                      <w:szCs w:val="21"/>
                    </w:rPr>
                    <w:t>7</w:t>
                  </w:r>
                </w:p>
              </w:tc>
              <w:tc>
                <w:tcPr>
                  <w:tcW w:w="803" w:type="dxa"/>
                  <w:vMerge w:val="continue"/>
                  <w:vAlign w:val="center"/>
                </w:tcPr>
                <w:p>
                  <w:pPr>
                    <w:spacing w:line="240" w:lineRule="atLeast"/>
                    <w:jc w:val="center"/>
                    <w:rPr>
                      <w:color w:val="auto"/>
                      <w:szCs w:val="21"/>
                    </w:rPr>
                  </w:pPr>
                </w:p>
              </w:tc>
              <w:tc>
                <w:tcPr>
                  <w:tcW w:w="2775" w:type="dxa"/>
                  <w:gridSpan w:val="2"/>
                  <w:vAlign w:val="center"/>
                </w:tcPr>
                <w:p>
                  <w:pPr>
                    <w:spacing w:line="240" w:lineRule="atLeast"/>
                    <w:jc w:val="center"/>
                    <w:rPr>
                      <w:color w:val="auto"/>
                      <w:szCs w:val="21"/>
                    </w:rPr>
                  </w:pPr>
                  <w:r>
                    <w:rPr>
                      <w:rFonts w:hint="eastAsia"/>
                      <w:color w:val="auto"/>
                      <w:szCs w:val="21"/>
                    </w:rPr>
                    <w:t>厂区道路</w:t>
                  </w:r>
                </w:p>
              </w:tc>
              <w:tc>
                <w:tcPr>
                  <w:tcW w:w="1276" w:type="dxa"/>
                  <w:vAlign w:val="center"/>
                </w:tcPr>
                <w:p>
                  <w:pPr>
                    <w:spacing w:line="240" w:lineRule="atLeast"/>
                    <w:jc w:val="center"/>
                    <w:rPr>
                      <w:color w:val="auto"/>
                      <w:szCs w:val="21"/>
                    </w:rPr>
                  </w:pPr>
                  <w:r>
                    <w:rPr>
                      <w:color w:val="auto"/>
                      <w:szCs w:val="21"/>
                    </w:rPr>
                    <w:t>m</w:t>
                  </w:r>
                  <w:r>
                    <w:rPr>
                      <w:color w:val="auto"/>
                      <w:szCs w:val="21"/>
                      <w:vertAlign w:val="superscript"/>
                    </w:rPr>
                    <w:t>2</w:t>
                  </w:r>
                </w:p>
              </w:tc>
              <w:tc>
                <w:tcPr>
                  <w:tcW w:w="3393" w:type="dxa"/>
                  <w:vAlign w:val="center"/>
                </w:tcPr>
                <w:p>
                  <w:pPr>
                    <w:spacing w:line="240" w:lineRule="atLeast"/>
                    <w:jc w:val="center"/>
                    <w:rPr>
                      <w:color w:val="auto"/>
                      <w:szCs w:val="21"/>
                    </w:rPr>
                  </w:pPr>
                  <w:r>
                    <w:rPr>
                      <w:rFonts w:hint="eastAsia"/>
                      <w:color w:val="auto"/>
                      <w:szCs w:val="21"/>
                    </w:rPr>
                    <w:t>3000</w:t>
                  </w:r>
                </w:p>
              </w:tc>
            </w:tr>
          </w:tbl>
          <w:p>
            <w:pPr>
              <w:widowControl/>
              <w:spacing w:line="360" w:lineRule="auto"/>
              <w:jc w:val="left"/>
              <w:rPr>
                <w:b/>
                <w:color w:val="auto"/>
                <w:sz w:val="24"/>
              </w:rPr>
            </w:pPr>
            <w:r>
              <w:rPr>
                <w:rFonts w:hint="eastAsia"/>
                <w:b/>
                <w:color w:val="auto"/>
                <w:sz w:val="24"/>
              </w:rPr>
              <w:t>四</w:t>
            </w:r>
            <w:r>
              <w:rPr>
                <w:b/>
                <w:color w:val="auto"/>
                <w:sz w:val="24"/>
              </w:rPr>
              <w:t>、生产规模和产品方案</w:t>
            </w:r>
          </w:p>
          <w:p>
            <w:pPr>
              <w:spacing w:line="360" w:lineRule="auto"/>
              <w:ind w:firstLine="480" w:firstLineChars="200"/>
              <w:rPr>
                <w:color w:val="auto"/>
                <w:sz w:val="24"/>
                <w:lang w:val="zh-CN"/>
              </w:rPr>
            </w:pPr>
            <w:r>
              <w:rPr>
                <w:rFonts w:hint="eastAsia"/>
                <w:color w:val="auto"/>
                <w:sz w:val="24"/>
                <w:szCs w:val="24"/>
                <w:lang w:val="zh-CN"/>
              </w:rPr>
              <w:t>本项目产品主要</w:t>
            </w:r>
            <w:r>
              <w:rPr>
                <w:rFonts w:hint="eastAsia" w:hAnsi="宋体"/>
                <w:bCs/>
                <w:color w:val="auto"/>
                <w:sz w:val="24"/>
                <w:szCs w:val="24"/>
              </w:rPr>
              <w:t>包括空心砌块、保温砌块</w:t>
            </w:r>
            <w:r>
              <w:rPr>
                <w:rFonts w:hint="eastAsia"/>
                <w:color w:val="auto"/>
                <w:sz w:val="24"/>
                <w:szCs w:val="24"/>
              </w:rPr>
              <w:t>，</w:t>
            </w:r>
            <w:r>
              <w:rPr>
                <w:color w:val="auto"/>
                <w:sz w:val="24"/>
                <w:szCs w:val="24"/>
                <w:lang w:val="zh-CN"/>
              </w:rPr>
              <w:t>具体产品方案见表</w:t>
            </w:r>
            <w:r>
              <w:rPr>
                <w:rFonts w:hint="eastAsia"/>
                <w:color w:val="auto"/>
                <w:sz w:val="24"/>
                <w:szCs w:val="24"/>
                <w:lang w:val="zh-CN"/>
              </w:rPr>
              <w:t>9</w:t>
            </w:r>
            <w:r>
              <w:rPr>
                <w:rFonts w:hint="eastAsia"/>
                <w:color w:val="auto"/>
                <w:sz w:val="24"/>
                <w:lang w:val="zh-CN"/>
              </w:rPr>
              <w:t>。</w:t>
            </w:r>
          </w:p>
          <w:p>
            <w:pPr>
              <w:jc w:val="center"/>
              <w:rPr>
                <w:rFonts w:hAnsi="宋体"/>
                <w:b/>
                <w:color w:val="auto"/>
              </w:rPr>
            </w:pPr>
            <w:r>
              <w:rPr>
                <w:rFonts w:hAnsi="宋体"/>
                <w:b/>
                <w:color w:val="auto"/>
              </w:rPr>
              <w:t>表</w:t>
            </w:r>
            <w:r>
              <w:rPr>
                <w:rFonts w:hint="eastAsia" w:hAnsi="宋体"/>
                <w:b/>
                <w:color w:val="auto"/>
              </w:rPr>
              <w:t>9</w:t>
            </w:r>
            <w:r>
              <w:rPr>
                <w:rFonts w:hAnsi="宋体"/>
                <w:b/>
                <w:color w:val="auto"/>
              </w:rPr>
              <w:t xml:space="preserve">    产品方案及规模</w:t>
            </w:r>
          </w:p>
          <w:tbl>
            <w:tblPr>
              <w:tblStyle w:val="24"/>
              <w:tblW w:w="889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701"/>
              <w:gridCol w:w="1134"/>
              <w:gridCol w:w="993"/>
              <w:gridCol w:w="850"/>
              <w:gridCol w:w="1134"/>
              <w:gridCol w:w="19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8" w:type="dxa"/>
                  <w:vAlign w:val="center"/>
                </w:tcPr>
                <w:p>
                  <w:pPr>
                    <w:jc w:val="center"/>
                    <w:rPr>
                      <w:color w:val="auto"/>
                      <w:szCs w:val="21"/>
                    </w:rPr>
                  </w:pPr>
                  <w:r>
                    <w:rPr>
                      <w:color w:val="auto"/>
                      <w:szCs w:val="21"/>
                    </w:rPr>
                    <w:t>名称</w:t>
                  </w:r>
                </w:p>
              </w:tc>
              <w:tc>
                <w:tcPr>
                  <w:tcW w:w="1701" w:type="dxa"/>
                  <w:vAlign w:val="center"/>
                </w:tcPr>
                <w:p>
                  <w:pPr>
                    <w:jc w:val="center"/>
                    <w:rPr>
                      <w:color w:val="auto"/>
                      <w:szCs w:val="21"/>
                    </w:rPr>
                  </w:pPr>
                  <w:r>
                    <w:rPr>
                      <w:rFonts w:hint="eastAsia"/>
                      <w:color w:val="auto"/>
                      <w:szCs w:val="21"/>
                    </w:rPr>
                    <w:t>产品规格（mm）</w:t>
                  </w:r>
                </w:p>
              </w:tc>
              <w:tc>
                <w:tcPr>
                  <w:tcW w:w="1134" w:type="dxa"/>
                  <w:vAlign w:val="center"/>
                </w:tcPr>
                <w:p>
                  <w:pPr>
                    <w:jc w:val="center"/>
                    <w:rPr>
                      <w:color w:val="auto"/>
                      <w:szCs w:val="21"/>
                    </w:rPr>
                  </w:pPr>
                  <w:r>
                    <w:rPr>
                      <w:rFonts w:hint="eastAsia"/>
                      <w:color w:val="auto"/>
                      <w:szCs w:val="21"/>
                    </w:rPr>
                    <w:t>空洞率（%）</w:t>
                  </w:r>
                </w:p>
              </w:tc>
              <w:tc>
                <w:tcPr>
                  <w:tcW w:w="993" w:type="dxa"/>
                  <w:vAlign w:val="center"/>
                </w:tcPr>
                <w:p>
                  <w:pPr>
                    <w:jc w:val="center"/>
                    <w:rPr>
                      <w:color w:val="auto"/>
                      <w:szCs w:val="21"/>
                    </w:rPr>
                  </w:pPr>
                  <w:r>
                    <w:rPr>
                      <w:rFonts w:hint="eastAsia"/>
                      <w:color w:val="auto"/>
                      <w:szCs w:val="21"/>
                    </w:rPr>
                    <w:t>重量（kg）</w:t>
                  </w:r>
                </w:p>
              </w:tc>
              <w:tc>
                <w:tcPr>
                  <w:tcW w:w="850" w:type="dxa"/>
                  <w:vAlign w:val="center"/>
                </w:tcPr>
                <w:p>
                  <w:pPr>
                    <w:jc w:val="center"/>
                    <w:rPr>
                      <w:color w:val="auto"/>
                      <w:szCs w:val="21"/>
                    </w:rPr>
                  </w:pPr>
                  <w:r>
                    <w:rPr>
                      <w:rFonts w:hint="eastAsia"/>
                      <w:color w:val="auto"/>
                      <w:szCs w:val="21"/>
                    </w:rPr>
                    <w:t>强度等级</w:t>
                  </w:r>
                </w:p>
              </w:tc>
              <w:tc>
                <w:tcPr>
                  <w:tcW w:w="1134" w:type="dxa"/>
                  <w:vAlign w:val="center"/>
                </w:tcPr>
                <w:p>
                  <w:pPr>
                    <w:jc w:val="center"/>
                    <w:rPr>
                      <w:color w:val="auto"/>
                      <w:szCs w:val="21"/>
                    </w:rPr>
                  </w:pPr>
                  <w:r>
                    <w:rPr>
                      <w:rFonts w:hint="eastAsia"/>
                      <w:color w:val="auto"/>
                      <w:szCs w:val="21"/>
                    </w:rPr>
                    <w:t>导热系数</w:t>
                  </w:r>
                  <w:r>
                    <w:rPr>
                      <w:rFonts w:hint="eastAsia" w:ascii="黑体" w:hAnsi="黑体" w:eastAsia="黑体"/>
                      <w:color w:val="auto"/>
                    </w:rPr>
                    <w:t>w/m</w:t>
                  </w:r>
                  <w:r>
                    <w:rPr>
                      <w:rFonts w:ascii="黑体" w:hAnsi="黑体" w:eastAsia="黑体"/>
                      <w:color w:val="auto"/>
                      <w:vertAlign w:val="superscript"/>
                    </w:rPr>
                    <w:t>2</w:t>
                  </w:r>
                  <w:r>
                    <w:rPr>
                      <w:rFonts w:hint="eastAsia" w:ascii="黑体" w:hAnsi="黑体" w:eastAsia="黑体"/>
                      <w:color w:val="auto"/>
                    </w:rPr>
                    <w:t>.k</w:t>
                  </w:r>
                </w:p>
              </w:tc>
              <w:tc>
                <w:tcPr>
                  <w:tcW w:w="1952" w:type="dxa"/>
                  <w:vAlign w:val="center"/>
                </w:tcPr>
                <w:p>
                  <w:pPr>
                    <w:jc w:val="center"/>
                    <w:rPr>
                      <w:color w:val="auto"/>
                      <w:szCs w:val="21"/>
                    </w:rPr>
                  </w:pPr>
                  <w:r>
                    <w:rPr>
                      <w:rFonts w:hint="eastAsia"/>
                      <w:color w:val="auto"/>
                      <w:szCs w:val="21"/>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8" w:type="dxa"/>
                  <w:vMerge w:val="restart"/>
                  <w:vAlign w:val="center"/>
                </w:tcPr>
                <w:p>
                  <w:pPr>
                    <w:autoSpaceDE w:val="0"/>
                    <w:autoSpaceDN w:val="0"/>
                    <w:ind w:left="86" w:hanging="86" w:hangingChars="41"/>
                    <w:jc w:val="center"/>
                    <w:rPr>
                      <w:color w:val="auto"/>
                      <w:szCs w:val="21"/>
                    </w:rPr>
                  </w:pPr>
                  <w:r>
                    <w:rPr>
                      <w:rFonts w:hint="eastAsia"/>
                      <w:color w:val="auto"/>
                      <w:szCs w:val="21"/>
                    </w:rPr>
                    <w:t>空心砌块</w:t>
                  </w:r>
                </w:p>
              </w:tc>
              <w:tc>
                <w:tcPr>
                  <w:tcW w:w="1701" w:type="dxa"/>
                  <w:vAlign w:val="center"/>
                </w:tcPr>
                <w:p>
                  <w:pPr>
                    <w:autoSpaceDE w:val="0"/>
                    <w:autoSpaceDN w:val="0"/>
                    <w:jc w:val="center"/>
                    <w:rPr>
                      <w:color w:val="auto"/>
                      <w:szCs w:val="21"/>
                    </w:rPr>
                  </w:pPr>
                  <w:r>
                    <w:rPr>
                      <w:rFonts w:hint="eastAsia"/>
                      <w:color w:val="auto"/>
                      <w:szCs w:val="21"/>
                    </w:rPr>
                    <w:t>240×190×240</w:t>
                  </w:r>
                </w:p>
              </w:tc>
              <w:tc>
                <w:tcPr>
                  <w:tcW w:w="1134" w:type="dxa"/>
                  <w:vAlign w:val="center"/>
                </w:tcPr>
                <w:p>
                  <w:pPr>
                    <w:autoSpaceDE w:val="0"/>
                    <w:autoSpaceDN w:val="0"/>
                    <w:jc w:val="center"/>
                    <w:rPr>
                      <w:color w:val="auto"/>
                      <w:szCs w:val="21"/>
                    </w:rPr>
                  </w:pPr>
                  <w:r>
                    <w:rPr>
                      <w:rFonts w:hint="eastAsia"/>
                      <w:color w:val="auto"/>
                      <w:szCs w:val="21"/>
                    </w:rPr>
                    <w:t>≥</w:t>
                  </w:r>
                  <w:r>
                    <w:rPr>
                      <w:color w:val="auto"/>
                      <w:szCs w:val="21"/>
                    </w:rPr>
                    <w:t>50</w:t>
                  </w:r>
                </w:p>
              </w:tc>
              <w:tc>
                <w:tcPr>
                  <w:tcW w:w="993" w:type="dxa"/>
                  <w:vAlign w:val="center"/>
                </w:tcPr>
                <w:p>
                  <w:pPr>
                    <w:autoSpaceDE w:val="0"/>
                    <w:autoSpaceDN w:val="0"/>
                    <w:jc w:val="center"/>
                    <w:rPr>
                      <w:color w:val="auto"/>
                      <w:szCs w:val="21"/>
                    </w:rPr>
                  </w:pPr>
                  <w:r>
                    <w:rPr>
                      <w:rFonts w:hint="eastAsia"/>
                      <w:color w:val="auto"/>
                      <w:szCs w:val="21"/>
                    </w:rPr>
                    <w:t>8.62</w:t>
                  </w:r>
                </w:p>
              </w:tc>
              <w:tc>
                <w:tcPr>
                  <w:tcW w:w="850" w:type="dxa"/>
                  <w:vMerge w:val="restart"/>
                  <w:vAlign w:val="center"/>
                </w:tcPr>
                <w:p>
                  <w:pPr>
                    <w:autoSpaceDE w:val="0"/>
                    <w:autoSpaceDN w:val="0"/>
                    <w:jc w:val="center"/>
                    <w:rPr>
                      <w:color w:val="auto"/>
                      <w:szCs w:val="21"/>
                    </w:rPr>
                  </w:pPr>
                  <w:r>
                    <w:rPr>
                      <w:rFonts w:hint="eastAsia"/>
                      <w:color w:val="auto"/>
                      <w:szCs w:val="21"/>
                    </w:rPr>
                    <w:t>MU3.5</w:t>
                  </w:r>
                </w:p>
              </w:tc>
              <w:tc>
                <w:tcPr>
                  <w:tcW w:w="1134" w:type="dxa"/>
                  <w:vMerge w:val="restart"/>
                  <w:vAlign w:val="center"/>
                </w:tcPr>
                <w:p>
                  <w:pPr>
                    <w:autoSpaceDE w:val="0"/>
                    <w:autoSpaceDN w:val="0"/>
                    <w:jc w:val="center"/>
                    <w:rPr>
                      <w:color w:val="auto"/>
                      <w:szCs w:val="21"/>
                    </w:rPr>
                  </w:pPr>
                  <w:r>
                    <w:rPr>
                      <w:rFonts w:hint="eastAsia" w:ascii="黑体" w:hAnsi="黑体" w:eastAsia="黑体"/>
                      <w:color w:val="auto"/>
                    </w:rPr>
                    <w:t>≤0.</w:t>
                  </w:r>
                  <w:r>
                    <w:rPr>
                      <w:rFonts w:ascii="黑体" w:hAnsi="黑体" w:eastAsia="黑体"/>
                      <w:color w:val="auto"/>
                    </w:rPr>
                    <w:t>25</w:t>
                  </w:r>
                </w:p>
              </w:tc>
              <w:tc>
                <w:tcPr>
                  <w:tcW w:w="1952" w:type="dxa"/>
                  <w:vMerge w:val="restart"/>
                  <w:vAlign w:val="center"/>
                </w:tcPr>
                <w:p>
                  <w:pPr>
                    <w:autoSpaceDE w:val="0"/>
                    <w:autoSpaceDN w:val="0"/>
                    <w:jc w:val="center"/>
                    <w:rPr>
                      <w:color w:val="auto"/>
                      <w:szCs w:val="21"/>
                    </w:rPr>
                  </w:pPr>
                  <w:r>
                    <w:rPr>
                      <w:rFonts w:hint="eastAsia"/>
                      <w:color w:val="auto"/>
                      <w:szCs w:val="21"/>
                    </w:rPr>
                    <w:t>《烧结多孔砖和空心砌块》（GB13545-2014）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8" w:type="dxa"/>
                  <w:vMerge w:val="continue"/>
                  <w:vAlign w:val="center"/>
                </w:tcPr>
                <w:p>
                  <w:pPr>
                    <w:autoSpaceDE w:val="0"/>
                    <w:autoSpaceDN w:val="0"/>
                    <w:ind w:left="86" w:hanging="86" w:hangingChars="41"/>
                    <w:jc w:val="center"/>
                    <w:rPr>
                      <w:color w:val="auto"/>
                      <w:szCs w:val="21"/>
                    </w:rPr>
                  </w:pPr>
                </w:p>
              </w:tc>
              <w:tc>
                <w:tcPr>
                  <w:tcW w:w="1701" w:type="dxa"/>
                  <w:vAlign w:val="center"/>
                </w:tcPr>
                <w:p>
                  <w:pPr>
                    <w:autoSpaceDE w:val="0"/>
                    <w:autoSpaceDN w:val="0"/>
                    <w:jc w:val="center"/>
                    <w:rPr>
                      <w:color w:val="auto"/>
                      <w:szCs w:val="21"/>
                    </w:rPr>
                  </w:pPr>
                  <w:r>
                    <w:rPr>
                      <w:rFonts w:hint="eastAsia"/>
                      <w:color w:val="auto"/>
                      <w:szCs w:val="21"/>
                    </w:rPr>
                    <w:t>240×160×240</w:t>
                  </w:r>
                </w:p>
              </w:tc>
              <w:tc>
                <w:tcPr>
                  <w:tcW w:w="1134" w:type="dxa"/>
                  <w:vAlign w:val="center"/>
                </w:tcPr>
                <w:p>
                  <w:pPr>
                    <w:autoSpaceDE w:val="0"/>
                    <w:autoSpaceDN w:val="0"/>
                    <w:jc w:val="center"/>
                    <w:rPr>
                      <w:color w:val="auto"/>
                      <w:szCs w:val="21"/>
                    </w:rPr>
                  </w:pPr>
                  <w:r>
                    <w:rPr>
                      <w:rFonts w:hint="eastAsia"/>
                      <w:color w:val="auto"/>
                      <w:szCs w:val="21"/>
                    </w:rPr>
                    <w:t>≥</w:t>
                  </w:r>
                  <w:r>
                    <w:rPr>
                      <w:color w:val="auto"/>
                      <w:szCs w:val="21"/>
                    </w:rPr>
                    <w:t>50</w:t>
                  </w:r>
                </w:p>
              </w:tc>
              <w:tc>
                <w:tcPr>
                  <w:tcW w:w="993" w:type="dxa"/>
                  <w:vAlign w:val="center"/>
                </w:tcPr>
                <w:p>
                  <w:pPr>
                    <w:autoSpaceDE w:val="0"/>
                    <w:autoSpaceDN w:val="0"/>
                    <w:jc w:val="center"/>
                    <w:rPr>
                      <w:color w:val="auto"/>
                      <w:szCs w:val="21"/>
                    </w:rPr>
                  </w:pPr>
                  <w:r>
                    <w:rPr>
                      <w:rFonts w:hint="eastAsia"/>
                      <w:color w:val="auto"/>
                      <w:szCs w:val="21"/>
                    </w:rPr>
                    <w:t>8.06</w:t>
                  </w:r>
                </w:p>
              </w:tc>
              <w:tc>
                <w:tcPr>
                  <w:tcW w:w="850" w:type="dxa"/>
                  <w:vMerge w:val="continue"/>
                  <w:vAlign w:val="center"/>
                </w:tcPr>
                <w:p>
                  <w:pPr>
                    <w:autoSpaceDE w:val="0"/>
                    <w:autoSpaceDN w:val="0"/>
                    <w:jc w:val="center"/>
                    <w:rPr>
                      <w:color w:val="auto"/>
                      <w:szCs w:val="21"/>
                    </w:rPr>
                  </w:pPr>
                </w:p>
              </w:tc>
              <w:tc>
                <w:tcPr>
                  <w:tcW w:w="1134" w:type="dxa"/>
                  <w:vMerge w:val="continue"/>
                  <w:vAlign w:val="center"/>
                </w:tcPr>
                <w:p>
                  <w:pPr>
                    <w:autoSpaceDE w:val="0"/>
                    <w:autoSpaceDN w:val="0"/>
                    <w:jc w:val="center"/>
                    <w:rPr>
                      <w:color w:val="auto"/>
                      <w:szCs w:val="21"/>
                    </w:rPr>
                  </w:pPr>
                </w:p>
              </w:tc>
              <w:tc>
                <w:tcPr>
                  <w:tcW w:w="1952" w:type="dxa"/>
                  <w:vMerge w:val="continue"/>
                  <w:vAlign w:val="center"/>
                </w:tcPr>
                <w:p>
                  <w:pPr>
                    <w:autoSpaceDE w:val="0"/>
                    <w:autoSpaceDN w:val="0"/>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8" w:type="dxa"/>
                  <w:vAlign w:val="center"/>
                </w:tcPr>
                <w:p>
                  <w:pPr>
                    <w:autoSpaceDE w:val="0"/>
                    <w:autoSpaceDN w:val="0"/>
                    <w:ind w:left="86" w:hanging="86" w:hangingChars="41"/>
                    <w:jc w:val="center"/>
                    <w:rPr>
                      <w:color w:val="auto"/>
                      <w:szCs w:val="21"/>
                    </w:rPr>
                  </w:pPr>
                  <w:r>
                    <w:rPr>
                      <w:rFonts w:hint="eastAsia"/>
                      <w:color w:val="auto"/>
                      <w:szCs w:val="21"/>
                    </w:rPr>
                    <w:t>保温砌块</w:t>
                  </w:r>
                </w:p>
              </w:tc>
              <w:tc>
                <w:tcPr>
                  <w:tcW w:w="1701" w:type="dxa"/>
                  <w:vAlign w:val="center"/>
                </w:tcPr>
                <w:p>
                  <w:pPr>
                    <w:autoSpaceDE w:val="0"/>
                    <w:autoSpaceDN w:val="0"/>
                    <w:jc w:val="center"/>
                    <w:rPr>
                      <w:color w:val="auto"/>
                      <w:szCs w:val="21"/>
                    </w:rPr>
                  </w:pPr>
                  <w:r>
                    <w:rPr>
                      <w:rFonts w:hint="eastAsia"/>
                      <w:color w:val="auto"/>
                      <w:szCs w:val="21"/>
                    </w:rPr>
                    <w:t>240×115×240</w:t>
                  </w:r>
                </w:p>
              </w:tc>
              <w:tc>
                <w:tcPr>
                  <w:tcW w:w="1134" w:type="dxa"/>
                  <w:vAlign w:val="center"/>
                </w:tcPr>
                <w:p>
                  <w:pPr>
                    <w:autoSpaceDE w:val="0"/>
                    <w:autoSpaceDN w:val="0"/>
                    <w:jc w:val="center"/>
                    <w:rPr>
                      <w:color w:val="auto"/>
                      <w:szCs w:val="21"/>
                    </w:rPr>
                  </w:pPr>
                  <w:r>
                    <w:rPr>
                      <w:rFonts w:hint="eastAsia"/>
                      <w:color w:val="auto"/>
                      <w:szCs w:val="21"/>
                    </w:rPr>
                    <w:t>≥</w:t>
                  </w:r>
                  <w:r>
                    <w:rPr>
                      <w:color w:val="auto"/>
                      <w:szCs w:val="21"/>
                    </w:rPr>
                    <w:t>50</w:t>
                  </w:r>
                </w:p>
              </w:tc>
              <w:tc>
                <w:tcPr>
                  <w:tcW w:w="993" w:type="dxa"/>
                  <w:vAlign w:val="center"/>
                </w:tcPr>
                <w:p>
                  <w:pPr>
                    <w:autoSpaceDE w:val="0"/>
                    <w:autoSpaceDN w:val="0"/>
                    <w:jc w:val="center"/>
                    <w:rPr>
                      <w:color w:val="auto"/>
                      <w:szCs w:val="21"/>
                    </w:rPr>
                  </w:pPr>
                  <w:r>
                    <w:rPr>
                      <w:rFonts w:hint="eastAsia"/>
                      <w:color w:val="auto"/>
                      <w:szCs w:val="21"/>
                    </w:rPr>
                    <w:t>5.6</w:t>
                  </w:r>
                </w:p>
              </w:tc>
              <w:tc>
                <w:tcPr>
                  <w:tcW w:w="850" w:type="dxa"/>
                  <w:vAlign w:val="center"/>
                </w:tcPr>
                <w:p>
                  <w:pPr>
                    <w:autoSpaceDE w:val="0"/>
                    <w:autoSpaceDN w:val="0"/>
                    <w:jc w:val="center"/>
                    <w:rPr>
                      <w:color w:val="auto"/>
                      <w:szCs w:val="21"/>
                    </w:rPr>
                  </w:pPr>
                  <w:r>
                    <w:rPr>
                      <w:rFonts w:hint="eastAsia"/>
                      <w:color w:val="auto"/>
                      <w:szCs w:val="21"/>
                    </w:rPr>
                    <w:t>MU3.5</w:t>
                  </w:r>
                </w:p>
              </w:tc>
              <w:tc>
                <w:tcPr>
                  <w:tcW w:w="1134" w:type="dxa"/>
                  <w:vAlign w:val="center"/>
                </w:tcPr>
                <w:p>
                  <w:pPr>
                    <w:autoSpaceDE w:val="0"/>
                    <w:autoSpaceDN w:val="0"/>
                    <w:jc w:val="center"/>
                    <w:rPr>
                      <w:color w:val="auto"/>
                      <w:szCs w:val="21"/>
                    </w:rPr>
                  </w:pPr>
                  <w:r>
                    <w:rPr>
                      <w:rFonts w:hint="eastAsia" w:ascii="黑体" w:hAnsi="黑体" w:eastAsia="黑体"/>
                      <w:color w:val="auto"/>
                    </w:rPr>
                    <w:t>≤0.</w:t>
                  </w:r>
                  <w:r>
                    <w:rPr>
                      <w:rFonts w:ascii="黑体" w:hAnsi="黑体" w:eastAsia="黑体"/>
                      <w:color w:val="auto"/>
                    </w:rPr>
                    <w:t>25</w:t>
                  </w:r>
                </w:p>
              </w:tc>
              <w:tc>
                <w:tcPr>
                  <w:tcW w:w="1952" w:type="dxa"/>
                  <w:vAlign w:val="center"/>
                </w:tcPr>
                <w:p>
                  <w:pPr>
                    <w:autoSpaceDE w:val="0"/>
                    <w:autoSpaceDN w:val="0"/>
                    <w:jc w:val="center"/>
                    <w:rPr>
                      <w:color w:val="auto"/>
                      <w:szCs w:val="21"/>
                    </w:rPr>
                  </w:pPr>
                  <w:r>
                    <w:rPr>
                      <w:rFonts w:hint="eastAsia"/>
                      <w:color w:val="auto"/>
                      <w:szCs w:val="21"/>
                    </w:rPr>
                    <w:t>《烧结保温砖和保温砌块》（GB26538-2011）</w:t>
                  </w:r>
                </w:p>
              </w:tc>
            </w:tr>
          </w:tbl>
          <w:p>
            <w:pPr>
              <w:spacing w:line="360" w:lineRule="auto"/>
              <w:ind w:firstLine="480" w:firstLineChars="200"/>
              <w:rPr>
                <w:color w:val="auto"/>
                <w:sz w:val="24"/>
              </w:rPr>
            </w:pPr>
            <w:r>
              <w:rPr>
                <w:rFonts w:hint="eastAsia"/>
                <w:color w:val="auto"/>
                <w:sz w:val="24"/>
              </w:rPr>
              <w:t>按照《第一次全国污染源普查工业污染源产排污系数手册》中“3131粘土砖瓦及建筑砌块制造业”中标砖的计算方法，即用各产品的体积（长×宽×高，单位为mm</w:t>
            </w:r>
            <w:r>
              <w:rPr>
                <w:rFonts w:hint="eastAsia"/>
                <w:color w:val="auto"/>
                <w:sz w:val="24"/>
                <w:vertAlign w:val="superscript"/>
              </w:rPr>
              <w:t>3</w:t>
            </w:r>
            <w:r>
              <w:rPr>
                <w:rFonts w:hint="eastAsia"/>
                <w:color w:val="auto"/>
                <w:sz w:val="24"/>
              </w:rPr>
              <w:t>）分别除以标砖的体积1462800mm</w:t>
            </w:r>
            <w:r>
              <w:rPr>
                <w:rFonts w:hint="eastAsia"/>
                <w:color w:val="auto"/>
                <w:sz w:val="24"/>
                <w:vertAlign w:val="superscript"/>
              </w:rPr>
              <w:t>3</w:t>
            </w:r>
            <w:r>
              <w:rPr>
                <w:rFonts w:hint="eastAsia"/>
                <w:color w:val="auto"/>
                <w:sz w:val="24"/>
              </w:rPr>
              <w:t>（240mm×115mm×53mm），本项目总产量为15万m</w:t>
            </w:r>
            <w:r>
              <w:rPr>
                <w:rFonts w:hint="eastAsia"/>
                <w:color w:val="auto"/>
                <w:sz w:val="24"/>
                <w:vertAlign w:val="superscript"/>
              </w:rPr>
              <w:t>3</w:t>
            </w:r>
            <w:r>
              <w:rPr>
                <w:rFonts w:hint="eastAsia"/>
                <w:color w:val="auto"/>
                <w:sz w:val="24"/>
              </w:rPr>
              <w:t>，则折算标砖约为10254万块。</w:t>
            </w:r>
          </w:p>
          <w:p>
            <w:pPr>
              <w:pStyle w:val="104"/>
              <w:spacing w:line="360" w:lineRule="auto"/>
              <w:rPr>
                <w:rFonts w:ascii="Times New Roman" w:cs="Times New Roman"/>
                <w:color w:val="auto"/>
              </w:rPr>
            </w:pPr>
            <w:r>
              <w:rPr>
                <w:rFonts w:ascii="Times New Roman" w:cs="Times New Roman"/>
                <w:b/>
                <w:color w:val="auto"/>
              </w:rPr>
              <w:t>五、主要原辅材料消耗</w:t>
            </w:r>
          </w:p>
          <w:p>
            <w:pPr>
              <w:spacing w:line="360" w:lineRule="auto"/>
              <w:ind w:firstLine="480" w:firstLineChars="200"/>
              <w:rPr>
                <w:color w:val="auto"/>
                <w:sz w:val="24"/>
              </w:rPr>
            </w:pPr>
            <w:r>
              <w:rPr>
                <w:rFonts w:hint="eastAsia"/>
                <w:color w:val="auto"/>
                <w:sz w:val="24"/>
              </w:rPr>
              <w:t>本项目生产所用原料主要为粘土。项目主要原料及能源消耗情况见表10。</w:t>
            </w:r>
          </w:p>
          <w:p>
            <w:pPr>
              <w:jc w:val="center"/>
              <w:rPr>
                <w:b/>
                <w:color w:val="auto"/>
              </w:rPr>
            </w:pPr>
            <w:r>
              <w:rPr>
                <w:rFonts w:hAnsi="宋体"/>
                <w:b/>
                <w:color w:val="auto"/>
              </w:rPr>
              <w:t>表</w:t>
            </w:r>
            <w:r>
              <w:rPr>
                <w:rFonts w:hint="eastAsia" w:hAnsi="宋体"/>
                <w:b/>
                <w:color w:val="auto"/>
              </w:rPr>
              <w:t>10</w:t>
            </w:r>
            <w:r>
              <w:rPr>
                <w:b/>
                <w:color w:val="auto"/>
              </w:rPr>
              <w:t xml:space="preserve">   </w:t>
            </w:r>
            <w:r>
              <w:rPr>
                <w:rFonts w:hint="eastAsia" w:hAnsi="宋体"/>
                <w:b/>
                <w:color w:val="auto"/>
              </w:rPr>
              <w:t>原材料及能源消耗情况</w:t>
            </w:r>
          </w:p>
          <w:tbl>
            <w:tblPr>
              <w:tblStyle w:val="24"/>
              <w:tblW w:w="89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1134"/>
              <w:gridCol w:w="1418"/>
              <w:gridCol w:w="45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851" w:type="dxa"/>
                  <w:vAlign w:val="center"/>
                </w:tcPr>
                <w:p>
                  <w:pPr>
                    <w:spacing w:line="400" w:lineRule="exact"/>
                    <w:jc w:val="center"/>
                    <w:rPr>
                      <w:color w:val="auto"/>
                      <w:szCs w:val="21"/>
                    </w:rPr>
                  </w:pPr>
                  <w:r>
                    <w:rPr>
                      <w:rFonts w:hint="eastAsia"/>
                      <w:color w:val="auto"/>
                      <w:szCs w:val="21"/>
                    </w:rPr>
                    <w:t>序号</w:t>
                  </w:r>
                </w:p>
              </w:tc>
              <w:tc>
                <w:tcPr>
                  <w:tcW w:w="992" w:type="dxa"/>
                  <w:vAlign w:val="center"/>
                </w:tcPr>
                <w:p>
                  <w:pPr>
                    <w:spacing w:line="400" w:lineRule="exact"/>
                    <w:jc w:val="center"/>
                    <w:rPr>
                      <w:color w:val="auto"/>
                      <w:szCs w:val="21"/>
                    </w:rPr>
                  </w:pPr>
                  <w:r>
                    <w:rPr>
                      <w:rFonts w:hint="eastAsia"/>
                      <w:color w:val="auto"/>
                      <w:szCs w:val="21"/>
                    </w:rPr>
                    <w:t>名称</w:t>
                  </w:r>
                </w:p>
              </w:tc>
              <w:tc>
                <w:tcPr>
                  <w:tcW w:w="1134" w:type="dxa"/>
                  <w:vAlign w:val="center"/>
                </w:tcPr>
                <w:p>
                  <w:pPr>
                    <w:spacing w:line="400" w:lineRule="exact"/>
                    <w:jc w:val="center"/>
                    <w:rPr>
                      <w:color w:val="auto"/>
                      <w:szCs w:val="21"/>
                    </w:rPr>
                  </w:pPr>
                  <w:r>
                    <w:rPr>
                      <w:rFonts w:hint="eastAsia"/>
                      <w:color w:val="auto"/>
                      <w:szCs w:val="21"/>
                    </w:rPr>
                    <w:t>单位</w:t>
                  </w:r>
                </w:p>
              </w:tc>
              <w:tc>
                <w:tcPr>
                  <w:tcW w:w="1418" w:type="dxa"/>
                  <w:vAlign w:val="center"/>
                </w:tcPr>
                <w:p>
                  <w:pPr>
                    <w:spacing w:line="400" w:lineRule="exact"/>
                    <w:jc w:val="center"/>
                    <w:rPr>
                      <w:color w:val="auto"/>
                      <w:szCs w:val="21"/>
                    </w:rPr>
                  </w:pPr>
                  <w:r>
                    <w:rPr>
                      <w:rFonts w:hint="eastAsia"/>
                      <w:color w:val="auto"/>
                      <w:szCs w:val="21"/>
                    </w:rPr>
                    <w:t>消耗量</w:t>
                  </w:r>
                </w:p>
              </w:tc>
              <w:tc>
                <w:tcPr>
                  <w:tcW w:w="4509" w:type="dxa"/>
                  <w:vAlign w:val="center"/>
                </w:tcPr>
                <w:p>
                  <w:pPr>
                    <w:spacing w:line="400" w:lineRule="exact"/>
                    <w:jc w:val="center"/>
                    <w:rPr>
                      <w:color w:val="auto"/>
                      <w:szCs w:val="21"/>
                    </w:rPr>
                  </w:pPr>
                  <w:r>
                    <w:rPr>
                      <w:rFonts w:hint="eastAsia"/>
                      <w:color w:val="auto"/>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9" w:hRule="atLeast"/>
                <w:jc w:val="center"/>
              </w:trPr>
              <w:tc>
                <w:tcPr>
                  <w:tcW w:w="851" w:type="dxa"/>
                  <w:vAlign w:val="center"/>
                </w:tcPr>
                <w:p>
                  <w:pPr>
                    <w:spacing w:line="400" w:lineRule="exact"/>
                    <w:jc w:val="center"/>
                    <w:rPr>
                      <w:color w:val="auto"/>
                      <w:szCs w:val="21"/>
                    </w:rPr>
                  </w:pPr>
                  <w:r>
                    <w:rPr>
                      <w:rFonts w:hint="eastAsia"/>
                      <w:color w:val="auto"/>
                      <w:szCs w:val="21"/>
                    </w:rPr>
                    <w:t>1</w:t>
                  </w:r>
                </w:p>
              </w:tc>
              <w:tc>
                <w:tcPr>
                  <w:tcW w:w="992" w:type="dxa"/>
                  <w:vAlign w:val="center"/>
                </w:tcPr>
                <w:p>
                  <w:pPr>
                    <w:spacing w:line="400" w:lineRule="exact"/>
                    <w:jc w:val="center"/>
                    <w:rPr>
                      <w:color w:val="auto"/>
                      <w:szCs w:val="21"/>
                    </w:rPr>
                  </w:pPr>
                  <w:r>
                    <w:rPr>
                      <w:rFonts w:hint="eastAsia"/>
                      <w:color w:val="auto"/>
                      <w:szCs w:val="21"/>
                    </w:rPr>
                    <w:t>粘土</w:t>
                  </w:r>
                </w:p>
              </w:tc>
              <w:tc>
                <w:tcPr>
                  <w:tcW w:w="1134" w:type="dxa"/>
                  <w:vAlign w:val="center"/>
                </w:tcPr>
                <w:p>
                  <w:pPr>
                    <w:spacing w:line="400" w:lineRule="exact"/>
                    <w:jc w:val="center"/>
                    <w:rPr>
                      <w:color w:val="auto"/>
                      <w:szCs w:val="21"/>
                    </w:rPr>
                  </w:pPr>
                  <w:r>
                    <w:rPr>
                      <w:rFonts w:hint="eastAsia"/>
                      <w:color w:val="auto"/>
                      <w:szCs w:val="21"/>
                    </w:rPr>
                    <w:t>t/a</w:t>
                  </w:r>
                </w:p>
              </w:tc>
              <w:tc>
                <w:tcPr>
                  <w:tcW w:w="1418" w:type="dxa"/>
                  <w:vAlign w:val="center"/>
                </w:tcPr>
                <w:p>
                  <w:pPr>
                    <w:spacing w:line="400" w:lineRule="exact"/>
                    <w:jc w:val="center"/>
                    <w:rPr>
                      <w:color w:val="auto"/>
                      <w:szCs w:val="21"/>
                    </w:rPr>
                  </w:pPr>
                  <w:r>
                    <w:rPr>
                      <w:rFonts w:hint="eastAsia"/>
                      <w:color w:val="auto"/>
                      <w:szCs w:val="21"/>
                    </w:rPr>
                    <w:t>12.96</w:t>
                  </w:r>
                  <w:r>
                    <w:rPr>
                      <w:color w:val="auto"/>
                      <w:szCs w:val="21"/>
                    </w:rPr>
                    <w:t>×10</w:t>
                  </w:r>
                  <w:r>
                    <w:rPr>
                      <w:color w:val="auto"/>
                      <w:szCs w:val="21"/>
                      <w:vertAlign w:val="superscript"/>
                    </w:rPr>
                    <w:t>4</w:t>
                  </w:r>
                </w:p>
              </w:tc>
              <w:tc>
                <w:tcPr>
                  <w:tcW w:w="4509" w:type="dxa"/>
                  <w:vAlign w:val="center"/>
                </w:tcPr>
                <w:p>
                  <w:pPr>
                    <w:spacing w:line="400" w:lineRule="exact"/>
                    <w:jc w:val="center"/>
                    <w:rPr>
                      <w:color w:val="auto"/>
                      <w:szCs w:val="21"/>
                    </w:rPr>
                  </w:pPr>
                  <w:r>
                    <w:rPr>
                      <w:rFonts w:hint="eastAsia"/>
                      <w:color w:val="auto"/>
                      <w:szCs w:val="21"/>
                    </w:rPr>
                    <w:t>取土区开采（厂区南侧）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Align w:val="center"/>
                </w:tcPr>
                <w:p>
                  <w:pPr>
                    <w:jc w:val="center"/>
                    <w:rPr>
                      <w:color w:val="auto"/>
                      <w:szCs w:val="21"/>
                    </w:rPr>
                  </w:pPr>
                  <w:r>
                    <w:rPr>
                      <w:rFonts w:hint="eastAsia"/>
                      <w:color w:val="auto"/>
                      <w:szCs w:val="21"/>
                    </w:rPr>
                    <w:t>1</w:t>
                  </w:r>
                </w:p>
              </w:tc>
              <w:tc>
                <w:tcPr>
                  <w:tcW w:w="992" w:type="dxa"/>
                  <w:vAlign w:val="center"/>
                </w:tcPr>
                <w:p>
                  <w:pPr>
                    <w:jc w:val="center"/>
                    <w:rPr>
                      <w:color w:val="auto"/>
                      <w:szCs w:val="21"/>
                    </w:rPr>
                  </w:pPr>
                  <w:r>
                    <w:rPr>
                      <w:rFonts w:hint="eastAsia"/>
                      <w:color w:val="auto"/>
                      <w:szCs w:val="21"/>
                    </w:rPr>
                    <w:t>水</w:t>
                  </w:r>
                </w:p>
              </w:tc>
              <w:tc>
                <w:tcPr>
                  <w:tcW w:w="1134" w:type="dxa"/>
                  <w:vAlign w:val="center"/>
                </w:tcPr>
                <w:p>
                  <w:pPr>
                    <w:jc w:val="center"/>
                    <w:rPr>
                      <w:color w:val="auto"/>
                      <w:szCs w:val="21"/>
                    </w:rPr>
                  </w:pPr>
                  <w:r>
                    <w:rPr>
                      <w:rFonts w:hint="eastAsia"/>
                      <w:color w:val="auto"/>
                      <w:szCs w:val="21"/>
                    </w:rPr>
                    <w:t>m</w:t>
                  </w:r>
                  <w:r>
                    <w:rPr>
                      <w:rFonts w:hint="eastAsia"/>
                      <w:color w:val="auto"/>
                      <w:szCs w:val="21"/>
                      <w:vertAlign w:val="superscript"/>
                    </w:rPr>
                    <w:t>3</w:t>
                  </w:r>
                  <w:r>
                    <w:rPr>
                      <w:rFonts w:hint="eastAsia"/>
                      <w:color w:val="auto"/>
                      <w:szCs w:val="21"/>
                    </w:rPr>
                    <w:t>/a</w:t>
                  </w:r>
                </w:p>
              </w:tc>
              <w:tc>
                <w:tcPr>
                  <w:tcW w:w="1418" w:type="dxa"/>
                  <w:vAlign w:val="center"/>
                </w:tcPr>
                <w:p>
                  <w:pPr>
                    <w:jc w:val="center"/>
                    <w:rPr>
                      <w:color w:val="auto"/>
                      <w:szCs w:val="21"/>
                    </w:rPr>
                  </w:pPr>
                  <w:r>
                    <w:rPr>
                      <w:rFonts w:hint="eastAsia"/>
                      <w:color w:val="auto"/>
                      <w:szCs w:val="21"/>
                    </w:rPr>
                    <w:t>22729</w:t>
                  </w:r>
                </w:p>
              </w:tc>
              <w:tc>
                <w:tcPr>
                  <w:tcW w:w="4509" w:type="dxa"/>
                  <w:vAlign w:val="center"/>
                </w:tcPr>
                <w:p>
                  <w:pPr>
                    <w:rPr>
                      <w:color w:val="auto"/>
                      <w:szCs w:val="21"/>
                    </w:rPr>
                  </w:pPr>
                  <w:r>
                    <w:rPr>
                      <w:rFonts w:hint="eastAsia"/>
                      <w:color w:val="auto"/>
                      <w:szCs w:val="21"/>
                    </w:rPr>
                    <w:t>近期用水使用公司自备水井供水，待园区配水厂建成后依托园区供水系统供水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Align w:val="center"/>
                </w:tcPr>
                <w:p>
                  <w:pPr>
                    <w:jc w:val="center"/>
                    <w:rPr>
                      <w:color w:val="auto"/>
                      <w:szCs w:val="21"/>
                    </w:rPr>
                  </w:pPr>
                  <w:r>
                    <w:rPr>
                      <w:rFonts w:hint="eastAsia"/>
                      <w:color w:val="auto"/>
                      <w:szCs w:val="21"/>
                    </w:rPr>
                    <w:t>2</w:t>
                  </w:r>
                </w:p>
              </w:tc>
              <w:tc>
                <w:tcPr>
                  <w:tcW w:w="992" w:type="dxa"/>
                  <w:vAlign w:val="center"/>
                </w:tcPr>
                <w:p>
                  <w:pPr>
                    <w:jc w:val="center"/>
                    <w:rPr>
                      <w:color w:val="auto"/>
                      <w:szCs w:val="21"/>
                    </w:rPr>
                  </w:pPr>
                  <w:r>
                    <w:rPr>
                      <w:rFonts w:hint="eastAsia"/>
                      <w:color w:val="auto"/>
                      <w:szCs w:val="21"/>
                    </w:rPr>
                    <w:t>电</w:t>
                  </w:r>
                </w:p>
              </w:tc>
              <w:tc>
                <w:tcPr>
                  <w:tcW w:w="1134" w:type="dxa"/>
                  <w:vAlign w:val="center"/>
                </w:tcPr>
                <w:p>
                  <w:pPr>
                    <w:jc w:val="center"/>
                    <w:rPr>
                      <w:color w:val="auto"/>
                      <w:szCs w:val="21"/>
                    </w:rPr>
                  </w:pPr>
                  <w:r>
                    <w:rPr>
                      <w:rFonts w:hint="eastAsia"/>
                      <w:color w:val="auto"/>
                      <w:szCs w:val="21"/>
                    </w:rPr>
                    <w:t>10</w:t>
                  </w:r>
                  <w:r>
                    <w:rPr>
                      <w:rFonts w:hint="eastAsia"/>
                      <w:color w:val="auto"/>
                      <w:szCs w:val="21"/>
                      <w:vertAlign w:val="superscript"/>
                    </w:rPr>
                    <w:t>4</w:t>
                  </w:r>
                  <w:r>
                    <w:rPr>
                      <w:color w:val="auto"/>
                      <w:szCs w:val="21"/>
                    </w:rPr>
                    <w:t>kWh/a</w:t>
                  </w:r>
                </w:p>
              </w:tc>
              <w:tc>
                <w:tcPr>
                  <w:tcW w:w="1418" w:type="dxa"/>
                  <w:vAlign w:val="center"/>
                </w:tcPr>
                <w:p>
                  <w:pPr>
                    <w:jc w:val="center"/>
                    <w:rPr>
                      <w:color w:val="auto"/>
                      <w:szCs w:val="21"/>
                    </w:rPr>
                  </w:pPr>
                  <w:r>
                    <w:rPr>
                      <w:rFonts w:hint="eastAsia"/>
                      <w:color w:val="auto"/>
                      <w:szCs w:val="21"/>
                    </w:rPr>
                    <w:t>669</w:t>
                  </w:r>
                </w:p>
              </w:tc>
              <w:tc>
                <w:tcPr>
                  <w:tcW w:w="4509" w:type="dxa"/>
                  <w:vAlign w:val="center"/>
                </w:tcPr>
                <w:p>
                  <w:pPr>
                    <w:rPr>
                      <w:color w:val="auto"/>
                      <w:szCs w:val="21"/>
                    </w:rPr>
                  </w:pPr>
                  <w:r>
                    <w:rPr>
                      <w:rFonts w:hint="eastAsia"/>
                      <w:color w:val="auto"/>
                      <w:szCs w:val="21"/>
                    </w:rPr>
                    <w:t>项目由引镇110kV变提供，厂区设置配电室1座，配备2台1250KVA变压器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Align w:val="center"/>
                </w:tcPr>
                <w:p>
                  <w:pPr>
                    <w:jc w:val="center"/>
                    <w:rPr>
                      <w:color w:val="auto"/>
                      <w:szCs w:val="21"/>
                    </w:rPr>
                  </w:pPr>
                  <w:r>
                    <w:rPr>
                      <w:rFonts w:hint="eastAsia"/>
                      <w:color w:val="auto"/>
                      <w:szCs w:val="21"/>
                    </w:rPr>
                    <w:t>3</w:t>
                  </w:r>
                </w:p>
              </w:tc>
              <w:tc>
                <w:tcPr>
                  <w:tcW w:w="992" w:type="dxa"/>
                  <w:vAlign w:val="center"/>
                </w:tcPr>
                <w:p>
                  <w:pPr>
                    <w:jc w:val="center"/>
                    <w:rPr>
                      <w:color w:val="auto"/>
                      <w:szCs w:val="21"/>
                    </w:rPr>
                  </w:pPr>
                  <w:r>
                    <w:rPr>
                      <w:rFonts w:hint="eastAsia"/>
                      <w:color w:val="auto"/>
                      <w:szCs w:val="21"/>
                    </w:rPr>
                    <w:t>天然气</w:t>
                  </w:r>
                </w:p>
              </w:tc>
              <w:tc>
                <w:tcPr>
                  <w:tcW w:w="1134" w:type="dxa"/>
                  <w:vAlign w:val="center"/>
                </w:tcPr>
                <w:p>
                  <w:pPr>
                    <w:jc w:val="center"/>
                    <w:rPr>
                      <w:color w:val="auto"/>
                      <w:szCs w:val="21"/>
                    </w:rPr>
                  </w:pPr>
                  <w:r>
                    <w:rPr>
                      <w:rFonts w:hint="eastAsia"/>
                      <w:color w:val="auto"/>
                      <w:szCs w:val="21"/>
                    </w:rPr>
                    <w:t>10</w:t>
                  </w:r>
                  <w:r>
                    <w:rPr>
                      <w:rFonts w:hint="eastAsia"/>
                      <w:color w:val="auto"/>
                      <w:szCs w:val="21"/>
                      <w:vertAlign w:val="superscript"/>
                    </w:rPr>
                    <w:t>4</w:t>
                  </w:r>
                  <w:r>
                    <w:rPr>
                      <w:rFonts w:hint="eastAsia"/>
                      <w:color w:val="auto"/>
                      <w:szCs w:val="21"/>
                    </w:rPr>
                    <w:t>m</w:t>
                  </w:r>
                  <w:r>
                    <w:rPr>
                      <w:rFonts w:hint="eastAsia"/>
                      <w:color w:val="auto"/>
                      <w:szCs w:val="21"/>
                      <w:vertAlign w:val="superscript"/>
                    </w:rPr>
                    <w:t>3</w:t>
                  </w:r>
                  <w:r>
                    <w:rPr>
                      <w:rFonts w:hint="eastAsia"/>
                      <w:color w:val="auto"/>
                      <w:szCs w:val="21"/>
                    </w:rPr>
                    <w:t>/a</w:t>
                  </w:r>
                </w:p>
              </w:tc>
              <w:tc>
                <w:tcPr>
                  <w:tcW w:w="1418" w:type="dxa"/>
                  <w:vAlign w:val="center"/>
                </w:tcPr>
                <w:p>
                  <w:pPr>
                    <w:jc w:val="center"/>
                    <w:rPr>
                      <w:color w:val="auto"/>
                      <w:szCs w:val="21"/>
                    </w:rPr>
                  </w:pPr>
                  <w:r>
                    <w:rPr>
                      <w:rFonts w:hint="eastAsia"/>
                      <w:color w:val="auto"/>
                      <w:szCs w:val="21"/>
                    </w:rPr>
                    <w:t>567</w:t>
                  </w:r>
                </w:p>
              </w:tc>
              <w:tc>
                <w:tcPr>
                  <w:tcW w:w="4509" w:type="dxa"/>
                  <w:vAlign w:val="center"/>
                </w:tcPr>
                <w:p>
                  <w:pPr>
                    <w:jc w:val="center"/>
                    <w:rPr>
                      <w:color w:val="auto"/>
                      <w:szCs w:val="21"/>
                    </w:rPr>
                  </w:pPr>
                  <w:r>
                    <w:rPr>
                      <w:rFonts w:hint="eastAsia"/>
                      <w:color w:val="auto"/>
                      <w:szCs w:val="21"/>
                    </w:rPr>
                    <w:t>依托园区天然气管线，天然气来自长安区魏寨街道办民用点供天然气工程。</w:t>
                  </w:r>
                </w:p>
              </w:tc>
            </w:tr>
          </w:tbl>
          <w:p>
            <w:pPr>
              <w:tabs>
                <w:tab w:val="left" w:pos="240"/>
              </w:tabs>
              <w:spacing w:line="360" w:lineRule="auto"/>
              <w:ind w:firstLine="480" w:firstLineChars="200"/>
              <w:rPr>
                <w:color w:val="auto"/>
                <w:sz w:val="24"/>
              </w:rPr>
            </w:pPr>
            <w:r>
              <w:rPr>
                <w:rFonts w:hint="eastAsia"/>
                <w:color w:val="auto"/>
                <w:sz w:val="24"/>
              </w:rPr>
              <w:t>制砖的原料粘土来自厂区南侧的取土区，取土区占地面积为0.1224km</w:t>
            </w:r>
            <w:r>
              <w:rPr>
                <w:rFonts w:hint="eastAsia"/>
                <w:color w:val="auto"/>
                <w:sz w:val="24"/>
                <w:vertAlign w:val="superscript"/>
              </w:rPr>
              <w:t>2</w:t>
            </w:r>
            <w:r>
              <w:rPr>
                <w:rFonts w:hint="eastAsia"/>
                <w:color w:val="auto"/>
                <w:sz w:val="24"/>
              </w:rPr>
              <w:t>，由6个拐点圈定，取土范围内大部分为裸露地，</w:t>
            </w:r>
            <w:r>
              <w:rPr>
                <w:rFonts w:hint="eastAsia"/>
                <w:color w:val="auto"/>
                <w:sz w:val="24"/>
                <w:szCs w:val="24"/>
              </w:rPr>
              <w:t>开采方式为露天开采，设计利用储量为320.58</w:t>
            </w:r>
            <w:r>
              <w:rPr>
                <w:color w:val="auto"/>
                <w:sz w:val="24"/>
                <w:szCs w:val="24"/>
              </w:rPr>
              <w:t>×10</w:t>
            </w:r>
            <w:r>
              <w:rPr>
                <w:color w:val="auto"/>
                <w:sz w:val="24"/>
                <w:szCs w:val="24"/>
                <w:vertAlign w:val="superscript"/>
              </w:rPr>
              <w:t>4</w:t>
            </w:r>
            <w:r>
              <w:rPr>
                <w:rFonts w:hint="eastAsia"/>
                <w:color w:val="auto"/>
                <w:sz w:val="24"/>
                <w:szCs w:val="24"/>
              </w:rPr>
              <w:t>m</w:t>
            </w:r>
            <w:r>
              <w:rPr>
                <w:rFonts w:hint="eastAsia"/>
                <w:color w:val="auto"/>
                <w:sz w:val="24"/>
                <w:szCs w:val="24"/>
                <w:vertAlign w:val="superscript"/>
              </w:rPr>
              <w:t>3</w:t>
            </w:r>
            <w:r>
              <w:rPr>
                <w:rFonts w:hint="eastAsia"/>
                <w:color w:val="auto"/>
                <w:sz w:val="24"/>
                <w:szCs w:val="24"/>
              </w:rPr>
              <w:t>，规划生产能力为20</w:t>
            </w:r>
            <w:r>
              <w:rPr>
                <w:color w:val="auto"/>
                <w:sz w:val="24"/>
                <w:szCs w:val="24"/>
              </w:rPr>
              <w:t>×10</w:t>
            </w:r>
            <w:r>
              <w:rPr>
                <w:color w:val="auto"/>
                <w:sz w:val="24"/>
                <w:szCs w:val="24"/>
                <w:vertAlign w:val="superscript"/>
              </w:rPr>
              <w:t>4</w:t>
            </w:r>
            <w:r>
              <w:rPr>
                <w:rFonts w:hint="eastAsia"/>
                <w:color w:val="auto"/>
                <w:sz w:val="24"/>
                <w:szCs w:val="24"/>
              </w:rPr>
              <w:t>m</w:t>
            </w:r>
            <w:r>
              <w:rPr>
                <w:rFonts w:hint="eastAsia"/>
                <w:color w:val="auto"/>
                <w:sz w:val="24"/>
                <w:szCs w:val="24"/>
                <w:vertAlign w:val="superscript"/>
              </w:rPr>
              <w:t>3</w:t>
            </w:r>
            <w:r>
              <w:rPr>
                <w:rFonts w:hint="eastAsia"/>
                <w:color w:val="auto"/>
                <w:sz w:val="24"/>
                <w:szCs w:val="24"/>
              </w:rPr>
              <w:t>/a（36</w:t>
            </w:r>
            <w:r>
              <w:rPr>
                <w:color w:val="auto"/>
                <w:sz w:val="24"/>
                <w:szCs w:val="24"/>
              </w:rPr>
              <w:t>×10</w:t>
            </w:r>
            <w:r>
              <w:rPr>
                <w:color w:val="auto"/>
                <w:sz w:val="24"/>
                <w:szCs w:val="24"/>
                <w:vertAlign w:val="superscript"/>
              </w:rPr>
              <w:t>4</w:t>
            </w:r>
            <w:r>
              <w:rPr>
                <w:rFonts w:hint="eastAsia"/>
                <w:color w:val="auto"/>
                <w:sz w:val="24"/>
                <w:szCs w:val="24"/>
              </w:rPr>
              <w:t>t/a）。目前，粘土矿尚未开始开采，根据《西安众昊新型墙材有限公司西安市长安区东部新型建材产业基地4号地块砖瓦用粘土开发利用方案》（陕西建材院工程设计有限责任公司，2013年1月），矿山服务年限为15.5年。本项目</w:t>
            </w:r>
            <w:r>
              <w:rPr>
                <w:rFonts w:hint="eastAsia"/>
                <w:color w:val="auto"/>
                <w:sz w:val="24"/>
              </w:rPr>
              <w:t>开采顺序按照自上而下的顺序，分层按台阶开采，遵循“采剥并举，剥离先行”的原则，采用汽车运输。取土时采用推土机推土或挖掘机挖掘汽车运输至原料库。</w:t>
            </w:r>
          </w:p>
          <w:p>
            <w:pPr>
              <w:jc w:val="center"/>
              <w:rPr>
                <w:rFonts w:hAnsi="宋体"/>
                <w:b/>
                <w:color w:val="auto"/>
              </w:rPr>
            </w:pPr>
            <w:r>
              <w:rPr>
                <w:rFonts w:hAnsi="宋体"/>
                <w:b/>
                <w:color w:val="auto"/>
              </w:rPr>
              <w:t>表</w:t>
            </w:r>
            <w:r>
              <w:rPr>
                <w:rFonts w:hint="eastAsia" w:hAnsi="宋体"/>
                <w:b/>
                <w:color w:val="auto"/>
              </w:rPr>
              <w:t>11</w:t>
            </w:r>
            <w:r>
              <w:rPr>
                <w:rFonts w:hAnsi="宋体"/>
                <w:b/>
                <w:color w:val="auto"/>
              </w:rPr>
              <w:t xml:space="preserve">   </w:t>
            </w:r>
            <w:r>
              <w:rPr>
                <w:rFonts w:hint="eastAsia" w:hAnsi="宋体"/>
                <w:b/>
                <w:color w:val="auto"/>
              </w:rPr>
              <w:t>取土区范围拐点坐标</w:t>
            </w:r>
          </w:p>
          <w:tbl>
            <w:tblPr>
              <w:tblStyle w:val="24"/>
              <w:tblW w:w="89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2788"/>
              <w:gridCol w:w="38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2" w:type="dxa"/>
                  <w:vAlign w:val="center"/>
                </w:tcPr>
                <w:p>
                  <w:pPr>
                    <w:spacing w:line="400" w:lineRule="exact"/>
                    <w:jc w:val="center"/>
                    <w:rPr>
                      <w:rFonts w:hAnsi="宋体"/>
                      <w:color w:val="auto"/>
                      <w:szCs w:val="21"/>
                    </w:rPr>
                  </w:pPr>
                  <w:r>
                    <w:rPr>
                      <w:rFonts w:hint="eastAsia" w:hAnsi="宋体"/>
                      <w:color w:val="auto"/>
                      <w:szCs w:val="21"/>
                    </w:rPr>
                    <w:t>序号</w:t>
                  </w:r>
                </w:p>
              </w:tc>
              <w:tc>
                <w:tcPr>
                  <w:tcW w:w="2788" w:type="dxa"/>
                  <w:vAlign w:val="center"/>
                </w:tcPr>
                <w:p>
                  <w:pPr>
                    <w:spacing w:line="400" w:lineRule="exact"/>
                    <w:jc w:val="center"/>
                    <w:rPr>
                      <w:rFonts w:hAnsi="宋体"/>
                      <w:color w:val="auto"/>
                      <w:szCs w:val="21"/>
                    </w:rPr>
                  </w:pPr>
                  <w:r>
                    <w:rPr>
                      <w:rFonts w:hint="eastAsia" w:hAnsi="宋体"/>
                      <w:color w:val="auto"/>
                      <w:szCs w:val="21"/>
                    </w:rPr>
                    <w:t>X</w:t>
                  </w:r>
                </w:p>
              </w:tc>
              <w:tc>
                <w:tcPr>
                  <w:tcW w:w="3894" w:type="dxa"/>
                  <w:vAlign w:val="center"/>
                </w:tcPr>
                <w:p>
                  <w:pPr>
                    <w:spacing w:line="400" w:lineRule="exact"/>
                    <w:jc w:val="center"/>
                    <w:rPr>
                      <w:rFonts w:hAnsi="宋体"/>
                      <w:color w:val="auto"/>
                      <w:szCs w:val="21"/>
                    </w:rPr>
                  </w:pPr>
                  <w:r>
                    <w:rPr>
                      <w:rFonts w:hint="eastAsia" w:hAnsi="宋体"/>
                      <w:color w:val="auto"/>
                      <w:szCs w:val="21"/>
                    </w:rPr>
                    <w:t>Y</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2" w:type="dxa"/>
                  <w:vAlign w:val="center"/>
                </w:tcPr>
                <w:p>
                  <w:pPr>
                    <w:spacing w:line="400" w:lineRule="exact"/>
                    <w:jc w:val="center"/>
                    <w:rPr>
                      <w:rFonts w:hAnsi="宋体"/>
                      <w:color w:val="auto"/>
                      <w:szCs w:val="21"/>
                    </w:rPr>
                  </w:pPr>
                  <w:r>
                    <w:rPr>
                      <w:rFonts w:hint="eastAsia" w:hAnsi="宋体"/>
                      <w:color w:val="auto"/>
                      <w:szCs w:val="21"/>
                    </w:rPr>
                    <w:t>1</w:t>
                  </w:r>
                </w:p>
              </w:tc>
              <w:tc>
                <w:tcPr>
                  <w:tcW w:w="2788" w:type="dxa"/>
                  <w:vAlign w:val="center"/>
                </w:tcPr>
                <w:p>
                  <w:pPr>
                    <w:spacing w:line="400" w:lineRule="exact"/>
                    <w:jc w:val="center"/>
                    <w:rPr>
                      <w:rFonts w:hAnsi="宋体"/>
                      <w:color w:val="auto"/>
                      <w:szCs w:val="21"/>
                    </w:rPr>
                  </w:pPr>
                  <w:r>
                    <w:rPr>
                      <w:rFonts w:hint="eastAsia" w:hAnsi="宋体"/>
                      <w:color w:val="auto"/>
                      <w:szCs w:val="21"/>
                    </w:rPr>
                    <w:t>3776162</w:t>
                  </w:r>
                </w:p>
              </w:tc>
              <w:tc>
                <w:tcPr>
                  <w:tcW w:w="3894" w:type="dxa"/>
                  <w:vAlign w:val="center"/>
                </w:tcPr>
                <w:p>
                  <w:pPr>
                    <w:spacing w:line="400" w:lineRule="exact"/>
                    <w:jc w:val="center"/>
                    <w:rPr>
                      <w:rFonts w:hAnsi="宋体"/>
                      <w:color w:val="auto"/>
                      <w:szCs w:val="21"/>
                    </w:rPr>
                  </w:pPr>
                  <w:r>
                    <w:rPr>
                      <w:rFonts w:hint="eastAsia" w:hAnsi="宋体"/>
                      <w:color w:val="auto"/>
                      <w:szCs w:val="21"/>
                    </w:rPr>
                    <w:t>36605691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2" w:type="dxa"/>
                  <w:vAlign w:val="center"/>
                </w:tcPr>
                <w:p>
                  <w:pPr>
                    <w:spacing w:line="400" w:lineRule="exact"/>
                    <w:jc w:val="center"/>
                    <w:rPr>
                      <w:rFonts w:hAnsi="宋体"/>
                      <w:color w:val="auto"/>
                      <w:szCs w:val="21"/>
                    </w:rPr>
                  </w:pPr>
                  <w:r>
                    <w:rPr>
                      <w:rFonts w:hint="eastAsia" w:hAnsi="宋体"/>
                      <w:color w:val="auto"/>
                      <w:szCs w:val="21"/>
                    </w:rPr>
                    <w:t>2</w:t>
                  </w:r>
                </w:p>
              </w:tc>
              <w:tc>
                <w:tcPr>
                  <w:tcW w:w="2788" w:type="dxa"/>
                  <w:vAlign w:val="center"/>
                </w:tcPr>
                <w:p>
                  <w:pPr>
                    <w:spacing w:line="400" w:lineRule="exact"/>
                    <w:jc w:val="center"/>
                    <w:rPr>
                      <w:rFonts w:hAnsi="宋体"/>
                      <w:color w:val="auto"/>
                      <w:szCs w:val="21"/>
                    </w:rPr>
                  </w:pPr>
                  <w:r>
                    <w:rPr>
                      <w:rFonts w:hint="eastAsia" w:hAnsi="宋体"/>
                      <w:color w:val="auto"/>
                      <w:szCs w:val="21"/>
                    </w:rPr>
                    <w:t>3776022</w:t>
                  </w:r>
                </w:p>
              </w:tc>
              <w:tc>
                <w:tcPr>
                  <w:tcW w:w="3894" w:type="dxa"/>
                  <w:vAlign w:val="center"/>
                </w:tcPr>
                <w:p>
                  <w:pPr>
                    <w:spacing w:line="400" w:lineRule="exact"/>
                    <w:jc w:val="center"/>
                    <w:rPr>
                      <w:rFonts w:hAnsi="宋体"/>
                      <w:color w:val="auto"/>
                      <w:szCs w:val="21"/>
                    </w:rPr>
                  </w:pPr>
                  <w:r>
                    <w:rPr>
                      <w:rFonts w:hint="eastAsia" w:hAnsi="宋体"/>
                      <w:color w:val="auto"/>
                      <w:szCs w:val="21"/>
                    </w:rPr>
                    <w:t>36606019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2" w:type="dxa"/>
                  <w:vAlign w:val="center"/>
                </w:tcPr>
                <w:p>
                  <w:pPr>
                    <w:spacing w:line="400" w:lineRule="exact"/>
                    <w:jc w:val="center"/>
                    <w:rPr>
                      <w:rFonts w:hAnsi="宋体"/>
                      <w:color w:val="auto"/>
                      <w:szCs w:val="21"/>
                    </w:rPr>
                  </w:pPr>
                  <w:r>
                    <w:rPr>
                      <w:rFonts w:hint="eastAsia" w:hAnsi="宋体"/>
                      <w:color w:val="auto"/>
                      <w:szCs w:val="21"/>
                    </w:rPr>
                    <w:t>3</w:t>
                  </w:r>
                </w:p>
              </w:tc>
              <w:tc>
                <w:tcPr>
                  <w:tcW w:w="2788" w:type="dxa"/>
                  <w:vAlign w:val="center"/>
                </w:tcPr>
                <w:p>
                  <w:pPr>
                    <w:spacing w:line="400" w:lineRule="exact"/>
                    <w:jc w:val="center"/>
                    <w:rPr>
                      <w:rFonts w:hAnsi="宋体"/>
                      <w:color w:val="auto"/>
                      <w:szCs w:val="21"/>
                    </w:rPr>
                  </w:pPr>
                  <w:r>
                    <w:rPr>
                      <w:rFonts w:hint="eastAsia" w:hAnsi="宋体"/>
                      <w:color w:val="auto"/>
                      <w:szCs w:val="21"/>
                    </w:rPr>
                    <w:t>3776207</w:t>
                  </w:r>
                </w:p>
              </w:tc>
              <w:tc>
                <w:tcPr>
                  <w:tcW w:w="3894" w:type="dxa"/>
                  <w:vAlign w:val="center"/>
                </w:tcPr>
                <w:p>
                  <w:pPr>
                    <w:spacing w:line="400" w:lineRule="exact"/>
                    <w:jc w:val="center"/>
                    <w:rPr>
                      <w:rFonts w:hAnsi="宋体"/>
                      <w:color w:val="auto"/>
                      <w:szCs w:val="21"/>
                    </w:rPr>
                  </w:pPr>
                  <w:r>
                    <w:rPr>
                      <w:rFonts w:hint="eastAsia" w:hAnsi="宋体"/>
                      <w:color w:val="auto"/>
                      <w:szCs w:val="21"/>
                    </w:rPr>
                    <w:t>36606123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2" w:type="dxa"/>
                  <w:vAlign w:val="center"/>
                </w:tcPr>
                <w:p>
                  <w:pPr>
                    <w:spacing w:line="400" w:lineRule="exact"/>
                    <w:jc w:val="center"/>
                    <w:rPr>
                      <w:rFonts w:hAnsi="宋体"/>
                      <w:color w:val="auto"/>
                      <w:szCs w:val="21"/>
                    </w:rPr>
                  </w:pPr>
                  <w:r>
                    <w:rPr>
                      <w:rFonts w:hint="eastAsia" w:hAnsi="宋体"/>
                      <w:color w:val="auto"/>
                      <w:szCs w:val="21"/>
                    </w:rPr>
                    <w:t>4</w:t>
                  </w:r>
                </w:p>
              </w:tc>
              <w:tc>
                <w:tcPr>
                  <w:tcW w:w="2788" w:type="dxa"/>
                  <w:vAlign w:val="center"/>
                </w:tcPr>
                <w:p>
                  <w:pPr>
                    <w:spacing w:line="400" w:lineRule="exact"/>
                    <w:jc w:val="center"/>
                    <w:rPr>
                      <w:rFonts w:hAnsi="宋体"/>
                      <w:color w:val="auto"/>
                      <w:szCs w:val="21"/>
                    </w:rPr>
                  </w:pPr>
                  <w:r>
                    <w:rPr>
                      <w:rFonts w:hint="eastAsia" w:hAnsi="宋体"/>
                      <w:color w:val="auto"/>
                      <w:szCs w:val="21"/>
                    </w:rPr>
                    <w:t>3776131</w:t>
                  </w:r>
                </w:p>
              </w:tc>
              <w:tc>
                <w:tcPr>
                  <w:tcW w:w="3894" w:type="dxa"/>
                  <w:vAlign w:val="center"/>
                </w:tcPr>
                <w:p>
                  <w:pPr>
                    <w:spacing w:line="400" w:lineRule="exact"/>
                    <w:jc w:val="center"/>
                    <w:rPr>
                      <w:rFonts w:hAnsi="宋体"/>
                      <w:color w:val="auto"/>
                      <w:szCs w:val="21"/>
                    </w:rPr>
                  </w:pPr>
                  <w:r>
                    <w:rPr>
                      <w:rFonts w:hint="eastAsia" w:hAnsi="宋体"/>
                      <w:color w:val="auto"/>
                      <w:szCs w:val="21"/>
                    </w:rPr>
                    <w:t>36606256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2" w:type="dxa"/>
                  <w:vAlign w:val="center"/>
                </w:tcPr>
                <w:p>
                  <w:pPr>
                    <w:spacing w:line="400" w:lineRule="exact"/>
                    <w:jc w:val="center"/>
                    <w:rPr>
                      <w:rFonts w:hAnsi="宋体"/>
                      <w:color w:val="auto"/>
                      <w:szCs w:val="21"/>
                    </w:rPr>
                  </w:pPr>
                  <w:r>
                    <w:rPr>
                      <w:rFonts w:hint="eastAsia" w:hAnsi="宋体"/>
                      <w:color w:val="auto"/>
                      <w:szCs w:val="21"/>
                    </w:rPr>
                    <w:t>5</w:t>
                  </w:r>
                </w:p>
              </w:tc>
              <w:tc>
                <w:tcPr>
                  <w:tcW w:w="2788" w:type="dxa"/>
                  <w:vAlign w:val="center"/>
                </w:tcPr>
                <w:p>
                  <w:pPr>
                    <w:spacing w:line="400" w:lineRule="exact"/>
                    <w:jc w:val="center"/>
                    <w:rPr>
                      <w:rFonts w:hAnsi="宋体"/>
                      <w:color w:val="auto"/>
                      <w:szCs w:val="21"/>
                    </w:rPr>
                  </w:pPr>
                  <w:r>
                    <w:rPr>
                      <w:rFonts w:hint="eastAsia" w:hAnsi="宋体"/>
                      <w:color w:val="auto"/>
                      <w:szCs w:val="21"/>
                    </w:rPr>
                    <w:t>3775808</w:t>
                  </w:r>
                </w:p>
              </w:tc>
              <w:tc>
                <w:tcPr>
                  <w:tcW w:w="3894" w:type="dxa"/>
                  <w:vAlign w:val="center"/>
                </w:tcPr>
                <w:p>
                  <w:pPr>
                    <w:spacing w:line="400" w:lineRule="exact"/>
                    <w:jc w:val="center"/>
                    <w:rPr>
                      <w:rFonts w:hAnsi="宋体"/>
                      <w:color w:val="auto"/>
                      <w:szCs w:val="21"/>
                    </w:rPr>
                  </w:pPr>
                  <w:r>
                    <w:rPr>
                      <w:rFonts w:hint="eastAsia" w:hAnsi="宋体"/>
                      <w:color w:val="auto"/>
                      <w:szCs w:val="21"/>
                    </w:rPr>
                    <w:t>36606071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2" w:type="dxa"/>
                  <w:vAlign w:val="center"/>
                </w:tcPr>
                <w:p>
                  <w:pPr>
                    <w:spacing w:line="400" w:lineRule="exact"/>
                    <w:jc w:val="center"/>
                    <w:rPr>
                      <w:rFonts w:hAnsi="宋体"/>
                      <w:color w:val="auto"/>
                      <w:szCs w:val="21"/>
                    </w:rPr>
                  </w:pPr>
                  <w:r>
                    <w:rPr>
                      <w:rFonts w:hint="eastAsia" w:hAnsi="宋体"/>
                      <w:color w:val="auto"/>
                      <w:szCs w:val="21"/>
                    </w:rPr>
                    <w:t>6</w:t>
                  </w:r>
                </w:p>
              </w:tc>
              <w:tc>
                <w:tcPr>
                  <w:tcW w:w="2788" w:type="dxa"/>
                  <w:vAlign w:val="center"/>
                </w:tcPr>
                <w:p>
                  <w:pPr>
                    <w:spacing w:line="400" w:lineRule="exact"/>
                    <w:jc w:val="center"/>
                    <w:rPr>
                      <w:rFonts w:hAnsi="宋体"/>
                      <w:color w:val="auto"/>
                      <w:szCs w:val="21"/>
                    </w:rPr>
                  </w:pPr>
                  <w:r>
                    <w:rPr>
                      <w:rFonts w:hint="eastAsia" w:hAnsi="宋体"/>
                      <w:color w:val="auto"/>
                      <w:szCs w:val="21"/>
                    </w:rPr>
                    <w:t>3776003</w:t>
                  </w:r>
                </w:p>
              </w:tc>
              <w:tc>
                <w:tcPr>
                  <w:tcW w:w="3894" w:type="dxa"/>
                  <w:vAlign w:val="center"/>
                </w:tcPr>
                <w:p>
                  <w:pPr>
                    <w:spacing w:line="400" w:lineRule="exact"/>
                    <w:jc w:val="center"/>
                    <w:rPr>
                      <w:rFonts w:hAnsi="宋体"/>
                      <w:color w:val="auto"/>
                      <w:szCs w:val="21"/>
                    </w:rPr>
                  </w:pPr>
                  <w:r>
                    <w:rPr>
                      <w:rFonts w:hint="eastAsia" w:hAnsi="宋体"/>
                      <w:color w:val="auto"/>
                      <w:szCs w:val="21"/>
                    </w:rPr>
                    <w:t>36605599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2" w:type="dxa"/>
                  <w:vAlign w:val="center"/>
                </w:tcPr>
                <w:p>
                  <w:pPr>
                    <w:spacing w:line="400" w:lineRule="exact"/>
                    <w:jc w:val="center"/>
                    <w:rPr>
                      <w:rFonts w:hAnsi="宋体"/>
                      <w:color w:val="auto"/>
                      <w:szCs w:val="21"/>
                    </w:rPr>
                  </w:pPr>
                  <w:r>
                    <w:rPr>
                      <w:rFonts w:hint="eastAsia" w:hAnsi="宋体"/>
                      <w:color w:val="auto"/>
                      <w:szCs w:val="21"/>
                    </w:rPr>
                    <w:t>面积</w:t>
                  </w:r>
                </w:p>
              </w:tc>
              <w:tc>
                <w:tcPr>
                  <w:tcW w:w="6682" w:type="dxa"/>
                  <w:gridSpan w:val="2"/>
                  <w:vAlign w:val="center"/>
                </w:tcPr>
                <w:p>
                  <w:pPr>
                    <w:spacing w:line="400" w:lineRule="exact"/>
                    <w:jc w:val="center"/>
                    <w:rPr>
                      <w:rFonts w:hAnsi="宋体"/>
                      <w:color w:val="auto"/>
                      <w:szCs w:val="21"/>
                    </w:rPr>
                  </w:pPr>
                  <w:r>
                    <w:rPr>
                      <w:rFonts w:hint="eastAsia"/>
                      <w:color w:val="auto"/>
                      <w:szCs w:val="21"/>
                    </w:rPr>
                    <w:t>0.1244km</w:t>
                  </w:r>
                  <w:r>
                    <w:rPr>
                      <w:rFonts w:hint="eastAsia"/>
                      <w:color w:val="auto"/>
                      <w:szCs w:val="21"/>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2" w:type="dxa"/>
                  <w:vAlign w:val="center"/>
                </w:tcPr>
                <w:p>
                  <w:pPr>
                    <w:spacing w:line="400" w:lineRule="exact"/>
                    <w:jc w:val="center"/>
                    <w:rPr>
                      <w:rFonts w:hAnsi="宋体"/>
                      <w:color w:val="auto"/>
                      <w:szCs w:val="21"/>
                    </w:rPr>
                  </w:pPr>
                  <w:r>
                    <w:rPr>
                      <w:rFonts w:hint="eastAsia" w:hAnsi="宋体"/>
                      <w:color w:val="auto"/>
                      <w:szCs w:val="21"/>
                    </w:rPr>
                    <w:t>规划生产能力</w:t>
                  </w:r>
                </w:p>
              </w:tc>
              <w:tc>
                <w:tcPr>
                  <w:tcW w:w="6682" w:type="dxa"/>
                  <w:gridSpan w:val="2"/>
                  <w:vAlign w:val="center"/>
                </w:tcPr>
                <w:p>
                  <w:pPr>
                    <w:spacing w:line="400" w:lineRule="exact"/>
                    <w:jc w:val="center"/>
                    <w:rPr>
                      <w:rFonts w:hAnsi="宋体"/>
                      <w:color w:val="auto"/>
                      <w:szCs w:val="21"/>
                    </w:rPr>
                  </w:pPr>
                  <w:r>
                    <w:rPr>
                      <w:rFonts w:hint="eastAsia" w:hAnsi="宋体"/>
                      <w:color w:val="auto"/>
                      <w:szCs w:val="21"/>
                    </w:rPr>
                    <w:t>20</w:t>
                  </w:r>
                  <w:r>
                    <w:rPr>
                      <w:color w:val="auto"/>
                      <w:szCs w:val="21"/>
                    </w:rPr>
                    <w:t>×10</w:t>
                  </w:r>
                  <w:r>
                    <w:rPr>
                      <w:color w:val="auto"/>
                      <w:szCs w:val="21"/>
                      <w:vertAlign w:val="superscript"/>
                    </w:rPr>
                    <w:t>4</w:t>
                  </w:r>
                  <w:r>
                    <w:rPr>
                      <w:rFonts w:hint="eastAsia"/>
                      <w:color w:val="auto"/>
                      <w:szCs w:val="21"/>
                    </w:rPr>
                    <w:t>m</w:t>
                  </w:r>
                  <w:r>
                    <w:rPr>
                      <w:rFonts w:hint="eastAsia"/>
                      <w:color w:val="auto"/>
                      <w:szCs w:val="21"/>
                      <w:vertAlign w:val="superscript"/>
                    </w:rPr>
                    <w:t>3</w:t>
                  </w:r>
                  <w:r>
                    <w:rPr>
                      <w:rFonts w:hint="eastAsia"/>
                      <w:color w:val="auto"/>
                      <w:szCs w:val="21"/>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2" w:type="dxa"/>
                  <w:vAlign w:val="center"/>
                </w:tcPr>
                <w:p>
                  <w:pPr>
                    <w:spacing w:line="400" w:lineRule="exact"/>
                    <w:jc w:val="center"/>
                    <w:rPr>
                      <w:rFonts w:hAnsi="宋体"/>
                      <w:color w:val="auto"/>
                      <w:szCs w:val="21"/>
                    </w:rPr>
                  </w:pPr>
                  <w:r>
                    <w:rPr>
                      <w:rFonts w:hint="eastAsia" w:hAnsi="宋体"/>
                      <w:color w:val="auto"/>
                      <w:szCs w:val="21"/>
                    </w:rPr>
                    <w:t>开采标高</w:t>
                  </w:r>
                </w:p>
              </w:tc>
              <w:tc>
                <w:tcPr>
                  <w:tcW w:w="6682" w:type="dxa"/>
                  <w:gridSpan w:val="2"/>
                  <w:vAlign w:val="center"/>
                </w:tcPr>
                <w:p>
                  <w:pPr>
                    <w:spacing w:line="400" w:lineRule="exact"/>
                    <w:jc w:val="center"/>
                    <w:rPr>
                      <w:rFonts w:hAnsi="宋体"/>
                      <w:color w:val="auto"/>
                      <w:szCs w:val="21"/>
                    </w:rPr>
                  </w:pPr>
                  <w:r>
                    <w:rPr>
                      <w:rFonts w:hint="eastAsia"/>
                      <w:color w:val="auto"/>
                      <w:szCs w:val="21"/>
                    </w:rPr>
                    <w:t>+530m~+596m</w:t>
                  </w:r>
                </w:p>
              </w:tc>
            </w:tr>
          </w:tbl>
          <w:p>
            <w:pPr>
              <w:jc w:val="center"/>
              <w:rPr>
                <w:rFonts w:hint="eastAsia" w:hAnsi="宋体"/>
                <w:b/>
                <w:color w:val="auto"/>
              </w:rPr>
            </w:pPr>
          </w:p>
          <w:p>
            <w:pPr>
              <w:pStyle w:val="104"/>
              <w:spacing w:line="360" w:lineRule="auto"/>
              <w:rPr>
                <w:rFonts w:ascii="Times New Roman" w:cs="Times New Roman"/>
                <w:color w:val="auto"/>
              </w:rPr>
            </w:pPr>
            <w:r>
              <w:rPr>
                <w:rFonts w:ascii="Times New Roman" w:cs="Times New Roman"/>
                <w:b/>
                <w:color w:val="auto"/>
              </w:rPr>
              <w:t>六、主要生产设备</w:t>
            </w:r>
          </w:p>
          <w:p>
            <w:pPr>
              <w:spacing w:line="360" w:lineRule="auto"/>
              <w:ind w:firstLine="480" w:firstLineChars="200"/>
              <w:rPr>
                <w:color w:val="auto"/>
                <w:sz w:val="24"/>
              </w:rPr>
            </w:pPr>
            <w:r>
              <w:rPr>
                <w:rFonts w:hint="eastAsia"/>
                <w:color w:val="auto"/>
                <w:sz w:val="24"/>
              </w:rPr>
              <w:t>本项目主要生产设备及生产设施见表12。</w:t>
            </w:r>
          </w:p>
          <w:p>
            <w:pPr>
              <w:jc w:val="center"/>
              <w:rPr>
                <w:b/>
                <w:color w:val="auto"/>
              </w:rPr>
            </w:pPr>
            <w:r>
              <w:rPr>
                <w:rFonts w:hAnsi="宋体"/>
                <w:b/>
                <w:color w:val="auto"/>
              </w:rPr>
              <w:t>表</w:t>
            </w:r>
            <w:r>
              <w:rPr>
                <w:rFonts w:hint="eastAsia" w:hAnsi="宋体"/>
                <w:b/>
                <w:color w:val="auto"/>
              </w:rPr>
              <w:t>12</w:t>
            </w:r>
            <w:r>
              <w:rPr>
                <w:b/>
                <w:color w:val="auto"/>
              </w:rPr>
              <w:t xml:space="preserve">    </w:t>
            </w:r>
            <w:r>
              <w:rPr>
                <w:rFonts w:hint="eastAsia" w:hAnsi="宋体"/>
                <w:b/>
                <w:color w:val="auto"/>
              </w:rPr>
              <w:t>项目生产设备及生产设施</w:t>
            </w:r>
          </w:p>
          <w:tbl>
            <w:tblPr>
              <w:tblStyle w:val="24"/>
              <w:tblW w:w="89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74"/>
              <w:gridCol w:w="131"/>
              <w:gridCol w:w="2525"/>
              <w:gridCol w:w="18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序号</w:t>
                  </w:r>
                </w:p>
              </w:tc>
              <w:tc>
                <w:tcPr>
                  <w:tcW w:w="2674" w:type="dxa"/>
                  <w:vAlign w:val="center"/>
                </w:tcPr>
                <w:p>
                  <w:pPr>
                    <w:jc w:val="center"/>
                    <w:rPr>
                      <w:color w:val="auto"/>
                      <w:szCs w:val="21"/>
                    </w:rPr>
                  </w:pPr>
                  <w:r>
                    <w:rPr>
                      <w:color w:val="auto"/>
                      <w:szCs w:val="21"/>
                    </w:rPr>
                    <w:t>设备名称</w:t>
                  </w:r>
                </w:p>
              </w:tc>
              <w:tc>
                <w:tcPr>
                  <w:tcW w:w="2656" w:type="dxa"/>
                  <w:gridSpan w:val="2"/>
                  <w:vAlign w:val="center"/>
                </w:tcPr>
                <w:p>
                  <w:pPr>
                    <w:jc w:val="center"/>
                    <w:rPr>
                      <w:color w:val="auto"/>
                      <w:szCs w:val="21"/>
                    </w:rPr>
                  </w:pPr>
                  <w:r>
                    <w:rPr>
                      <w:color w:val="auto"/>
                      <w:szCs w:val="21"/>
                    </w:rPr>
                    <w:t>型号/技术指标</w:t>
                  </w:r>
                </w:p>
              </w:tc>
              <w:tc>
                <w:tcPr>
                  <w:tcW w:w="1873" w:type="dxa"/>
                  <w:vAlign w:val="center"/>
                </w:tcPr>
                <w:p>
                  <w:pPr>
                    <w:jc w:val="center"/>
                    <w:rPr>
                      <w:color w:val="auto"/>
                      <w:szCs w:val="21"/>
                    </w:rPr>
                  </w:pPr>
                  <w:r>
                    <w:rPr>
                      <w:color w:val="auto"/>
                      <w:szCs w:val="21"/>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04" w:type="dxa"/>
                  <w:gridSpan w:val="5"/>
                  <w:vAlign w:val="center"/>
                </w:tcPr>
                <w:p>
                  <w:pPr>
                    <w:jc w:val="center"/>
                    <w:rPr>
                      <w:color w:val="auto"/>
                      <w:szCs w:val="21"/>
                    </w:rPr>
                  </w:pPr>
                  <w:r>
                    <w:rPr>
                      <w:color w:val="auto"/>
                      <w:szCs w:val="21"/>
                    </w:rPr>
                    <w:t>一、开采区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1</w:t>
                  </w:r>
                </w:p>
              </w:tc>
              <w:tc>
                <w:tcPr>
                  <w:tcW w:w="2674" w:type="dxa"/>
                  <w:vAlign w:val="center"/>
                </w:tcPr>
                <w:p>
                  <w:pPr>
                    <w:jc w:val="center"/>
                    <w:rPr>
                      <w:color w:val="auto"/>
                      <w:szCs w:val="21"/>
                    </w:rPr>
                  </w:pPr>
                  <w:r>
                    <w:rPr>
                      <w:color w:val="auto"/>
                      <w:szCs w:val="21"/>
                    </w:rPr>
                    <w:t>挖掘机</w:t>
                  </w:r>
                </w:p>
              </w:tc>
              <w:tc>
                <w:tcPr>
                  <w:tcW w:w="2656" w:type="dxa"/>
                  <w:gridSpan w:val="2"/>
                  <w:vAlign w:val="center"/>
                </w:tcPr>
                <w:p>
                  <w:pPr>
                    <w:jc w:val="center"/>
                    <w:rPr>
                      <w:color w:val="auto"/>
                      <w:szCs w:val="21"/>
                    </w:rPr>
                  </w:pPr>
                  <w:r>
                    <w:rPr>
                      <w:color w:val="auto"/>
                      <w:szCs w:val="21"/>
                    </w:rPr>
                    <w:t>/</w:t>
                  </w:r>
                </w:p>
              </w:tc>
              <w:tc>
                <w:tcPr>
                  <w:tcW w:w="1873" w:type="dxa"/>
                  <w:vAlign w:val="center"/>
                </w:tcPr>
                <w:p>
                  <w:pPr>
                    <w:jc w:val="center"/>
                    <w:rPr>
                      <w:color w:val="auto"/>
                      <w:szCs w:val="21"/>
                    </w:rPr>
                  </w:pPr>
                  <w:r>
                    <w:rPr>
                      <w:color w:val="auto"/>
                      <w:szCs w:val="21"/>
                    </w:rPr>
                    <w:t>2台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2</w:t>
                  </w:r>
                </w:p>
              </w:tc>
              <w:tc>
                <w:tcPr>
                  <w:tcW w:w="2674" w:type="dxa"/>
                  <w:vAlign w:val="center"/>
                </w:tcPr>
                <w:p>
                  <w:pPr>
                    <w:jc w:val="center"/>
                    <w:rPr>
                      <w:color w:val="auto"/>
                      <w:szCs w:val="21"/>
                    </w:rPr>
                  </w:pPr>
                  <w:r>
                    <w:rPr>
                      <w:color w:val="auto"/>
                      <w:szCs w:val="21"/>
                    </w:rPr>
                    <w:t>推土机</w:t>
                  </w:r>
                </w:p>
              </w:tc>
              <w:tc>
                <w:tcPr>
                  <w:tcW w:w="2656" w:type="dxa"/>
                  <w:gridSpan w:val="2"/>
                  <w:vAlign w:val="center"/>
                </w:tcPr>
                <w:p>
                  <w:pPr>
                    <w:jc w:val="center"/>
                    <w:rPr>
                      <w:color w:val="auto"/>
                      <w:szCs w:val="21"/>
                    </w:rPr>
                  </w:pPr>
                  <w:r>
                    <w:rPr>
                      <w:color w:val="auto"/>
                      <w:szCs w:val="21"/>
                    </w:rPr>
                    <w:t>/</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3</w:t>
                  </w:r>
                </w:p>
              </w:tc>
              <w:tc>
                <w:tcPr>
                  <w:tcW w:w="2674" w:type="dxa"/>
                  <w:vAlign w:val="center"/>
                </w:tcPr>
                <w:p>
                  <w:pPr>
                    <w:jc w:val="center"/>
                    <w:rPr>
                      <w:color w:val="auto"/>
                      <w:szCs w:val="21"/>
                    </w:rPr>
                  </w:pPr>
                  <w:r>
                    <w:rPr>
                      <w:color w:val="auto"/>
                      <w:szCs w:val="21"/>
                    </w:rPr>
                    <w:t>装载机</w:t>
                  </w:r>
                </w:p>
              </w:tc>
              <w:tc>
                <w:tcPr>
                  <w:tcW w:w="2656" w:type="dxa"/>
                  <w:gridSpan w:val="2"/>
                  <w:vAlign w:val="center"/>
                </w:tcPr>
                <w:p>
                  <w:pPr>
                    <w:jc w:val="center"/>
                    <w:rPr>
                      <w:color w:val="auto"/>
                      <w:szCs w:val="21"/>
                    </w:rPr>
                  </w:pPr>
                  <w:r>
                    <w:rPr>
                      <w:color w:val="auto"/>
                      <w:szCs w:val="21"/>
                    </w:rPr>
                    <w:t>/</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4</w:t>
                  </w:r>
                </w:p>
              </w:tc>
              <w:tc>
                <w:tcPr>
                  <w:tcW w:w="2674" w:type="dxa"/>
                  <w:vAlign w:val="center"/>
                </w:tcPr>
                <w:p>
                  <w:pPr>
                    <w:jc w:val="center"/>
                    <w:rPr>
                      <w:color w:val="auto"/>
                      <w:szCs w:val="21"/>
                    </w:rPr>
                  </w:pPr>
                  <w:r>
                    <w:rPr>
                      <w:color w:val="auto"/>
                      <w:szCs w:val="21"/>
                    </w:rPr>
                    <w:t>矿用三轮车</w:t>
                  </w:r>
                </w:p>
              </w:tc>
              <w:tc>
                <w:tcPr>
                  <w:tcW w:w="2656" w:type="dxa"/>
                  <w:gridSpan w:val="2"/>
                  <w:vAlign w:val="center"/>
                </w:tcPr>
                <w:p>
                  <w:pPr>
                    <w:jc w:val="center"/>
                    <w:rPr>
                      <w:color w:val="auto"/>
                      <w:szCs w:val="21"/>
                    </w:rPr>
                  </w:pPr>
                  <w:r>
                    <w:rPr>
                      <w:color w:val="auto"/>
                      <w:szCs w:val="21"/>
                    </w:rPr>
                    <w:t>5t</w:t>
                  </w:r>
                </w:p>
              </w:tc>
              <w:tc>
                <w:tcPr>
                  <w:tcW w:w="1873" w:type="dxa"/>
                  <w:vAlign w:val="center"/>
                </w:tcPr>
                <w:p>
                  <w:pPr>
                    <w:jc w:val="center"/>
                    <w:rPr>
                      <w:color w:val="auto"/>
                      <w:szCs w:val="21"/>
                    </w:rPr>
                  </w:pPr>
                  <w:r>
                    <w:rPr>
                      <w:color w:val="auto"/>
                      <w:szCs w:val="21"/>
                    </w:rPr>
                    <w:t>2台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04" w:type="dxa"/>
                  <w:gridSpan w:val="5"/>
                  <w:vAlign w:val="center"/>
                </w:tcPr>
                <w:p>
                  <w:pPr>
                    <w:jc w:val="center"/>
                    <w:rPr>
                      <w:color w:val="auto"/>
                      <w:szCs w:val="21"/>
                    </w:rPr>
                  </w:pPr>
                  <w:r>
                    <w:rPr>
                      <w:color w:val="auto"/>
                      <w:szCs w:val="21"/>
                    </w:rPr>
                    <w:t>二、生产区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04" w:type="dxa"/>
                  <w:gridSpan w:val="5"/>
                  <w:vAlign w:val="center"/>
                </w:tcPr>
                <w:p>
                  <w:pPr>
                    <w:jc w:val="left"/>
                    <w:rPr>
                      <w:color w:val="auto"/>
                      <w:szCs w:val="21"/>
                    </w:rPr>
                  </w:pPr>
                  <w:r>
                    <w:rPr>
                      <w:color w:val="auto"/>
                      <w:szCs w:val="21"/>
                    </w:rPr>
                    <w:t>一、原料制备工段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1</w:t>
                  </w:r>
                </w:p>
              </w:tc>
              <w:tc>
                <w:tcPr>
                  <w:tcW w:w="2805" w:type="dxa"/>
                  <w:gridSpan w:val="2"/>
                  <w:vAlign w:val="center"/>
                </w:tcPr>
                <w:p>
                  <w:pPr>
                    <w:jc w:val="center"/>
                    <w:rPr>
                      <w:color w:val="auto"/>
                      <w:szCs w:val="21"/>
                    </w:rPr>
                  </w:pPr>
                  <w:r>
                    <w:rPr>
                      <w:color w:val="auto"/>
                      <w:szCs w:val="21"/>
                    </w:rPr>
                    <w:t>全自动精确配料机</w:t>
                  </w:r>
                </w:p>
              </w:tc>
              <w:tc>
                <w:tcPr>
                  <w:tcW w:w="2525" w:type="dxa"/>
                  <w:vAlign w:val="center"/>
                </w:tcPr>
                <w:p>
                  <w:pPr>
                    <w:jc w:val="center"/>
                    <w:rPr>
                      <w:color w:val="auto"/>
                      <w:szCs w:val="21"/>
                    </w:rPr>
                  </w:pPr>
                  <w:r>
                    <w:rPr>
                      <w:color w:val="auto"/>
                      <w:szCs w:val="21"/>
                    </w:rPr>
                    <w:t>PZW1G</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2</w:t>
                  </w:r>
                </w:p>
              </w:tc>
              <w:tc>
                <w:tcPr>
                  <w:tcW w:w="2805" w:type="dxa"/>
                  <w:gridSpan w:val="2"/>
                  <w:vAlign w:val="center"/>
                </w:tcPr>
                <w:p>
                  <w:pPr>
                    <w:jc w:val="center"/>
                    <w:rPr>
                      <w:color w:val="auto"/>
                      <w:szCs w:val="21"/>
                    </w:rPr>
                  </w:pPr>
                  <w:r>
                    <w:rPr>
                      <w:color w:val="auto"/>
                      <w:szCs w:val="21"/>
                    </w:rPr>
                    <w:t>板式给料机</w:t>
                  </w:r>
                </w:p>
              </w:tc>
              <w:tc>
                <w:tcPr>
                  <w:tcW w:w="2525" w:type="dxa"/>
                  <w:vAlign w:val="center"/>
                </w:tcPr>
                <w:p>
                  <w:pPr>
                    <w:jc w:val="center"/>
                    <w:rPr>
                      <w:color w:val="auto"/>
                      <w:szCs w:val="21"/>
                    </w:rPr>
                  </w:pPr>
                  <w:r>
                    <w:rPr>
                      <w:color w:val="auto"/>
                      <w:szCs w:val="21"/>
                    </w:rPr>
                    <w:t>800X4500</w:t>
                  </w:r>
                </w:p>
              </w:tc>
              <w:tc>
                <w:tcPr>
                  <w:tcW w:w="1873" w:type="dxa"/>
                  <w:vAlign w:val="center"/>
                </w:tcPr>
                <w:p>
                  <w:pPr>
                    <w:jc w:val="center"/>
                    <w:rPr>
                      <w:color w:val="auto"/>
                      <w:szCs w:val="21"/>
                    </w:rPr>
                  </w:pPr>
                  <w:r>
                    <w:rPr>
                      <w:color w:val="auto"/>
                      <w:szCs w:val="21"/>
                    </w:rPr>
                    <w:t>2台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3</w:t>
                  </w:r>
                </w:p>
              </w:tc>
              <w:tc>
                <w:tcPr>
                  <w:tcW w:w="2805" w:type="dxa"/>
                  <w:gridSpan w:val="2"/>
                  <w:vAlign w:val="center"/>
                </w:tcPr>
                <w:p>
                  <w:pPr>
                    <w:jc w:val="center"/>
                    <w:rPr>
                      <w:color w:val="auto"/>
                      <w:szCs w:val="21"/>
                    </w:rPr>
                  </w:pPr>
                  <w:r>
                    <w:rPr>
                      <w:color w:val="auto"/>
                      <w:szCs w:val="21"/>
                    </w:rPr>
                    <w:t>悬挂式永磁除铁器</w:t>
                  </w:r>
                </w:p>
              </w:tc>
              <w:tc>
                <w:tcPr>
                  <w:tcW w:w="2525" w:type="dxa"/>
                  <w:vAlign w:val="center"/>
                </w:tcPr>
                <w:p>
                  <w:pPr>
                    <w:jc w:val="center"/>
                    <w:rPr>
                      <w:color w:val="auto"/>
                      <w:szCs w:val="21"/>
                    </w:rPr>
                  </w:pPr>
                  <w:r>
                    <w:rPr>
                      <w:color w:val="auto"/>
                      <w:szCs w:val="21"/>
                    </w:rPr>
                    <w:t>YC-800B</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4</w:t>
                  </w:r>
                </w:p>
              </w:tc>
              <w:tc>
                <w:tcPr>
                  <w:tcW w:w="2805" w:type="dxa"/>
                  <w:gridSpan w:val="2"/>
                  <w:vAlign w:val="center"/>
                </w:tcPr>
                <w:p>
                  <w:pPr>
                    <w:jc w:val="center"/>
                    <w:rPr>
                      <w:color w:val="auto"/>
                      <w:szCs w:val="21"/>
                    </w:rPr>
                  </w:pPr>
                  <w:r>
                    <w:rPr>
                      <w:color w:val="auto"/>
                      <w:szCs w:val="21"/>
                    </w:rPr>
                    <w:t>双转子锤式破碎机</w:t>
                  </w:r>
                </w:p>
              </w:tc>
              <w:tc>
                <w:tcPr>
                  <w:tcW w:w="2525" w:type="dxa"/>
                  <w:vAlign w:val="center"/>
                </w:tcPr>
                <w:p>
                  <w:pPr>
                    <w:jc w:val="center"/>
                    <w:rPr>
                      <w:color w:val="auto"/>
                      <w:szCs w:val="21"/>
                    </w:rPr>
                  </w:pPr>
                  <w:r>
                    <w:rPr>
                      <w:color w:val="auto"/>
                      <w:szCs w:val="21"/>
                    </w:rPr>
                    <w:t>Ø1400x1200</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5</w:t>
                  </w:r>
                </w:p>
              </w:tc>
              <w:tc>
                <w:tcPr>
                  <w:tcW w:w="2805" w:type="dxa"/>
                  <w:gridSpan w:val="2"/>
                  <w:vAlign w:val="center"/>
                </w:tcPr>
                <w:p>
                  <w:pPr>
                    <w:jc w:val="center"/>
                    <w:rPr>
                      <w:color w:val="auto"/>
                      <w:szCs w:val="21"/>
                    </w:rPr>
                  </w:pPr>
                  <w:r>
                    <w:rPr>
                      <w:color w:val="auto"/>
                      <w:szCs w:val="21"/>
                    </w:rPr>
                    <w:t>滚筒筛</w:t>
                  </w:r>
                </w:p>
              </w:tc>
              <w:tc>
                <w:tcPr>
                  <w:tcW w:w="2525" w:type="dxa"/>
                  <w:vAlign w:val="center"/>
                </w:tcPr>
                <w:p>
                  <w:pPr>
                    <w:jc w:val="center"/>
                    <w:rPr>
                      <w:color w:val="auto"/>
                      <w:szCs w:val="21"/>
                    </w:rPr>
                  </w:pPr>
                  <w:r>
                    <w:rPr>
                      <w:color w:val="auto"/>
                      <w:szCs w:val="21"/>
                    </w:rPr>
                    <w:t>Ø2200x6000</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6</w:t>
                  </w:r>
                </w:p>
              </w:tc>
              <w:tc>
                <w:tcPr>
                  <w:tcW w:w="2805" w:type="dxa"/>
                  <w:gridSpan w:val="2"/>
                  <w:vAlign w:val="center"/>
                </w:tcPr>
                <w:p>
                  <w:pPr>
                    <w:jc w:val="center"/>
                    <w:rPr>
                      <w:color w:val="auto"/>
                      <w:szCs w:val="21"/>
                    </w:rPr>
                  </w:pPr>
                  <w:r>
                    <w:rPr>
                      <w:color w:val="auto"/>
                      <w:szCs w:val="21"/>
                    </w:rPr>
                    <w:t xml:space="preserve">高速细碎对辊机 </w:t>
                  </w:r>
                </w:p>
              </w:tc>
              <w:tc>
                <w:tcPr>
                  <w:tcW w:w="2525" w:type="dxa"/>
                  <w:vAlign w:val="center"/>
                </w:tcPr>
                <w:p>
                  <w:pPr>
                    <w:jc w:val="center"/>
                    <w:rPr>
                      <w:color w:val="auto"/>
                      <w:szCs w:val="21"/>
                    </w:rPr>
                  </w:pPr>
                  <w:r>
                    <w:rPr>
                      <w:color w:val="auto"/>
                      <w:szCs w:val="21"/>
                    </w:rPr>
                    <w:t>TWRM-1200X1000</w:t>
                  </w:r>
                </w:p>
              </w:tc>
              <w:tc>
                <w:tcPr>
                  <w:tcW w:w="1873" w:type="dxa"/>
                  <w:vAlign w:val="center"/>
                </w:tcPr>
                <w:p>
                  <w:pPr>
                    <w:jc w:val="center"/>
                    <w:rPr>
                      <w:color w:val="auto"/>
                      <w:szCs w:val="21"/>
                    </w:rPr>
                  </w:pPr>
                  <w:r>
                    <w:rPr>
                      <w:color w:val="auto"/>
                      <w:szCs w:val="21"/>
                    </w:rPr>
                    <w:t>3台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7</w:t>
                  </w:r>
                </w:p>
              </w:tc>
              <w:tc>
                <w:tcPr>
                  <w:tcW w:w="2805" w:type="dxa"/>
                  <w:gridSpan w:val="2"/>
                  <w:vAlign w:val="center"/>
                </w:tcPr>
                <w:p>
                  <w:pPr>
                    <w:jc w:val="center"/>
                    <w:rPr>
                      <w:color w:val="auto"/>
                      <w:szCs w:val="21"/>
                    </w:rPr>
                  </w:pPr>
                  <w:r>
                    <w:rPr>
                      <w:color w:val="auto"/>
                      <w:szCs w:val="21"/>
                    </w:rPr>
                    <w:t>摊平布料器</w:t>
                  </w:r>
                </w:p>
              </w:tc>
              <w:tc>
                <w:tcPr>
                  <w:tcW w:w="2525" w:type="dxa"/>
                  <w:vAlign w:val="center"/>
                </w:tcPr>
                <w:p>
                  <w:pPr>
                    <w:jc w:val="center"/>
                    <w:rPr>
                      <w:color w:val="auto"/>
                      <w:szCs w:val="21"/>
                    </w:rPr>
                  </w:pPr>
                  <w:r>
                    <w:rPr>
                      <w:color w:val="auto"/>
                      <w:szCs w:val="21"/>
                    </w:rPr>
                    <w:t>/</w:t>
                  </w:r>
                </w:p>
              </w:tc>
              <w:tc>
                <w:tcPr>
                  <w:tcW w:w="1873" w:type="dxa"/>
                  <w:vAlign w:val="center"/>
                </w:tcPr>
                <w:p>
                  <w:pPr>
                    <w:jc w:val="center"/>
                    <w:rPr>
                      <w:color w:val="auto"/>
                      <w:szCs w:val="21"/>
                    </w:rPr>
                  </w:pPr>
                  <w:r>
                    <w:rPr>
                      <w:color w:val="auto"/>
                      <w:szCs w:val="21"/>
                    </w:rPr>
                    <w:t>3台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8</w:t>
                  </w:r>
                </w:p>
              </w:tc>
              <w:tc>
                <w:tcPr>
                  <w:tcW w:w="2805" w:type="dxa"/>
                  <w:gridSpan w:val="2"/>
                  <w:vAlign w:val="center"/>
                </w:tcPr>
                <w:p>
                  <w:pPr>
                    <w:jc w:val="center"/>
                    <w:rPr>
                      <w:color w:val="auto"/>
                      <w:szCs w:val="21"/>
                    </w:rPr>
                  </w:pPr>
                  <w:r>
                    <w:rPr>
                      <w:color w:val="auto"/>
                      <w:szCs w:val="21"/>
                    </w:rPr>
                    <w:t>双轴搅拌机</w:t>
                  </w:r>
                </w:p>
              </w:tc>
              <w:tc>
                <w:tcPr>
                  <w:tcW w:w="2525" w:type="dxa"/>
                  <w:vAlign w:val="center"/>
                </w:tcPr>
                <w:p>
                  <w:pPr>
                    <w:jc w:val="center"/>
                    <w:rPr>
                      <w:color w:val="auto"/>
                      <w:szCs w:val="21"/>
                    </w:rPr>
                  </w:pPr>
                  <w:r>
                    <w:rPr>
                      <w:color w:val="auto"/>
                      <w:szCs w:val="21"/>
                    </w:rPr>
                    <w:t>SJ4000X500</w:t>
                  </w:r>
                </w:p>
              </w:tc>
              <w:tc>
                <w:tcPr>
                  <w:tcW w:w="1873" w:type="dxa"/>
                  <w:vAlign w:val="center"/>
                </w:tcPr>
                <w:p>
                  <w:pPr>
                    <w:jc w:val="center"/>
                    <w:rPr>
                      <w:color w:val="auto"/>
                      <w:szCs w:val="21"/>
                    </w:rPr>
                  </w:pPr>
                  <w:r>
                    <w:rPr>
                      <w:color w:val="auto"/>
                      <w:szCs w:val="21"/>
                    </w:rPr>
                    <w:t>3台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04" w:type="dxa"/>
                  <w:gridSpan w:val="5"/>
                  <w:vAlign w:val="center"/>
                </w:tcPr>
                <w:p>
                  <w:pPr>
                    <w:jc w:val="left"/>
                    <w:rPr>
                      <w:color w:val="auto"/>
                      <w:szCs w:val="21"/>
                    </w:rPr>
                  </w:pPr>
                  <w:r>
                    <w:rPr>
                      <w:color w:val="auto"/>
                      <w:szCs w:val="21"/>
                    </w:rPr>
                    <w:t>二、陈化工段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9</w:t>
                  </w:r>
                </w:p>
              </w:tc>
              <w:tc>
                <w:tcPr>
                  <w:tcW w:w="2805" w:type="dxa"/>
                  <w:gridSpan w:val="2"/>
                  <w:vAlign w:val="center"/>
                </w:tcPr>
                <w:p>
                  <w:pPr>
                    <w:jc w:val="center"/>
                    <w:rPr>
                      <w:color w:val="auto"/>
                      <w:szCs w:val="21"/>
                    </w:rPr>
                  </w:pPr>
                  <w:r>
                    <w:rPr>
                      <w:color w:val="auto"/>
                      <w:szCs w:val="21"/>
                    </w:rPr>
                    <w:t>侧式料库可逆移动布料皮带机</w:t>
                  </w:r>
                </w:p>
              </w:tc>
              <w:tc>
                <w:tcPr>
                  <w:tcW w:w="2525" w:type="dxa"/>
                  <w:vAlign w:val="center"/>
                </w:tcPr>
                <w:p>
                  <w:pPr>
                    <w:jc w:val="center"/>
                    <w:rPr>
                      <w:color w:val="auto"/>
                      <w:szCs w:val="21"/>
                    </w:rPr>
                  </w:pPr>
                  <w:r>
                    <w:rPr>
                      <w:color w:val="auto"/>
                      <w:szCs w:val="21"/>
                    </w:rPr>
                    <w:t>B800/L49000mm</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10</w:t>
                  </w:r>
                </w:p>
              </w:tc>
              <w:tc>
                <w:tcPr>
                  <w:tcW w:w="2805" w:type="dxa"/>
                  <w:gridSpan w:val="2"/>
                  <w:vAlign w:val="center"/>
                </w:tcPr>
                <w:p>
                  <w:pPr>
                    <w:jc w:val="center"/>
                    <w:rPr>
                      <w:color w:val="auto"/>
                      <w:szCs w:val="21"/>
                    </w:rPr>
                  </w:pPr>
                  <w:r>
                    <w:rPr>
                      <w:color w:val="auto"/>
                      <w:szCs w:val="21"/>
                    </w:rPr>
                    <w:t>多斗挖掘机</w:t>
                  </w:r>
                </w:p>
              </w:tc>
              <w:tc>
                <w:tcPr>
                  <w:tcW w:w="2525" w:type="dxa"/>
                  <w:vAlign w:val="center"/>
                </w:tcPr>
                <w:p>
                  <w:pPr>
                    <w:jc w:val="center"/>
                    <w:rPr>
                      <w:color w:val="auto"/>
                      <w:szCs w:val="21"/>
                    </w:rPr>
                  </w:pPr>
                  <w:r>
                    <w:rPr>
                      <w:color w:val="auto"/>
                      <w:szCs w:val="21"/>
                    </w:rPr>
                    <w:t>/</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04" w:type="dxa"/>
                  <w:gridSpan w:val="5"/>
                  <w:vAlign w:val="center"/>
                </w:tcPr>
                <w:p>
                  <w:pPr>
                    <w:rPr>
                      <w:color w:val="auto"/>
                      <w:szCs w:val="21"/>
                    </w:rPr>
                  </w:pPr>
                  <w:r>
                    <w:rPr>
                      <w:color w:val="auto"/>
                      <w:szCs w:val="21"/>
                    </w:rPr>
                    <w:t>三、成型工段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11</w:t>
                  </w:r>
                </w:p>
              </w:tc>
              <w:tc>
                <w:tcPr>
                  <w:tcW w:w="2805" w:type="dxa"/>
                  <w:gridSpan w:val="2"/>
                  <w:vAlign w:val="center"/>
                </w:tcPr>
                <w:p>
                  <w:pPr>
                    <w:jc w:val="center"/>
                    <w:rPr>
                      <w:color w:val="auto"/>
                      <w:szCs w:val="21"/>
                    </w:rPr>
                  </w:pPr>
                  <w:r>
                    <w:rPr>
                      <w:color w:val="auto"/>
                      <w:szCs w:val="21"/>
                    </w:rPr>
                    <w:t>箱式给料机</w:t>
                  </w:r>
                </w:p>
              </w:tc>
              <w:tc>
                <w:tcPr>
                  <w:tcW w:w="2525" w:type="dxa"/>
                  <w:vAlign w:val="center"/>
                </w:tcPr>
                <w:p>
                  <w:pPr>
                    <w:jc w:val="center"/>
                    <w:rPr>
                      <w:color w:val="auto"/>
                      <w:szCs w:val="21"/>
                    </w:rPr>
                  </w:pPr>
                  <w:r>
                    <w:rPr>
                      <w:color w:val="auto"/>
                      <w:szCs w:val="21"/>
                    </w:rPr>
                    <w:t>XGD800X8000</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12</w:t>
                  </w:r>
                </w:p>
              </w:tc>
              <w:tc>
                <w:tcPr>
                  <w:tcW w:w="2805" w:type="dxa"/>
                  <w:gridSpan w:val="2"/>
                  <w:vAlign w:val="center"/>
                </w:tcPr>
                <w:p>
                  <w:pPr>
                    <w:jc w:val="center"/>
                    <w:rPr>
                      <w:color w:val="auto"/>
                      <w:szCs w:val="21"/>
                    </w:rPr>
                  </w:pPr>
                  <w:r>
                    <w:rPr>
                      <w:color w:val="auto"/>
                      <w:szCs w:val="21"/>
                    </w:rPr>
                    <w:t>悬挂式永磁除铁器</w:t>
                  </w:r>
                </w:p>
              </w:tc>
              <w:tc>
                <w:tcPr>
                  <w:tcW w:w="2525" w:type="dxa"/>
                  <w:vAlign w:val="center"/>
                </w:tcPr>
                <w:p>
                  <w:pPr>
                    <w:jc w:val="center"/>
                    <w:rPr>
                      <w:color w:val="auto"/>
                      <w:szCs w:val="21"/>
                    </w:rPr>
                  </w:pPr>
                  <w:r>
                    <w:rPr>
                      <w:color w:val="auto"/>
                      <w:szCs w:val="21"/>
                    </w:rPr>
                    <w:t>YC-800B</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13</w:t>
                  </w:r>
                </w:p>
              </w:tc>
              <w:tc>
                <w:tcPr>
                  <w:tcW w:w="2805" w:type="dxa"/>
                  <w:gridSpan w:val="2"/>
                  <w:vAlign w:val="center"/>
                </w:tcPr>
                <w:p>
                  <w:pPr>
                    <w:jc w:val="center"/>
                    <w:rPr>
                      <w:color w:val="auto"/>
                      <w:szCs w:val="21"/>
                    </w:rPr>
                  </w:pPr>
                  <w:r>
                    <w:rPr>
                      <w:color w:val="auto"/>
                      <w:szCs w:val="21"/>
                    </w:rPr>
                    <w:t xml:space="preserve">高速细碎对辊机 </w:t>
                  </w:r>
                </w:p>
              </w:tc>
              <w:tc>
                <w:tcPr>
                  <w:tcW w:w="2525" w:type="dxa"/>
                  <w:vAlign w:val="center"/>
                </w:tcPr>
                <w:p>
                  <w:pPr>
                    <w:jc w:val="center"/>
                    <w:rPr>
                      <w:color w:val="auto"/>
                      <w:szCs w:val="21"/>
                    </w:rPr>
                  </w:pPr>
                  <w:r>
                    <w:rPr>
                      <w:color w:val="auto"/>
                      <w:szCs w:val="21"/>
                    </w:rPr>
                    <w:t>TWRM-1200X1000</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14</w:t>
                  </w:r>
                </w:p>
              </w:tc>
              <w:tc>
                <w:tcPr>
                  <w:tcW w:w="2805" w:type="dxa"/>
                  <w:gridSpan w:val="2"/>
                  <w:vAlign w:val="center"/>
                </w:tcPr>
                <w:p>
                  <w:pPr>
                    <w:jc w:val="center"/>
                    <w:rPr>
                      <w:color w:val="auto"/>
                      <w:szCs w:val="21"/>
                    </w:rPr>
                  </w:pPr>
                  <w:r>
                    <w:rPr>
                      <w:color w:val="auto"/>
                      <w:szCs w:val="21"/>
                    </w:rPr>
                    <w:t>摊平布料器</w:t>
                  </w:r>
                </w:p>
              </w:tc>
              <w:tc>
                <w:tcPr>
                  <w:tcW w:w="2525" w:type="dxa"/>
                  <w:vAlign w:val="center"/>
                </w:tcPr>
                <w:p>
                  <w:pPr>
                    <w:jc w:val="center"/>
                    <w:rPr>
                      <w:color w:val="auto"/>
                      <w:szCs w:val="21"/>
                    </w:rPr>
                  </w:pPr>
                  <w:r>
                    <w:rPr>
                      <w:color w:val="auto"/>
                      <w:szCs w:val="21"/>
                    </w:rPr>
                    <w:t>　</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15</w:t>
                  </w:r>
                </w:p>
              </w:tc>
              <w:tc>
                <w:tcPr>
                  <w:tcW w:w="2805" w:type="dxa"/>
                  <w:gridSpan w:val="2"/>
                  <w:vAlign w:val="center"/>
                </w:tcPr>
                <w:p>
                  <w:pPr>
                    <w:jc w:val="center"/>
                    <w:rPr>
                      <w:color w:val="auto"/>
                      <w:szCs w:val="21"/>
                    </w:rPr>
                  </w:pPr>
                  <w:r>
                    <w:rPr>
                      <w:color w:val="auto"/>
                      <w:szCs w:val="21"/>
                    </w:rPr>
                    <w:t>搅拌挤出机</w:t>
                  </w:r>
                </w:p>
              </w:tc>
              <w:tc>
                <w:tcPr>
                  <w:tcW w:w="2525" w:type="dxa"/>
                  <w:vAlign w:val="center"/>
                </w:tcPr>
                <w:p>
                  <w:pPr>
                    <w:jc w:val="center"/>
                    <w:rPr>
                      <w:color w:val="auto"/>
                      <w:szCs w:val="21"/>
                    </w:rPr>
                  </w:pPr>
                  <w:r>
                    <w:rPr>
                      <w:color w:val="auto"/>
                      <w:szCs w:val="21"/>
                    </w:rPr>
                    <w:t>SJJ4000X500</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16</w:t>
                  </w:r>
                </w:p>
              </w:tc>
              <w:tc>
                <w:tcPr>
                  <w:tcW w:w="2805" w:type="dxa"/>
                  <w:gridSpan w:val="2"/>
                  <w:vAlign w:val="center"/>
                </w:tcPr>
                <w:p>
                  <w:pPr>
                    <w:jc w:val="center"/>
                    <w:rPr>
                      <w:color w:val="auto"/>
                      <w:szCs w:val="21"/>
                    </w:rPr>
                  </w:pPr>
                  <w:r>
                    <w:rPr>
                      <w:color w:val="auto"/>
                      <w:szCs w:val="21"/>
                    </w:rPr>
                    <w:t>双级真空挤出机</w:t>
                  </w:r>
                </w:p>
              </w:tc>
              <w:tc>
                <w:tcPr>
                  <w:tcW w:w="2525" w:type="dxa"/>
                  <w:vAlign w:val="center"/>
                </w:tcPr>
                <w:p>
                  <w:pPr>
                    <w:jc w:val="center"/>
                    <w:rPr>
                      <w:color w:val="auto"/>
                      <w:szCs w:val="21"/>
                    </w:rPr>
                  </w:pPr>
                  <w:r>
                    <w:rPr>
                      <w:color w:val="auto"/>
                      <w:szCs w:val="21"/>
                    </w:rPr>
                    <w:t>EV75A</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17</w:t>
                  </w:r>
                </w:p>
              </w:tc>
              <w:tc>
                <w:tcPr>
                  <w:tcW w:w="2805" w:type="dxa"/>
                  <w:gridSpan w:val="2"/>
                  <w:vAlign w:val="center"/>
                </w:tcPr>
                <w:p>
                  <w:pPr>
                    <w:jc w:val="center"/>
                    <w:rPr>
                      <w:color w:val="auto"/>
                      <w:szCs w:val="21"/>
                    </w:rPr>
                  </w:pPr>
                  <w:r>
                    <w:rPr>
                      <w:color w:val="auto"/>
                      <w:szCs w:val="21"/>
                    </w:rPr>
                    <w:t>油环式真空泵</w:t>
                  </w:r>
                </w:p>
              </w:tc>
              <w:tc>
                <w:tcPr>
                  <w:tcW w:w="2525" w:type="dxa"/>
                  <w:vAlign w:val="center"/>
                </w:tcPr>
                <w:p>
                  <w:pPr>
                    <w:jc w:val="center"/>
                    <w:rPr>
                      <w:color w:val="auto"/>
                      <w:szCs w:val="21"/>
                    </w:rPr>
                  </w:pPr>
                  <w:r>
                    <w:rPr>
                      <w:color w:val="auto"/>
                      <w:szCs w:val="21"/>
                    </w:rPr>
                    <w:t>　</w:t>
                  </w:r>
                </w:p>
              </w:tc>
              <w:tc>
                <w:tcPr>
                  <w:tcW w:w="1873" w:type="dxa"/>
                  <w:vAlign w:val="center"/>
                </w:tcPr>
                <w:p>
                  <w:pPr>
                    <w:jc w:val="center"/>
                    <w:rPr>
                      <w:color w:val="auto"/>
                      <w:szCs w:val="21"/>
                    </w:rPr>
                  </w:pPr>
                  <w:r>
                    <w:rPr>
                      <w:color w:val="auto"/>
                      <w:szCs w:val="21"/>
                    </w:rPr>
                    <w:t>1套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18</w:t>
                  </w:r>
                </w:p>
              </w:tc>
              <w:tc>
                <w:tcPr>
                  <w:tcW w:w="2805" w:type="dxa"/>
                  <w:gridSpan w:val="2"/>
                  <w:vAlign w:val="center"/>
                </w:tcPr>
                <w:p>
                  <w:pPr>
                    <w:jc w:val="center"/>
                    <w:rPr>
                      <w:color w:val="auto"/>
                      <w:szCs w:val="21"/>
                    </w:rPr>
                  </w:pPr>
                  <w:r>
                    <w:rPr>
                      <w:color w:val="auto"/>
                      <w:szCs w:val="21"/>
                    </w:rPr>
                    <w:t>空压机</w:t>
                  </w:r>
                </w:p>
              </w:tc>
              <w:tc>
                <w:tcPr>
                  <w:tcW w:w="2525" w:type="dxa"/>
                  <w:vAlign w:val="center"/>
                </w:tcPr>
                <w:p>
                  <w:pPr>
                    <w:jc w:val="center"/>
                    <w:rPr>
                      <w:color w:val="auto"/>
                      <w:szCs w:val="21"/>
                    </w:rPr>
                  </w:pPr>
                  <w:r>
                    <w:rPr>
                      <w:color w:val="auto"/>
                      <w:szCs w:val="21"/>
                    </w:rPr>
                    <w:t>3.6立方/分钟</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04" w:type="dxa"/>
                  <w:gridSpan w:val="5"/>
                  <w:vAlign w:val="center"/>
                </w:tcPr>
                <w:p>
                  <w:pPr>
                    <w:rPr>
                      <w:color w:val="auto"/>
                      <w:szCs w:val="21"/>
                    </w:rPr>
                  </w:pPr>
                  <w:r>
                    <w:rPr>
                      <w:color w:val="auto"/>
                      <w:szCs w:val="21"/>
                    </w:rPr>
                    <w:t>四、自动切割系统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19</w:t>
                  </w:r>
                </w:p>
              </w:tc>
              <w:tc>
                <w:tcPr>
                  <w:tcW w:w="2805" w:type="dxa"/>
                  <w:gridSpan w:val="2"/>
                  <w:vAlign w:val="center"/>
                </w:tcPr>
                <w:p>
                  <w:pPr>
                    <w:jc w:val="center"/>
                    <w:rPr>
                      <w:color w:val="auto"/>
                      <w:szCs w:val="21"/>
                    </w:rPr>
                  </w:pPr>
                  <w:r>
                    <w:rPr>
                      <w:color w:val="auto"/>
                      <w:szCs w:val="21"/>
                    </w:rPr>
                    <w:t>泥条过渡带台1</w:t>
                  </w:r>
                </w:p>
              </w:tc>
              <w:tc>
                <w:tcPr>
                  <w:tcW w:w="2525" w:type="dxa"/>
                  <w:vAlign w:val="center"/>
                </w:tcPr>
                <w:p>
                  <w:pPr>
                    <w:jc w:val="center"/>
                    <w:rPr>
                      <w:color w:val="auto"/>
                      <w:szCs w:val="21"/>
                    </w:rPr>
                  </w:pPr>
                </w:p>
              </w:tc>
              <w:tc>
                <w:tcPr>
                  <w:tcW w:w="1873" w:type="dxa"/>
                  <w:vAlign w:val="center"/>
                </w:tcPr>
                <w:p>
                  <w:pPr>
                    <w:jc w:val="center"/>
                    <w:rPr>
                      <w:color w:val="auto"/>
                      <w:szCs w:val="21"/>
                    </w:rPr>
                  </w:pPr>
                  <w:r>
                    <w:rPr>
                      <w:color w:val="auto"/>
                      <w:szCs w:val="21"/>
                    </w:rPr>
                    <w:t>1台</w:t>
                  </w:r>
                </w:p>
              </w:tc>
            </w:tr>
            <w:tr>
              <w:tblPrEx>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20</w:t>
                  </w:r>
                </w:p>
              </w:tc>
              <w:tc>
                <w:tcPr>
                  <w:tcW w:w="2805" w:type="dxa"/>
                  <w:gridSpan w:val="2"/>
                  <w:vAlign w:val="center"/>
                </w:tcPr>
                <w:p>
                  <w:pPr>
                    <w:jc w:val="center"/>
                    <w:rPr>
                      <w:color w:val="auto"/>
                      <w:szCs w:val="21"/>
                    </w:rPr>
                  </w:pPr>
                  <w:r>
                    <w:rPr>
                      <w:color w:val="auto"/>
                      <w:szCs w:val="21"/>
                    </w:rPr>
                    <w:t>全自动同步切条机</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21</w:t>
                  </w:r>
                </w:p>
              </w:tc>
              <w:tc>
                <w:tcPr>
                  <w:tcW w:w="2805" w:type="dxa"/>
                  <w:gridSpan w:val="2"/>
                  <w:vAlign w:val="center"/>
                </w:tcPr>
                <w:p>
                  <w:pPr>
                    <w:jc w:val="center"/>
                    <w:rPr>
                      <w:color w:val="auto"/>
                      <w:szCs w:val="21"/>
                    </w:rPr>
                  </w:pPr>
                  <w:r>
                    <w:rPr>
                      <w:color w:val="auto"/>
                      <w:szCs w:val="21"/>
                    </w:rPr>
                    <w:t>过渡带台</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22</w:t>
                  </w:r>
                </w:p>
              </w:tc>
              <w:tc>
                <w:tcPr>
                  <w:tcW w:w="2805" w:type="dxa"/>
                  <w:gridSpan w:val="2"/>
                  <w:vAlign w:val="center"/>
                </w:tcPr>
                <w:p>
                  <w:pPr>
                    <w:jc w:val="center"/>
                    <w:rPr>
                      <w:color w:val="auto"/>
                      <w:szCs w:val="21"/>
                    </w:rPr>
                  </w:pPr>
                  <w:r>
                    <w:rPr>
                      <w:color w:val="auto"/>
                      <w:szCs w:val="21"/>
                    </w:rPr>
                    <w:t>砌块切割机</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23</w:t>
                  </w:r>
                </w:p>
              </w:tc>
              <w:tc>
                <w:tcPr>
                  <w:tcW w:w="2805" w:type="dxa"/>
                  <w:gridSpan w:val="2"/>
                  <w:vAlign w:val="center"/>
                </w:tcPr>
                <w:p>
                  <w:pPr>
                    <w:jc w:val="center"/>
                    <w:rPr>
                      <w:color w:val="auto"/>
                      <w:szCs w:val="21"/>
                    </w:rPr>
                  </w:pPr>
                  <w:r>
                    <w:rPr>
                      <w:color w:val="auto"/>
                      <w:szCs w:val="21"/>
                    </w:rPr>
                    <w:t>废坯处理台</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04" w:type="dxa"/>
                  <w:gridSpan w:val="5"/>
                  <w:vAlign w:val="center"/>
                </w:tcPr>
                <w:p>
                  <w:pPr>
                    <w:rPr>
                      <w:color w:val="auto"/>
                      <w:szCs w:val="21"/>
                    </w:rPr>
                  </w:pPr>
                  <w:r>
                    <w:rPr>
                      <w:color w:val="auto"/>
                      <w:szCs w:val="21"/>
                    </w:rPr>
                    <w:t>五、码坯系统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24</w:t>
                  </w:r>
                </w:p>
              </w:tc>
              <w:tc>
                <w:tcPr>
                  <w:tcW w:w="2805" w:type="dxa"/>
                  <w:gridSpan w:val="2"/>
                  <w:vAlign w:val="center"/>
                </w:tcPr>
                <w:p>
                  <w:pPr>
                    <w:jc w:val="center"/>
                    <w:rPr>
                      <w:color w:val="auto"/>
                      <w:szCs w:val="21"/>
                    </w:rPr>
                  </w:pPr>
                  <w:r>
                    <w:rPr>
                      <w:color w:val="auto"/>
                      <w:szCs w:val="21"/>
                    </w:rPr>
                    <w:t>湿坯上架前编组台</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25</w:t>
                  </w:r>
                </w:p>
              </w:tc>
              <w:tc>
                <w:tcPr>
                  <w:tcW w:w="2805" w:type="dxa"/>
                  <w:gridSpan w:val="2"/>
                  <w:vAlign w:val="center"/>
                </w:tcPr>
                <w:p>
                  <w:pPr>
                    <w:jc w:val="center"/>
                    <w:rPr>
                      <w:color w:val="auto"/>
                      <w:szCs w:val="21"/>
                    </w:rPr>
                  </w:pPr>
                  <w:r>
                    <w:rPr>
                      <w:color w:val="auto"/>
                      <w:szCs w:val="21"/>
                    </w:rPr>
                    <w:t>码湿坯机械手（含夹头）</w:t>
                  </w:r>
                </w:p>
              </w:tc>
              <w:tc>
                <w:tcPr>
                  <w:tcW w:w="2525" w:type="dxa"/>
                  <w:vAlign w:val="center"/>
                </w:tcPr>
                <w:p>
                  <w:pPr>
                    <w:jc w:val="center"/>
                    <w:rPr>
                      <w:color w:val="auto"/>
                      <w:szCs w:val="21"/>
                    </w:rPr>
                  </w:pPr>
                  <w:r>
                    <w:rPr>
                      <w:color w:val="auto"/>
                      <w:szCs w:val="21"/>
                    </w:rPr>
                    <w:t>500kg</w:t>
                  </w:r>
                </w:p>
              </w:tc>
              <w:tc>
                <w:tcPr>
                  <w:tcW w:w="1873" w:type="dxa"/>
                </w:tcPr>
                <w:p>
                  <w:pPr>
                    <w:jc w:val="center"/>
                    <w:rPr>
                      <w:color w:val="auto"/>
                      <w:szCs w:val="21"/>
                    </w:rPr>
                  </w:pPr>
                  <w:r>
                    <w:rPr>
                      <w:color w:val="auto"/>
                      <w:szCs w:val="21"/>
                    </w:rPr>
                    <w:t>1台</w:t>
                  </w:r>
                </w:p>
              </w:tc>
            </w:tr>
            <w:tr>
              <w:tblPrEx>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26</w:t>
                  </w:r>
                </w:p>
              </w:tc>
              <w:tc>
                <w:tcPr>
                  <w:tcW w:w="2805" w:type="dxa"/>
                  <w:gridSpan w:val="2"/>
                  <w:vAlign w:val="center"/>
                </w:tcPr>
                <w:p>
                  <w:pPr>
                    <w:jc w:val="center"/>
                    <w:rPr>
                      <w:color w:val="auto"/>
                      <w:szCs w:val="21"/>
                    </w:rPr>
                  </w:pPr>
                  <w:r>
                    <w:rPr>
                      <w:color w:val="auto"/>
                      <w:szCs w:val="21"/>
                    </w:rPr>
                    <w:t>湿坯托盘上架系统</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27</w:t>
                  </w:r>
                </w:p>
              </w:tc>
              <w:tc>
                <w:tcPr>
                  <w:tcW w:w="2805" w:type="dxa"/>
                  <w:gridSpan w:val="2"/>
                  <w:vAlign w:val="center"/>
                </w:tcPr>
                <w:p>
                  <w:pPr>
                    <w:jc w:val="center"/>
                    <w:rPr>
                      <w:color w:val="auto"/>
                      <w:szCs w:val="21"/>
                    </w:rPr>
                  </w:pPr>
                  <w:r>
                    <w:rPr>
                      <w:color w:val="auto"/>
                      <w:szCs w:val="21"/>
                    </w:rPr>
                    <w:t>干坯托盘下架系统</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1台</w:t>
                  </w:r>
                </w:p>
              </w:tc>
            </w:tr>
            <w:tr>
              <w:tblPrEx>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28</w:t>
                  </w:r>
                </w:p>
              </w:tc>
              <w:tc>
                <w:tcPr>
                  <w:tcW w:w="2805" w:type="dxa"/>
                  <w:gridSpan w:val="2"/>
                  <w:vAlign w:val="center"/>
                </w:tcPr>
                <w:p>
                  <w:pPr>
                    <w:jc w:val="center"/>
                    <w:rPr>
                      <w:color w:val="auto"/>
                      <w:szCs w:val="21"/>
                    </w:rPr>
                  </w:pPr>
                  <w:r>
                    <w:rPr>
                      <w:color w:val="auto"/>
                      <w:szCs w:val="21"/>
                    </w:rPr>
                    <w:t>托盘转运系统</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29</w:t>
                  </w:r>
                </w:p>
              </w:tc>
              <w:tc>
                <w:tcPr>
                  <w:tcW w:w="2805" w:type="dxa"/>
                  <w:gridSpan w:val="2"/>
                  <w:vAlign w:val="center"/>
                </w:tcPr>
                <w:p>
                  <w:pPr>
                    <w:jc w:val="center"/>
                    <w:rPr>
                      <w:color w:val="auto"/>
                      <w:szCs w:val="21"/>
                    </w:rPr>
                  </w:pPr>
                  <w:r>
                    <w:rPr>
                      <w:color w:val="auto"/>
                      <w:szCs w:val="21"/>
                    </w:rPr>
                    <w:t>托盘支撑设备</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30</w:t>
                  </w:r>
                </w:p>
              </w:tc>
              <w:tc>
                <w:tcPr>
                  <w:tcW w:w="2805" w:type="dxa"/>
                  <w:gridSpan w:val="2"/>
                  <w:vAlign w:val="center"/>
                </w:tcPr>
                <w:p>
                  <w:pPr>
                    <w:jc w:val="center"/>
                    <w:rPr>
                      <w:color w:val="auto"/>
                      <w:szCs w:val="21"/>
                    </w:rPr>
                  </w:pPr>
                  <w:r>
                    <w:rPr>
                      <w:color w:val="auto"/>
                      <w:szCs w:val="21"/>
                    </w:rPr>
                    <w:t>输送带</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4台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04" w:type="dxa"/>
                  <w:gridSpan w:val="5"/>
                  <w:vAlign w:val="center"/>
                </w:tcPr>
                <w:p>
                  <w:pPr>
                    <w:jc w:val="left"/>
                    <w:rPr>
                      <w:color w:val="auto"/>
                      <w:szCs w:val="21"/>
                    </w:rPr>
                  </w:pPr>
                  <w:r>
                    <w:rPr>
                      <w:color w:val="auto"/>
                      <w:szCs w:val="21"/>
                    </w:rPr>
                    <w:t>六、隧道干燥室及隧道窑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31</w:t>
                  </w:r>
                </w:p>
              </w:tc>
              <w:tc>
                <w:tcPr>
                  <w:tcW w:w="2805" w:type="dxa"/>
                  <w:gridSpan w:val="2"/>
                  <w:vAlign w:val="center"/>
                </w:tcPr>
                <w:p>
                  <w:pPr>
                    <w:jc w:val="center"/>
                    <w:rPr>
                      <w:color w:val="auto"/>
                      <w:szCs w:val="21"/>
                    </w:rPr>
                  </w:pPr>
                  <w:r>
                    <w:rPr>
                      <w:color w:val="auto"/>
                      <w:szCs w:val="21"/>
                    </w:rPr>
                    <w:t>干燥室上架链式牵引机</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6台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32</w:t>
                  </w:r>
                </w:p>
              </w:tc>
              <w:tc>
                <w:tcPr>
                  <w:tcW w:w="2805" w:type="dxa"/>
                  <w:gridSpan w:val="2"/>
                  <w:vAlign w:val="center"/>
                </w:tcPr>
                <w:p>
                  <w:pPr>
                    <w:jc w:val="center"/>
                    <w:rPr>
                      <w:color w:val="auto"/>
                      <w:szCs w:val="21"/>
                    </w:rPr>
                  </w:pPr>
                  <w:r>
                    <w:rPr>
                      <w:color w:val="auto"/>
                      <w:szCs w:val="21"/>
                    </w:rPr>
                    <w:t>摆渡车</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4台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33</w:t>
                  </w:r>
                </w:p>
              </w:tc>
              <w:tc>
                <w:tcPr>
                  <w:tcW w:w="2805" w:type="dxa"/>
                  <w:gridSpan w:val="2"/>
                  <w:vAlign w:val="center"/>
                </w:tcPr>
                <w:p>
                  <w:pPr>
                    <w:jc w:val="center"/>
                    <w:rPr>
                      <w:color w:val="auto"/>
                      <w:szCs w:val="21"/>
                    </w:rPr>
                  </w:pPr>
                  <w:r>
                    <w:rPr>
                      <w:color w:val="auto"/>
                      <w:szCs w:val="21"/>
                    </w:rPr>
                    <w:t>排潮风机</w:t>
                  </w:r>
                </w:p>
              </w:tc>
              <w:tc>
                <w:tcPr>
                  <w:tcW w:w="2525" w:type="dxa"/>
                  <w:vAlign w:val="center"/>
                </w:tcPr>
                <w:p>
                  <w:pPr>
                    <w:jc w:val="center"/>
                    <w:rPr>
                      <w:color w:val="auto"/>
                      <w:szCs w:val="21"/>
                    </w:rPr>
                  </w:pPr>
                  <w:r>
                    <w:rPr>
                      <w:color w:val="auto"/>
                      <w:szCs w:val="21"/>
                    </w:rPr>
                    <w:t>GD30K2-12 No.15C</w:t>
                  </w:r>
                </w:p>
              </w:tc>
              <w:tc>
                <w:tcPr>
                  <w:tcW w:w="1873" w:type="dxa"/>
                  <w:vAlign w:val="center"/>
                </w:tcPr>
                <w:p>
                  <w:pPr>
                    <w:jc w:val="center"/>
                    <w:rPr>
                      <w:color w:val="auto"/>
                      <w:szCs w:val="21"/>
                    </w:rPr>
                  </w:pPr>
                  <w:r>
                    <w:rPr>
                      <w:color w:val="auto"/>
                      <w:szCs w:val="21"/>
                    </w:rPr>
                    <w:t>3台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34</w:t>
                  </w:r>
                </w:p>
              </w:tc>
              <w:tc>
                <w:tcPr>
                  <w:tcW w:w="2805" w:type="dxa"/>
                  <w:gridSpan w:val="2"/>
                  <w:vAlign w:val="center"/>
                </w:tcPr>
                <w:p>
                  <w:pPr>
                    <w:jc w:val="center"/>
                    <w:rPr>
                      <w:color w:val="auto"/>
                      <w:szCs w:val="21"/>
                    </w:rPr>
                  </w:pPr>
                  <w:r>
                    <w:rPr>
                      <w:color w:val="auto"/>
                      <w:szCs w:val="21"/>
                    </w:rPr>
                    <w:t>旋风器</w:t>
                  </w:r>
                </w:p>
              </w:tc>
              <w:tc>
                <w:tcPr>
                  <w:tcW w:w="2525" w:type="dxa"/>
                  <w:vAlign w:val="center"/>
                </w:tcPr>
                <w:p>
                  <w:pPr>
                    <w:jc w:val="center"/>
                    <w:rPr>
                      <w:color w:val="auto"/>
                      <w:szCs w:val="21"/>
                    </w:rPr>
                  </w:pPr>
                  <w:r>
                    <w:rPr>
                      <w:color w:val="auto"/>
                      <w:szCs w:val="21"/>
                    </w:rPr>
                    <w:t>VIR800</w:t>
                  </w:r>
                </w:p>
              </w:tc>
              <w:tc>
                <w:tcPr>
                  <w:tcW w:w="1873" w:type="dxa"/>
                  <w:vAlign w:val="center"/>
                </w:tcPr>
                <w:p>
                  <w:pPr>
                    <w:jc w:val="center"/>
                    <w:rPr>
                      <w:color w:val="auto"/>
                      <w:szCs w:val="21"/>
                    </w:rPr>
                  </w:pPr>
                  <w:r>
                    <w:rPr>
                      <w:color w:val="auto"/>
                      <w:szCs w:val="21"/>
                    </w:rPr>
                    <w:t>94台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35</w:t>
                  </w:r>
                </w:p>
              </w:tc>
              <w:tc>
                <w:tcPr>
                  <w:tcW w:w="2805" w:type="dxa"/>
                  <w:gridSpan w:val="2"/>
                  <w:vAlign w:val="center"/>
                </w:tcPr>
                <w:p>
                  <w:pPr>
                    <w:jc w:val="center"/>
                    <w:rPr>
                      <w:color w:val="auto"/>
                      <w:szCs w:val="21"/>
                    </w:rPr>
                  </w:pPr>
                  <w:r>
                    <w:rPr>
                      <w:color w:val="auto"/>
                      <w:szCs w:val="21"/>
                    </w:rPr>
                    <w:t>送热风机</w:t>
                  </w:r>
                </w:p>
              </w:tc>
              <w:tc>
                <w:tcPr>
                  <w:tcW w:w="2525" w:type="dxa"/>
                  <w:vAlign w:val="center"/>
                </w:tcPr>
                <w:p>
                  <w:pPr>
                    <w:jc w:val="center"/>
                    <w:rPr>
                      <w:color w:val="auto"/>
                      <w:szCs w:val="21"/>
                    </w:rPr>
                  </w:pPr>
                  <w:r>
                    <w:rPr>
                      <w:color w:val="auto"/>
                      <w:szCs w:val="21"/>
                    </w:rPr>
                    <w:t>Y4-73 No.14C</w:t>
                  </w:r>
                </w:p>
              </w:tc>
              <w:tc>
                <w:tcPr>
                  <w:tcW w:w="1873" w:type="dxa"/>
                </w:tcPr>
                <w:p>
                  <w:pPr>
                    <w:jc w:val="center"/>
                    <w:rPr>
                      <w:color w:val="auto"/>
                      <w:szCs w:val="21"/>
                    </w:rPr>
                  </w:pPr>
                  <w:r>
                    <w:rPr>
                      <w:color w:val="auto"/>
                      <w:szCs w:val="21"/>
                    </w:rPr>
                    <w:t>4台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36</w:t>
                  </w:r>
                </w:p>
              </w:tc>
              <w:tc>
                <w:tcPr>
                  <w:tcW w:w="2805" w:type="dxa"/>
                  <w:gridSpan w:val="2"/>
                  <w:vAlign w:val="center"/>
                </w:tcPr>
                <w:p>
                  <w:pPr>
                    <w:jc w:val="center"/>
                    <w:rPr>
                      <w:color w:val="auto"/>
                      <w:szCs w:val="21"/>
                    </w:rPr>
                  </w:pPr>
                  <w:r>
                    <w:rPr>
                      <w:color w:val="auto"/>
                      <w:szCs w:val="21"/>
                    </w:rPr>
                    <w:t>排烟风机</w:t>
                  </w:r>
                </w:p>
              </w:tc>
              <w:tc>
                <w:tcPr>
                  <w:tcW w:w="2525" w:type="dxa"/>
                  <w:vAlign w:val="center"/>
                </w:tcPr>
                <w:p>
                  <w:pPr>
                    <w:jc w:val="center"/>
                    <w:rPr>
                      <w:color w:val="auto"/>
                      <w:szCs w:val="21"/>
                    </w:rPr>
                  </w:pPr>
                  <w:r>
                    <w:rPr>
                      <w:color w:val="auto"/>
                      <w:szCs w:val="21"/>
                    </w:rPr>
                    <w:t>Y4-73 No.16C</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37</w:t>
                  </w:r>
                </w:p>
              </w:tc>
              <w:tc>
                <w:tcPr>
                  <w:tcW w:w="2805" w:type="dxa"/>
                  <w:gridSpan w:val="2"/>
                  <w:vAlign w:val="center"/>
                </w:tcPr>
                <w:p>
                  <w:pPr>
                    <w:jc w:val="center"/>
                    <w:rPr>
                      <w:color w:val="auto"/>
                      <w:szCs w:val="21"/>
                    </w:rPr>
                  </w:pPr>
                  <w:r>
                    <w:rPr>
                      <w:color w:val="auto"/>
                      <w:szCs w:val="21"/>
                    </w:rPr>
                    <w:t>急冷风机</w:t>
                  </w:r>
                </w:p>
              </w:tc>
              <w:tc>
                <w:tcPr>
                  <w:tcW w:w="2525" w:type="dxa"/>
                  <w:vAlign w:val="center"/>
                </w:tcPr>
                <w:p>
                  <w:pPr>
                    <w:jc w:val="center"/>
                    <w:rPr>
                      <w:color w:val="auto"/>
                      <w:szCs w:val="21"/>
                    </w:rPr>
                  </w:pPr>
                  <w:r>
                    <w:rPr>
                      <w:color w:val="auto"/>
                      <w:szCs w:val="21"/>
                    </w:rPr>
                    <w:t xml:space="preserve">9-19NO5A </w:t>
                  </w:r>
                </w:p>
              </w:tc>
              <w:tc>
                <w:tcPr>
                  <w:tcW w:w="1873" w:type="dxa"/>
                  <w:vAlign w:val="center"/>
                </w:tcPr>
                <w:p>
                  <w:pPr>
                    <w:jc w:val="center"/>
                    <w:rPr>
                      <w:color w:val="auto"/>
                      <w:szCs w:val="21"/>
                    </w:rPr>
                  </w:pPr>
                  <w:r>
                    <w:rPr>
                      <w:color w:val="auto"/>
                      <w:szCs w:val="21"/>
                    </w:rPr>
                    <w:t>3台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38</w:t>
                  </w:r>
                </w:p>
              </w:tc>
              <w:tc>
                <w:tcPr>
                  <w:tcW w:w="2805" w:type="dxa"/>
                  <w:gridSpan w:val="2"/>
                  <w:vAlign w:val="center"/>
                </w:tcPr>
                <w:p>
                  <w:pPr>
                    <w:jc w:val="center"/>
                    <w:rPr>
                      <w:color w:val="auto"/>
                      <w:szCs w:val="21"/>
                    </w:rPr>
                  </w:pPr>
                  <w:r>
                    <w:rPr>
                      <w:color w:val="auto"/>
                      <w:szCs w:val="21"/>
                    </w:rPr>
                    <w:t>车下冷却风机</w:t>
                  </w:r>
                </w:p>
              </w:tc>
              <w:tc>
                <w:tcPr>
                  <w:tcW w:w="2525" w:type="dxa"/>
                  <w:vAlign w:val="center"/>
                </w:tcPr>
                <w:p>
                  <w:pPr>
                    <w:jc w:val="center"/>
                    <w:rPr>
                      <w:color w:val="auto"/>
                      <w:szCs w:val="21"/>
                    </w:rPr>
                  </w:pPr>
                  <w:r>
                    <w:rPr>
                      <w:color w:val="auto"/>
                      <w:szCs w:val="21"/>
                    </w:rPr>
                    <w:t>T35NO5.6A</w:t>
                  </w:r>
                </w:p>
              </w:tc>
              <w:tc>
                <w:tcPr>
                  <w:tcW w:w="1873" w:type="dxa"/>
                  <w:vAlign w:val="center"/>
                </w:tcPr>
                <w:p>
                  <w:pPr>
                    <w:jc w:val="center"/>
                    <w:rPr>
                      <w:color w:val="auto"/>
                      <w:szCs w:val="21"/>
                    </w:rPr>
                  </w:pPr>
                  <w:r>
                    <w:rPr>
                      <w:color w:val="auto"/>
                      <w:szCs w:val="21"/>
                    </w:rPr>
                    <w:t>3台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39</w:t>
                  </w:r>
                </w:p>
              </w:tc>
              <w:tc>
                <w:tcPr>
                  <w:tcW w:w="2805" w:type="dxa"/>
                  <w:gridSpan w:val="2"/>
                  <w:vAlign w:val="center"/>
                </w:tcPr>
                <w:p>
                  <w:pPr>
                    <w:jc w:val="center"/>
                    <w:rPr>
                      <w:color w:val="auto"/>
                      <w:szCs w:val="21"/>
                    </w:rPr>
                  </w:pPr>
                  <w:r>
                    <w:rPr>
                      <w:color w:val="auto"/>
                      <w:szCs w:val="21"/>
                    </w:rPr>
                    <w:t>高温余热风机</w:t>
                  </w:r>
                </w:p>
              </w:tc>
              <w:tc>
                <w:tcPr>
                  <w:tcW w:w="2525" w:type="dxa"/>
                  <w:vAlign w:val="center"/>
                </w:tcPr>
                <w:p>
                  <w:pPr>
                    <w:jc w:val="center"/>
                    <w:rPr>
                      <w:color w:val="auto"/>
                      <w:szCs w:val="21"/>
                    </w:rPr>
                  </w:pPr>
                  <w:r>
                    <w:rPr>
                      <w:color w:val="auto"/>
                      <w:szCs w:val="21"/>
                    </w:rPr>
                    <w:t>W4-73 No.12C</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40</w:t>
                  </w:r>
                </w:p>
              </w:tc>
              <w:tc>
                <w:tcPr>
                  <w:tcW w:w="2805" w:type="dxa"/>
                  <w:gridSpan w:val="2"/>
                  <w:vAlign w:val="center"/>
                </w:tcPr>
                <w:p>
                  <w:pPr>
                    <w:jc w:val="center"/>
                    <w:rPr>
                      <w:color w:val="auto"/>
                      <w:szCs w:val="21"/>
                    </w:rPr>
                  </w:pPr>
                  <w:r>
                    <w:rPr>
                      <w:color w:val="auto"/>
                      <w:szCs w:val="21"/>
                    </w:rPr>
                    <w:t>低温余热风机</w:t>
                  </w:r>
                </w:p>
              </w:tc>
              <w:tc>
                <w:tcPr>
                  <w:tcW w:w="2525" w:type="dxa"/>
                  <w:vAlign w:val="center"/>
                </w:tcPr>
                <w:p>
                  <w:pPr>
                    <w:jc w:val="center"/>
                    <w:rPr>
                      <w:color w:val="auto"/>
                      <w:szCs w:val="21"/>
                    </w:rPr>
                  </w:pPr>
                  <w:r>
                    <w:rPr>
                      <w:color w:val="auto"/>
                      <w:szCs w:val="21"/>
                    </w:rPr>
                    <w:t>Y4-73 No.16C</w:t>
                  </w:r>
                </w:p>
              </w:tc>
              <w:tc>
                <w:tcPr>
                  <w:tcW w:w="1873" w:type="dxa"/>
                  <w:vAlign w:val="center"/>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41</w:t>
                  </w:r>
                </w:p>
              </w:tc>
              <w:tc>
                <w:tcPr>
                  <w:tcW w:w="2805" w:type="dxa"/>
                  <w:gridSpan w:val="2"/>
                  <w:vAlign w:val="center"/>
                </w:tcPr>
                <w:p>
                  <w:pPr>
                    <w:jc w:val="center"/>
                    <w:rPr>
                      <w:color w:val="auto"/>
                      <w:szCs w:val="21"/>
                    </w:rPr>
                  </w:pPr>
                  <w:r>
                    <w:rPr>
                      <w:color w:val="auto"/>
                      <w:szCs w:val="21"/>
                    </w:rPr>
                    <w:t>回压风机</w:t>
                  </w:r>
                </w:p>
              </w:tc>
              <w:tc>
                <w:tcPr>
                  <w:tcW w:w="2525" w:type="dxa"/>
                  <w:vAlign w:val="center"/>
                </w:tcPr>
                <w:p>
                  <w:pPr>
                    <w:jc w:val="center"/>
                    <w:rPr>
                      <w:color w:val="auto"/>
                      <w:szCs w:val="21"/>
                    </w:rPr>
                  </w:pPr>
                  <w:r>
                    <w:rPr>
                      <w:color w:val="auto"/>
                      <w:szCs w:val="21"/>
                    </w:rPr>
                    <w:t>G4-73 No.9C</w:t>
                  </w:r>
                </w:p>
              </w:tc>
              <w:tc>
                <w:tcPr>
                  <w:tcW w:w="1873" w:type="dxa"/>
                  <w:vAlign w:val="center"/>
                </w:tcPr>
                <w:p>
                  <w:pPr>
                    <w:jc w:val="center"/>
                    <w:rPr>
                      <w:color w:val="auto"/>
                      <w:szCs w:val="21"/>
                    </w:rPr>
                  </w:pPr>
                  <w:r>
                    <w:rPr>
                      <w:color w:val="auto"/>
                      <w:szCs w:val="21"/>
                    </w:rPr>
                    <w:t>2台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42</w:t>
                  </w:r>
                </w:p>
              </w:tc>
              <w:tc>
                <w:tcPr>
                  <w:tcW w:w="2805" w:type="dxa"/>
                  <w:gridSpan w:val="2"/>
                  <w:vAlign w:val="center"/>
                </w:tcPr>
                <w:p>
                  <w:pPr>
                    <w:jc w:val="center"/>
                    <w:rPr>
                      <w:color w:val="auto"/>
                      <w:szCs w:val="21"/>
                    </w:rPr>
                  </w:pPr>
                  <w:r>
                    <w:rPr>
                      <w:color w:val="auto"/>
                      <w:szCs w:val="21"/>
                    </w:rPr>
                    <w:t>天然气燃烧系统</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1套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04" w:type="dxa"/>
                  <w:gridSpan w:val="5"/>
                  <w:vAlign w:val="center"/>
                </w:tcPr>
                <w:p>
                  <w:pPr>
                    <w:rPr>
                      <w:color w:val="auto"/>
                      <w:szCs w:val="21"/>
                    </w:rPr>
                  </w:pPr>
                  <w:r>
                    <w:rPr>
                      <w:color w:val="auto"/>
                      <w:szCs w:val="21"/>
                    </w:rPr>
                    <w:t>七、全自动窑车运转及卸砖设备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43</w:t>
                  </w:r>
                </w:p>
              </w:tc>
              <w:tc>
                <w:tcPr>
                  <w:tcW w:w="2805" w:type="dxa"/>
                  <w:gridSpan w:val="2"/>
                  <w:vAlign w:val="center"/>
                </w:tcPr>
                <w:p>
                  <w:pPr>
                    <w:jc w:val="center"/>
                    <w:rPr>
                      <w:color w:val="auto"/>
                      <w:szCs w:val="21"/>
                    </w:rPr>
                  </w:pPr>
                  <w:r>
                    <w:rPr>
                      <w:color w:val="auto"/>
                      <w:szCs w:val="21"/>
                    </w:rPr>
                    <w:t>机械手下液压步进机</w:t>
                  </w:r>
                </w:p>
              </w:tc>
              <w:tc>
                <w:tcPr>
                  <w:tcW w:w="2525" w:type="dxa"/>
                  <w:vAlign w:val="center"/>
                </w:tcPr>
                <w:p>
                  <w:pPr>
                    <w:jc w:val="center"/>
                    <w:rPr>
                      <w:color w:val="auto"/>
                      <w:szCs w:val="21"/>
                    </w:rPr>
                  </w:pPr>
                </w:p>
              </w:tc>
              <w:tc>
                <w:tcPr>
                  <w:tcW w:w="1873" w:type="dxa"/>
                </w:tcPr>
                <w:p>
                  <w:pPr>
                    <w:jc w:val="center"/>
                    <w:rPr>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44</w:t>
                  </w:r>
                </w:p>
              </w:tc>
              <w:tc>
                <w:tcPr>
                  <w:tcW w:w="2805" w:type="dxa"/>
                  <w:gridSpan w:val="2"/>
                  <w:vAlign w:val="center"/>
                </w:tcPr>
                <w:p>
                  <w:pPr>
                    <w:jc w:val="center"/>
                    <w:rPr>
                      <w:color w:val="auto"/>
                      <w:szCs w:val="21"/>
                    </w:rPr>
                  </w:pPr>
                  <w:r>
                    <w:rPr>
                      <w:color w:val="auto"/>
                      <w:szCs w:val="21"/>
                    </w:rPr>
                    <w:t>牵引机（湿坯、成品、空车线）</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3台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45</w:t>
                  </w:r>
                </w:p>
              </w:tc>
              <w:tc>
                <w:tcPr>
                  <w:tcW w:w="2805" w:type="dxa"/>
                  <w:gridSpan w:val="2"/>
                  <w:vAlign w:val="center"/>
                </w:tcPr>
                <w:p>
                  <w:pPr>
                    <w:jc w:val="center"/>
                    <w:rPr>
                      <w:color w:val="auto"/>
                      <w:szCs w:val="21"/>
                    </w:rPr>
                  </w:pPr>
                  <w:r>
                    <w:rPr>
                      <w:color w:val="auto"/>
                      <w:szCs w:val="21"/>
                    </w:rPr>
                    <w:t>入口端摆渡车带牵引装置</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2台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46</w:t>
                  </w:r>
                </w:p>
              </w:tc>
              <w:tc>
                <w:tcPr>
                  <w:tcW w:w="2805" w:type="dxa"/>
                  <w:gridSpan w:val="2"/>
                  <w:vAlign w:val="center"/>
                </w:tcPr>
                <w:p>
                  <w:pPr>
                    <w:jc w:val="center"/>
                    <w:rPr>
                      <w:color w:val="auto"/>
                      <w:szCs w:val="21"/>
                    </w:rPr>
                  </w:pPr>
                  <w:r>
                    <w:rPr>
                      <w:color w:val="auto"/>
                      <w:szCs w:val="21"/>
                    </w:rPr>
                    <w:t>隧道窑入口液压顶车机</w:t>
                  </w:r>
                </w:p>
              </w:tc>
              <w:tc>
                <w:tcPr>
                  <w:tcW w:w="2525" w:type="dxa"/>
                  <w:vAlign w:val="center"/>
                </w:tcPr>
                <w:p>
                  <w:pPr>
                    <w:jc w:val="center"/>
                    <w:rPr>
                      <w:color w:val="auto"/>
                      <w:szCs w:val="21"/>
                    </w:rPr>
                  </w:pPr>
                  <w:r>
                    <w:rPr>
                      <w:color w:val="auto"/>
                      <w:szCs w:val="21"/>
                    </w:rPr>
                    <w:t>60T</w:t>
                  </w:r>
                </w:p>
              </w:tc>
              <w:tc>
                <w:tcPr>
                  <w:tcW w:w="1873" w:type="dxa"/>
                </w:tcPr>
                <w:p>
                  <w:pPr>
                    <w:jc w:val="center"/>
                    <w:rPr>
                      <w:color w:val="auto"/>
                      <w:szCs w:val="21"/>
                    </w:rPr>
                  </w:pPr>
                  <w:r>
                    <w:rPr>
                      <w:color w:val="auto"/>
                      <w:szCs w:val="21"/>
                    </w:rPr>
                    <w:t>2台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47</w:t>
                  </w:r>
                </w:p>
              </w:tc>
              <w:tc>
                <w:tcPr>
                  <w:tcW w:w="2805" w:type="dxa"/>
                  <w:gridSpan w:val="2"/>
                  <w:vAlign w:val="center"/>
                </w:tcPr>
                <w:p>
                  <w:pPr>
                    <w:jc w:val="center"/>
                    <w:rPr>
                      <w:color w:val="auto"/>
                      <w:szCs w:val="21"/>
                    </w:rPr>
                  </w:pPr>
                  <w:r>
                    <w:rPr>
                      <w:color w:val="auto"/>
                      <w:szCs w:val="21"/>
                    </w:rPr>
                    <w:t>卸砖机下液压步进机</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2台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48</w:t>
                  </w:r>
                </w:p>
              </w:tc>
              <w:tc>
                <w:tcPr>
                  <w:tcW w:w="2805" w:type="dxa"/>
                  <w:gridSpan w:val="2"/>
                  <w:vAlign w:val="center"/>
                </w:tcPr>
                <w:p>
                  <w:pPr>
                    <w:jc w:val="center"/>
                    <w:rPr>
                      <w:color w:val="auto"/>
                      <w:szCs w:val="21"/>
                    </w:rPr>
                  </w:pPr>
                  <w:r>
                    <w:rPr>
                      <w:color w:val="auto"/>
                      <w:szCs w:val="21"/>
                    </w:rPr>
                    <w:t>自动卸砖机（三夹头）</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49</w:t>
                  </w:r>
                </w:p>
              </w:tc>
              <w:tc>
                <w:tcPr>
                  <w:tcW w:w="2805" w:type="dxa"/>
                  <w:gridSpan w:val="2"/>
                  <w:vAlign w:val="center"/>
                </w:tcPr>
                <w:p>
                  <w:pPr>
                    <w:jc w:val="center"/>
                    <w:rPr>
                      <w:color w:val="auto"/>
                      <w:szCs w:val="21"/>
                    </w:rPr>
                  </w:pPr>
                  <w:r>
                    <w:rPr>
                      <w:color w:val="auto"/>
                      <w:szCs w:val="21"/>
                    </w:rPr>
                    <w:t>木托盘分配与输送机组</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50</w:t>
                  </w:r>
                </w:p>
              </w:tc>
              <w:tc>
                <w:tcPr>
                  <w:tcW w:w="2805" w:type="dxa"/>
                  <w:gridSpan w:val="2"/>
                  <w:vAlign w:val="center"/>
                </w:tcPr>
                <w:p>
                  <w:pPr>
                    <w:jc w:val="center"/>
                    <w:rPr>
                      <w:color w:val="auto"/>
                      <w:szCs w:val="21"/>
                    </w:rPr>
                  </w:pPr>
                  <w:r>
                    <w:rPr>
                      <w:color w:val="auto"/>
                      <w:szCs w:val="21"/>
                    </w:rPr>
                    <w:t>打带机</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2台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04" w:type="dxa"/>
                  <w:gridSpan w:val="5"/>
                  <w:vAlign w:val="center"/>
                </w:tcPr>
                <w:p>
                  <w:pPr>
                    <w:jc w:val="left"/>
                    <w:rPr>
                      <w:color w:val="auto"/>
                      <w:szCs w:val="21"/>
                    </w:rPr>
                  </w:pPr>
                  <w:r>
                    <w:rPr>
                      <w:color w:val="auto"/>
                      <w:szCs w:val="21"/>
                    </w:rPr>
                    <w:t>八、其他设备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vAlign w:val="center"/>
                </w:tcPr>
                <w:p>
                  <w:pPr>
                    <w:jc w:val="center"/>
                    <w:rPr>
                      <w:color w:val="auto"/>
                      <w:szCs w:val="21"/>
                    </w:rPr>
                  </w:pPr>
                  <w:r>
                    <w:rPr>
                      <w:color w:val="auto"/>
                      <w:szCs w:val="21"/>
                    </w:rPr>
                    <w:t>51</w:t>
                  </w:r>
                </w:p>
              </w:tc>
              <w:tc>
                <w:tcPr>
                  <w:tcW w:w="2805" w:type="dxa"/>
                  <w:gridSpan w:val="2"/>
                  <w:vAlign w:val="center"/>
                </w:tcPr>
                <w:p>
                  <w:pPr>
                    <w:jc w:val="center"/>
                    <w:rPr>
                      <w:color w:val="auto"/>
                      <w:szCs w:val="21"/>
                    </w:rPr>
                  </w:pPr>
                  <w:r>
                    <w:rPr>
                      <w:color w:val="auto"/>
                      <w:szCs w:val="21"/>
                    </w:rPr>
                    <w:t>皮带输送机B800</w:t>
                  </w:r>
                </w:p>
              </w:tc>
              <w:tc>
                <w:tcPr>
                  <w:tcW w:w="2525" w:type="dxa"/>
                  <w:vAlign w:val="center"/>
                </w:tcPr>
                <w:p>
                  <w:pPr>
                    <w:jc w:val="center"/>
                    <w:rPr>
                      <w:color w:val="auto"/>
                      <w:szCs w:val="21"/>
                    </w:rPr>
                  </w:pPr>
                </w:p>
              </w:tc>
              <w:tc>
                <w:tcPr>
                  <w:tcW w:w="1873" w:type="dxa"/>
                </w:tcPr>
                <w:p>
                  <w:pPr>
                    <w:jc w:val="center"/>
                    <w:rPr>
                      <w:color w:val="auto"/>
                      <w:szCs w:val="21"/>
                    </w:rPr>
                  </w:pPr>
                  <w:r>
                    <w:rPr>
                      <w:color w:val="auto"/>
                      <w:szCs w:val="21"/>
                    </w:rPr>
                    <w:t>18台</w:t>
                  </w:r>
                </w:p>
              </w:tc>
            </w:tr>
          </w:tbl>
          <w:p>
            <w:pPr>
              <w:pStyle w:val="104"/>
              <w:spacing w:line="360" w:lineRule="auto"/>
              <w:rPr>
                <w:rFonts w:ascii="Times New Roman" w:cs="Times New Roman"/>
                <w:color w:val="auto"/>
              </w:rPr>
            </w:pPr>
            <w:r>
              <w:rPr>
                <w:rFonts w:ascii="Times New Roman" w:cs="Times New Roman"/>
                <w:b/>
                <w:color w:val="auto"/>
              </w:rPr>
              <w:t>七、公用工程</w:t>
            </w:r>
          </w:p>
          <w:p>
            <w:pPr>
              <w:spacing w:line="360" w:lineRule="auto"/>
              <w:ind w:firstLine="480" w:firstLineChars="200"/>
              <w:rPr>
                <w:color w:val="auto"/>
                <w:sz w:val="24"/>
              </w:rPr>
            </w:pPr>
            <w:r>
              <w:rPr>
                <w:rFonts w:hAnsi="宋体"/>
                <w:color w:val="auto"/>
                <w:sz w:val="24"/>
              </w:rPr>
              <w:t>（</w:t>
            </w:r>
            <w:r>
              <w:rPr>
                <w:color w:val="auto"/>
                <w:sz w:val="24"/>
              </w:rPr>
              <w:t>1</w:t>
            </w:r>
            <w:r>
              <w:rPr>
                <w:rFonts w:hAnsi="宋体"/>
                <w:color w:val="auto"/>
                <w:sz w:val="24"/>
              </w:rPr>
              <w:t>）</w:t>
            </w:r>
            <w:r>
              <w:rPr>
                <w:color w:val="auto"/>
                <w:sz w:val="24"/>
              </w:rPr>
              <w:t>给水</w:t>
            </w:r>
          </w:p>
          <w:p>
            <w:pPr>
              <w:pStyle w:val="89"/>
              <w:rPr>
                <w:color w:val="auto"/>
              </w:rPr>
            </w:pPr>
            <w:r>
              <w:rPr>
                <w:color w:val="auto"/>
              </w:rPr>
              <w:t>本项目</w:t>
            </w:r>
            <w:r>
              <w:rPr>
                <w:rFonts w:hint="eastAsia"/>
                <w:color w:val="auto"/>
                <w:szCs w:val="21"/>
              </w:rPr>
              <w:t>近期用水使用自备水井供水，待园区配水厂建成后依托园区供水系统供水</w:t>
            </w:r>
            <w:r>
              <w:rPr>
                <w:color w:val="auto"/>
              </w:rPr>
              <w:t>。项目用水包括</w:t>
            </w:r>
            <w:r>
              <w:rPr>
                <w:rFonts w:hint="eastAsia"/>
                <w:color w:val="auto"/>
              </w:rPr>
              <w:t>搅拌用水、</w:t>
            </w:r>
            <w:r>
              <w:rPr>
                <w:rFonts w:hint="eastAsia" w:hAnsi="宋体"/>
                <w:color w:val="auto"/>
              </w:rPr>
              <w:t>烘干及焙烧用水</w:t>
            </w:r>
            <w:r>
              <w:rPr>
                <w:color w:val="auto"/>
              </w:rPr>
              <w:t>、</w:t>
            </w:r>
            <w:r>
              <w:rPr>
                <w:rFonts w:hint="eastAsia"/>
                <w:color w:val="auto"/>
              </w:rPr>
              <w:t>取土区洒水、</w:t>
            </w:r>
            <w:r>
              <w:rPr>
                <w:color w:val="auto"/>
              </w:rPr>
              <w:t>生活用水、绿化用水</w:t>
            </w:r>
            <w:r>
              <w:rPr>
                <w:rFonts w:hint="eastAsia"/>
                <w:color w:val="auto"/>
              </w:rPr>
              <w:t>、</w:t>
            </w:r>
            <w:r>
              <w:rPr>
                <w:color w:val="auto"/>
              </w:rPr>
              <w:t>道路洒水。本项目新鲜水使用量为</w:t>
            </w:r>
            <w:r>
              <w:rPr>
                <w:rFonts w:hint="eastAsia"/>
                <w:color w:val="auto"/>
              </w:rPr>
              <w:t>75.7</w:t>
            </w:r>
            <w:r>
              <w:rPr>
                <w:color w:val="auto"/>
              </w:rPr>
              <w:t>m</w:t>
            </w:r>
            <w:r>
              <w:rPr>
                <w:color w:val="auto"/>
                <w:vertAlign w:val="superscript"/>
              </w:rPr>
              <w:t>3</w:t>
            </w:r>
            <w:r>
              <w:rPr>
                <w:color w:val="auto"/>
              </w:rPr>
              <w:t>/</w:t>
            </w:r>
            <w:r>
              <w:rPr>
                <w:rFonts w:hint="eastAsia"/>
                <w:color w:val="auto"/>
              </w:rPr>
              <w:t>d（22729</w:t>
            </w:r>
            <w:r>
              <w:rPr>
                <w:color w:val="auto"/>
              </w:rPr>
              <w:t>m</w:t>
            </w:r>
            <w:r>
              <w:rPr>
                <w:color w:val="auto"/>
                <w:vertAlign w:val="superscript"/>
              </w:rPr>
              <w:t>3</w:t>
            </w:r>
            <w:r>
              <w:rPr>
                <w:color w:val="auto"/>
              </w:rPr>
              <w:t>/a</w:t>
            </w:r>
            <w:r>
              <w:rPr>
                <w:rFonts w:hint="eastAsia"/>
                <w:color w:val="auto"/>
              </w:rPr>
              <w:t>）</w:t>
            </w:r>
            <w:r>
              <w:rPr>
                <w:color w:val="auto"/>
              </w:rPr>
              <w:t>。</w:t>
            </w:r>
          </w:p>
          <w:p>
            <w:pPr>
              <w:pStyle w:val="89"/>
              <w:rPr>
                <w:color w:val="auto"/>
              </w:rPr>
            </w:pPr>
            <w:r>
              <w:rPr>
                <w:rFonts w:hint="eastAsia"/>
                <w:color w:val="auto"/>
              </w:rPr>
              <w:t>①生产用水</w:t>
            </w:r>
            <w:r>
              <w:rPr>
                <w:color w:val="auto"/>
              </w:rPr>
              <w:t>：主要为原料搅拌用水，</w:t>
            </w:r>
            <w:r>
              <w:rPr>
                <w:rFonts w:hint="eastAsia"/>
                <w:color w:val="auto"/>
              </w:rPr>
              <w:t>粉碎过筛好的粘土粉末加水充分混合成泥料，根据工艺设计，万块砖用水量约为2.4m</w:t>
            </w:r>
            <w:r>
              <w:rPr>
                <w:rFonts w:hint="eastAsia"/>
                <w:color w:val="auto"/>
                <w:vertAlign w:val="superscript"/>
              </w:rPr>
              <w:t>3</w:t>
            </w:r>
            <w:r>
              <w:rPr>
                <w:rFonts w:hint="eastAsia"/>
                <w:color w:val="auto"/>
              </w:rPr>
              <w:t>，用</w:t>
            </w:r>
            <w:r>
              <w:rPr>
                <w:color w:val="auto"/>
              </w:rPr>
              <w:t>水量为</w:t>
            </w:r>
            <w:r>
              <w:rPr>
                <w:rFonts w:hint="eastAsia"/>
                <w:color w:val="auto"/>
              </w:rPr>
              <w:t>64</w:t>
            </w:r>
            <w:r>
              <w:rPr>
                <w:color w:val="auto"/>
              </w:rPr>
              <w:t>m</w:t>
            </w:r>
            <w:r>
              <w:rPr>
                <w:color w:val="auto"/>
                <w:vertAlign w:val="superscript"/>
              </w:rPr>
              <w:t>3</w:t>
            </w:r>
            <w:r>
              <w:rPr>
                <w:color w:val="auto"/>
              </w:rPr>
              <w:t>/</w:t>
            </w:r>
            <w:r>
              <w:rPr>
                <w:rFonts w:hint="eastAsia"/>
                <w:color w:val="auto"/>
              </w:rPr>
              <w:t>d（19200</w:t>
            </w:r>
            <w:r>
              <w:rPr>
                <w:color w:val="auto"/>
              </w:rPr>
              <w:t>m</w:t>
            </w:r>
            <w:r>
              <w:rPr>
                <w:color w:val="auto"/>
                <w:vertAlign w:val="superscript"/>
              </w:rPr>
              <w:t>3</w:t>
            </w:r>
            <w:r>
              <w:rPr>
                <w:color w:val="auto"/>
              </w:rPr>
              <w:t>/a</w:t>
            </w:r>
            <w:r>
              <w:rPr>
                <w:rFonts w:hint="eastAsia"/>
                <w:color w:val="auto"/>
              </w:rPr>
              <w:t>）。</w:t>
            </w:r>
          </w:p>
          <w:p>
            <w:pPr>
              <w:pStyle w:val="89"/>
              <w:rPr>
                <w:color w:val="auto"/>
              </w:rPr>
            </w:pPr>
            <w:r>
              <w:rPr>
                <w:rFonts w:hint="eastAsia"/>
                <w:color w:val="auto"/>
              </w:rPr>
              <w:t>②取土区</w:t>
            </w:r>
            <w:r>
              <w:rPr>
                <w:color w:val="auto"/>
              </w:rPr>
              <w:t>用水：</w:t>
            </w:r>
            <w:r>
              <w:rPr>
                <w:rFonts w:hint="eastAsia"/>
                <w:color w:val="auto"/>
              </w:rPr>
              <w:t>取土区作业面积最大按1000</w:t>
            </w:r>
            <w:r>
              <w:rPr>
                <w:color w:val="auto"/>
              </w:rPr>
              <w:t>m</w:t>
            </w:r>
            <w:r>
              <w:rPr>
                <w:color w:val="auto"/>
                <w:vertAlign w:val="superscript"/>
              </w:rPr>
              <w:t>2</w:t>
            </w:r>
            <w:r>
              <w:rPr>
                <w:rFonts w:hint="eastAsia"/>
                <w:color w:val="auto"/>
              </w:rPr>
              <w:t>，降尘</w:t>
            </w:r>
            <w:r>
              <w:rPr>
                <w:color w:val="auto"/>
                <w:spacing w:val="2"/>
              </w:rPr>
              <w:t>用水按照2.5L/（m</w:t>
            </w:r>
            <w:r>
              <w:rPr>
                <w:color w:val="auto"/>
                <w:spacing w:val="2"/>
                <w:vertAlign w:val="superscript"/>
              </w:rPr>
              <w:t>2</w:t>
            </w:r>
            <w:r>
              <w:rPr>
                <w:color w:val="auto"/>
                <w:spacing w:val="2"/>
              </w:rPr>
              <w:t>•d）计</w:t>
            </w:r>
            <w:r>
              <w:rPr>
                <w:rFonts w:hint="eastAsia"/>
                <w:color w:val="auto"/>
                <w:spacing w:val="2"/>
              </w:rPr>
              <w:t>，工作时间按280d计算，</w:t>
            </w:r>
            <w:r>
              <w:rPr>
                <w:rFonts w:hint="eastAsia"/>
                <w:color w:val="auto"/>
              </w:rPr>
              <w:t>取土区</w:t>
            </w:r>
            <w:r>
              <w:rPr>
                <w:color w:val="auto"/>
                <w:spacing w:val="2"/>
              </w:rPr>
              <w:t>降尘用水量为</w:t>
            </w:r>
            <w:r>
              <w:rPr>
                <w:rFonts w:hint="eastAsia"/>
                <w:color w:val="auto"/>
                <w:spacing w:val="2"/>
              </w:rPr>
              <w:t>700</w:t>
            </w:r>
            <w:r>
              <w:rPr>
                <w:color w:val="auto"/>
                <w:spacing w:val="2"/>
              </w:rPr>
              <w:t>m</w:t>
            </w:r>
            <w:r>
              <w:rPr>
                <w:color w:val="auto"/>
                <w:spacing w:val="2"/>
                <w:vertAlign w:val="superscript"/>
              </w:rPr>
              <w:t>3</w:t>
            </w:r>
            <w:r>
              <w:rPr>
                <w:color w:val="auto"/>
                <w:spacing w:val="2"/>
              </w:rPr>
              <w:t>/a</w:t>
            </w:r>
            <w:r>
              <w:rPr>
                <w:rFonts w:hint="eastAsia"/>
                <w:color w:val="auto"/>
                <w:spacing w:val="2"/>
              </w:rPr>
              <w:t>，平均用水量为2.3</w:t>
            </w:r>
            <w:r>
              <w:rPr>
                <w:color w:val="auto"/>
              </w:rPr>
              <w:t>m</w:t>
            </w:r>
            <w:r>
              <w:rPr>
                <w:color w:val="auto"/>
                <w:vertAlign w:val="superscript"/>
              </w:rPr>
              <w:t>3</w:t>
            </w:r>
            <w:r>
              <w:rPr>
                <w:color w:val="auto"/>
              </w:rPr>
              <w:t>/d</w:t>
            </w:r>
            <w:r>
              <w:rPr>
                <w:color w:val="auto"/>
                <w:spacing w:val="2"/>
              </w:rPr>
              <w:t>。</w:t>
            </w:r>
          </w:p>
          <w:p>
            <w:pPr>
              <w:spacing w:line="360" w:lineRule="auto"/>
              <w:ind w:firstLine="480" w:firstLineChars="200"/>
              <w:rPr>
                <w:color w:val="auto"/>
                <w:sz w:val="24"/>
              </w:rPr>
            </w:pPr>
            <w:r>
              <w:rPr>
                <w:color w:val="auto"/>
                <w:sz w:val="24"/>
              </w:rPr>
              <w:fldChar w:fldCharType="begin"/>
            </w:r>
            <w:r>
              <w:rPr>
                <w:color w:val="auto"/>
                <w:sz w:val="24"/>
              </w:rPr>
              <w:instrText xml:space="preserve"> </w:instrText>
            </w:r>
            <w:r>
              <w:rPr>
                <w:rFonts w:hint="eastAsia"/>
                <w:color w:val="auto"/>
                <w:sz w:val="24"/>
              </w:rPr>
              <w:instrText xml:space="preserve">= 3 \* GB3</w:instrText>
            </w:r>
            <w:r>
              <w:rPr>
                <w:color w:val="auto"/>
                <w:sz w:val="24"/>
              </w:rPr>
              <w:instrText xml:space="preserve"> </w:instrText>
            </w:r>
            <w:r>
              <w:rPr>
                <w:color w:val="auto"/>
                <w:sz w:val="24"/>
              </w:rPr>
              <w:fldChar w:fldCharType="separate"/>
            </w:r>
            <w:r>
              <w:rPr>
                <w:rFonts w:hint="eastAsia"/>
                <w:color w:val="auto"/>
                <w:sz w:val="24"/>
              </w:rPr>
              <w:t>③</w:t>
            </w:r>
            <w:r>
              <w:rPr>
                <w:color w:val="auto"/>
                <w:sz w:val="24"/>
              </w:rPr>
              <w:fldChar w:fldCharType="end"/>
            </w:r>
            <w:r>
              <w:rPr>
                <w:color w:val="auto"/>
                <w:sz w:val="24"/>
              </w:rPr>
              <w:t>生活用水：</w:t>
            </w:r>
            <w:r>
              <w:rPr>
                <w:rFonts w:hint="eastAsia" w:hAnsi="宋体"/>
                <w:color w:val="auto"/>
                <w:sz w:val="24"/>
              </w:rPr>
              <w:t>本项目劳动定员为82人，全年工作日为300d。参考《陕西省行业用水定额》（DB61</w:t>
            </w:r>
            <w:r>
              <w:rPr>
                <w:rFonts w:hAnsi="宋体"/>
                <w:color w:val="auto"/>
                <w:sz w:val="24"/>
              </w:rPr>
              <w:t>/T943-2014）</w:t>
            </w:r>
            <w:r>
              <w:rPr>
                <w:rFonts w:hint="eastAsia" w:hAnsi="宋体"/>
                <w:color w:val="auto"/>
                <w:sz w:val="24"/>
              </w:rPr>
              <w:t>，</w:t>
            </w:r>
            <w:r>
              <w:rPr>
                <w:color w:val="auto"/>
                <w:sz w:val="24"/>
              </w:rPr>
              <w:t>员工用水按</w:t>
            </w:r>
            <w:r>
              <w:rPr>
                <w:rFonts w:hint="eastAsia"/>
                <w:color w:val="auto"/>
                <w:sz w:val="24"/>
              </w:rPr>
              <w:t>10</w:t>
            </w:r>
            <w:r>
              <w:rPr>
                <w:color w:val="auto"/>
                <w:sz w:val="24"/>
              </w:rPr>
              <w:t>0L/</w:t>
            </w:r>
            <w:r>
              <w:rPr>
                <w:rFonts w:hint="eastAsia"/>
                <w:color w:val="auto"/>
                <w:sz w:val="24"/>
              </w:rPr>
              <w:t>（</w:t>
            </w:r>
            <w:r>
              <w:rPr>
                <w:color w:val="auto"/>
                <w:sz w:val="24"/>
              </w:rPr>
              <w:t>人·d</w:t>
            </w:r>
            <w:r>
              <w:rPr>
                <w:rFonts w:hint="eastAsia"/>
                <w:color w:val="auto"/>
                <w:sz w:val="24"/>
              </w:rPr>
              <w:t>）</w:t>
            </w:r>
            <w:r>
              <w:rPr>
                <w:color w:val="auto"/>
                <w:sz w:val="24"/>
              </w:rPr>
              <w:t>计算，则</w:t>
            </w:r>
            <w:r>
              <w:rPr>
                <w:rFonts w:hint="eastAsia"/>
                <w:color w:val="auto"/>
                <w:sz w:val="24"/>
              </w:rPr>
              <w:t>员工</w:t>
            </w:r>
            <w:r>
              <w:rPr>
                <w:color w:val="auto"/>
                <w:sz w:val="24"/>
              </w:rPr>
              <w:t>新鲜水用量为</w:t>
            </w:r>
            <w:r>
              <w:rPr>
                <w:rFonts w:hint="eastAsia"/>
                <w:color w:val="auto"/>
                <w:sz w:val="24"/>
              </w:rPr>
              <w:t>8.2</w:t>
            </w:r>
            <w:r>
              <w:rPr>
                <w:color w:val="auto"/>
                <w:sz w:val="24"/>
              </w:rPr>
              <w:t>m</w:t>
            </w:r>
            <w:r>
              <w:rPr>
                <w:color w:val="auto"/>
                <w:sz w:val="24"/>
                <w:vertAlign w:val="superscript"/>
              </w:rPr>
              <w:t>3</w:t>
            </w:r>
            <w:r>
              <w:rPr>
                <w:color w:val="auto"/>
                <w:sz w:val="24"/>
              </w:rPr>
              <w:t>/d</w:t>
            </w:r>
            <w:r>
              <w:rPr>
                <w:rFonts w:hint="eastAsia"/>
                <w:color w:val="auto"/>
                <w:sz w:val="24"/>
              </w:rPr>
              <w:t>（即2460</w:t>
            </w:r>
            <w:r>
              <w:rPr>
                <w:color w:val="auto"/>
                <w:sz w:val="24"/>
              </w:rPr>
              <w:t>m</w:t>
            </w:r>
            <w:r>
              <w:rPr>
                <w:color w:val="auto"/>
                <w:sz w:val="24"/>
                <w:vertAlign w:val="superscript"/>
              </w:rPr>
              <w:t>3</w:t>
            </w:r>
            <w:r>
              <w:rPr>
                <w:color w:val="auto"/>
                <w:sz w:val="24"/>
              </w:rPr>
              <w:t>/a</w:t>
            </w:r>
            <w:r>
              <w:rPr>
                <w:rFonts w:hint="eastAsia"/>
                <w:color w:val="auto"/>
                <w:sz w:val="24"/>
              </w:rPr>
              <w:t>）</w:t>
            </w:r>
            <w:r>
              <w:rPr>
                <w:color w:val="auto"/>
                <w:sz w:val="24"/>
              </w:rPr>
              <w:t>。</w:t>
            </w:r>
          </w:p>
          <w:p>
            <w:pPr>
              <w:adjustRightInd w:val="0"/>
              <w:snapToGrid w:val="0"/>
              <w:spacing w:line="480" w:lineRule="exact"/>
              <w:ind w:firstLine="480" w:firstLineChars="200"/>
              <w:rPr>
                <w:color w:val="auto"/>
                <w:spacing w:val="2"/>
                <w:sz w:val="24"/>
              </w:rPr>
            </w:pPr>
            <w:r>
              <w:rPr>
                <w:rFonts w:hint="eastAsia" w:ascii="宋体" w:hAnsi="宋体" w:cs="宋体"/>
                <w:color w:val="auto"/>
                <w:sz w:val="24"/>
              </w:rPr>
              <w:t>④</w:t>
            </w:r>
            <w:r>
              <w:rPr>
                <w:color w:val="auto"/>
                <w:sz w:val="24"/>
              </w:rPr>
              <w:t>绿化用水：</w:t>
            </w:r>
            <w:r>
              <w:rPr>
                <w:color w:val="auto"/>
                <w:spacing w:val="2"/>
                <w:sz w:val="24"/>
              </w:rPr>
              <w:t>项目绿化面积</w:t>
            </w:r>
            <w:r>
              <w:rPr>
                <w:rFonts w:hint="eastAsia"/>
                <w:color w:val="auto"/>
                <w:spacing w:val="2"/>
                <w:sz w:val="24"/>
              </w:rPr>
              <w:t>为40</w:t>
            </w:r>
            <w:r>
              <w:rPr>
                <w:color w:val="auto"/>
                <w:spacing w:val="2"/>
                <w:sz w:val="24"/>
              </w:rPr>
              <w:t>00m</w:t>
            </w:r>
            <w:r>
              <w:rPr>
                <w:color w:val="auto"/>
                <w:spacing w:val="2"/>
                <w:sz w:val="24"/>
                <w:szCs w:val="24"/>
                <w:vertAlign w:val="superscript"/>
              </w:rPr>
              <w:t>2</w:t>
            </w:r>
            <w:r>
              <w:rPr>
                <w:color w:val="auto"/>
                <w:spacing w:val="2"/>
                <w:sz w:val="24"/>
              </w:rPr>
              <w:t>，用水按照2.0L/（m</w:t>
            </w:r>
            <w:r>
              <w:rPr>
                <w:color w:val="auto"/>
                <w:spacing w:val="2"/>
                <w:sz w:val="24"/>
                <w:szCs w:val="24"/>
                <w:vertAlign w:val="superscript"/>
              </w:rPr>
              <w:t>2</w:t>
            </w:r>
            <w:r>
              <w:rPr>
                <w:color w:val="auto"/>
                <w:spacing w:val="2"/>
                <w:sz w:val="24"/>
              </w:rPr>
              <w:t>•d）计，全年按120d计，则绿化用水量为</w:t>
            </w:r>
            <w:r>
              <w:rPr>
                <w:rFonts w:hint="eastAsia"/>
                <w:color w:val="auto"/>
                <w:spacing w:val="2"/>
                <w:sz w:val="24"/>
              </w:rPr>
              <w:t>960</w:t>
            </w:r>
            <w:r>
              <w:rPr>
                <w:color w:val="auto"/>
                <w:spacing w:val="2"/>
                <w:sz w:val="24"/>
              </w:rPr>
              <w:t>m</w:t>
            </w:r>
            <w:r>
              <w:rPr>
                <w:color w:val="auto"/>
                <w:spacing w:val="2"/>
                <w:sz w:val="24"/>
                <w:szCs w:val="24"/>
                <w:vertAlign w:val="superscript"/>
              </w:rPr>
              <w:t>3</w:t>
            </w:r>
            <w:r>
              <w:rPr>
                <w:color w:val="auto"/>
                <w:spacing w:val="2"/>
                <w:sz w:val="24"/>
              </w:rPr>
              <w:t>/a</w:t>
            </w:r>
            <w:r>
              <w:rPr>
                <w:rFonts w:hint="eastAsia"/>
                <w:color w:val="auto"/>
                <w:spacing w:val="2"/>
                <w:sz w:val="24"/>
              </w:rPr>
              <w:t>，平均用水量为3.2</w:t>
            </w:r>
            <w:r>
              <w:rPr>
                <w:color w:val="auto"/>
                <w:sz w:val="24"/>
              </w:rPr>
              <w:t>m</w:t>
            </w:r>
            <w:r>
              <w:rPr>
                <w:color w:val="auto"/>
                <w:sz w:val="24"/>
                <w:vertAlign w:val="superscript"/>
              </w:rPr>
              <w:t>3</w:t>
            </w:r>
            <w:r>
              <w:rPr>
                <w:color w:val="auto"/>
                <w:sz w:val="24"/>
              </w:rPr>
              <w:t>/d</w:t>
            </w:r>
            <w:r>
              <w:rPr>
                <w:color w:val="auto"/>
                <w:spacing w:val="2"/>
                <w:sz w:val="24"/>
              </w:rPr>
              <w:t>。</w:t>
            </w:r>
          </w:p>
          <w:p>
            <w:pPr>
              <w:adjustRightInd w:val="0"/>
              <w:snapToGrid w:val="0"/>
              <w:spacing w:line="480" w:lineRule="exact"/>
              <w:ind w:firstLine="480" w:firstLineChars="200"/>
              <w:rPr>
                <w:color w:val="auto"/>
                <w:sz w:val="24"/>
              </w:rPr>
            </w:pPr>
            <w:r>
              <w:rPr>
                <w:rFonts w:hint="eastAsia" w:ascii="宋体" w:hAnsi="宋体" w:cs="宋体"/>
                <w:color w:val="auto"/>
                <w:sz w:val="24"/>
              </w:rPr>
              <w:t>⑤</w:t>
            </w:r>
            <w:r>
              <w:rPr>
                <w:color w:val="auto"/>
                <w:sz w:val="24"/>
              </w:rPr>
              <w:t>道路洒水：</w:t>
            </w:r>
            <w:r>
              <w:rPr>
                <w:color w:val="auto"/>
                <w:spacing w:val="2"/>
                <w:sz w:val="24"/>
              </w:rPr>
              <w:t>项目厂区道路面积为</w:t>
            </w:r>
            <w:r>
              <w:rPr>
                <w:rFonts w:hint="eastAsia"/>
                <w:color w:val="auto"/>
                <w:spacing w:val="2"/>
                <w:sz w:val="24"/>
              </w:rPr>
              <w:t>30</w:t>
            </w:r>
            <w:r>
              <w:rPr>
                <w:color w:val="auto"/>
                <w:spacing w:val="2"/>
                <w:sz w:val="24"/>
              </w:rPr>
              <w:t>00m</w:t>
            </w:r>
            <w:r>
              <w:rPr>
                <w:color w:val="auto"/>
                <w:spacing w:val="2"/>
                <w:sz w:val="24"/>
                <w:szCs w:val="24"/>
                <w:vertAlign w:val="superscript"/>
              </w:rPr>
              <w:t>2</w:t>
            </w:r>
            <w:r>
              <w:rPr>
                <w:rFonts w:hint="eastAsia"/>
                <w:color w:val="auto"/>
                <w:spacing w:val="2"/>
                <w:sz w:val="24"/>
              </w:rPr>
              <w:t>，</w:t>
            </w:r>
            <w:r>
              <w:rPr>
                <w:color w:val="auto"/>
                <w:spacing w:val="2"/>
                <w:sz w:val="24"/>
              </w:rPr>
              <w:t>用水按照2.5L/（m</w:t>
            </w:r>
            <w:r>
              <w:rPr>
                <w:color w:val="auto"/>
                <w:spacing w:val="2"/>
                <w:sz w:val="24"/>
                <w:szCs w:val="24"/>
                <w:vertAlign w:val="superscript"/>
              </w:rPr>
              <w:t>2</w:t>
            </w:r>
            <w:r>
              <w:rPr>
                <w:color w:val="auto"/>
                <w:spacing w:val="2"/>
                <w:sz w:val="24"/>
              </w:rPr>
              <w:t>•d）计，全年按</w:t>
            </w:r>
            <w:r>
              <w:rPr>
                <w:rFonts w:hint="eastAsia"/>
                <w:color w:val="auto"/>
                <w:spacing w:val="2"/>
                <w:sz w:val="24"/>
              </w:rPr>
              <w:t>200</w:t>
            </w:r>
            <w:r>
              <w:rPr>
                <w:color w:val="auto"/>
                <w:spacing w:val="2"/>
                <w:sz w:val="24"/>
              </w:rPr>
              <w:t>d计，则厂区降尘用水量为</w:t>
            </w:r>
            <w:r>
              <w:rPr>
                <w:rFonts w:hint="eastAsia"/>
                <w:color w:val="auto"/>
                <w:spacing w:val="2"/>
                <w:sz w:val="24"/>
              </w:rPr>
              <w:t>1500</w:t>
            </w:r>
            <w:r>
              <w:rPr>
                <w:color w:val="auto"/>
                <w:spacing w:val="2"/>
                <w:sz w:val="24"/>
              </w:rPr>
              <w:t>m</w:t>
            </w:r>
            <w:r>
              <w:rPr>
                <w:color w:val="auto"/>
                <w:spacing w:val="2"/>
                <w:sz w:val="24"/>
                <w:szCs w:val="24"/>
                <w:vertAlign w:val="superscript"/>
              </w:rPr>
              <w:t>3</w:t>
            </w:r>
            <w:r>
              <w:rPr>
                <w:color w:val="auto"/>
                <w:spacing w:val="2"/>
                <w:sz w:val="24"/>
              </w:rPr>
              <w:t>/a</w:t>
            </w:r>
            <w:r>
              <w:rPr>
                <w:rFonts w:hint="eastAsia"/>
                <w:color w:val="auto"/>
                <w:spacing w:val="2"/>
                <w:sz w:val="24"/>
              </w:rPr>
              <w:t>，平均用水量为5</w:t>
            </w:r>
            <w:r>
              <w:rPr>
                <w:color w:val="auto"/>
                <w:sz w:val="24"/>
              </w:rPr>
              <w:t>m</w:t>
            </w:r>
            <w:r>
              <w:rPr>
                <w:color w:val="auto"/>
                <w:sz w:val="24"/>
                <w:vertAlign w:val="superscript"/>
              </w:rPr>
              <w:t>3</w:t>
            </w:r>
            <w:r>
              <w:rPr>
                <w:color w:val="auto"/>
                <w:sz w:val="24"/>
              </w:rPr>
              <w:t>/d</w:t>
            </w:r>
            <w:r>
              <w:rPr>
                <w:color w:val="auto"/>
                <w:spacing w:val="2"/>
                <w:sz w:val="24"/>
              </w:rPr>
              <w:t>。</w:t>
            </w:r>
          </w:p>
          <w:p>
            <w:pPr>
              <w:spacing w:line="360" w:lineRule="auto"/>
              <w:ind w:firstLine="480" w:firstLineChars="200"/>
              <w:rPr>
                <w:color w:val="auto"/>
                <w:sz w:val="24"/>
              </w:rPr>
            </w:pPr>
            <w:r>
              <w:rPr>
                <w:rFonts w:hAnsi="宋体"/>
                <w:color w:val="auto"/>
                <w:sz w:val="24"/>
              </w:rPr>
              <w:t>（</w:t>
            </w:r>
            <w:r>
              <w:rPr>
                <w:color w:val="auto"/>
                <w:sz w:val="24"/>
              </w:rPr>
              <w:t>2</w:t>
            </w:r>
            <w:r>
              <w:rPr>
                <w:rFonts w:hAnsi="宋体"/>
                <w:color w:val="auto"/>
                <w:sz w:val="24"/>
              </w:rPr>
              <w:t>）</w:t>
            </w:r>
            <w:r>
              <w:rPr>
                <w:color w:val="auto"/>
                <w:sz w:val="24"/>
              </w:rPr>
              <w:t>排水</w:t>
            </w:r>
          </w:p>
          <w:p>
            <w:pPr>
              <w:spacing w:line="360" w:lineRule="auto"/>
              <w:ind w:firstLine="482"/>
              <w:rPr>
                <w:rFonts w:hAnsi="宋体"/>
                <w:color w:val="auto"/>
                <w:sz w:val="24"/>
              </w:rPr>
            </w:pPr>
            <w:r>
              <w:rPr>
                <w:rFonts w:hAnsi="宋体"/>
                <w:color w:val="auto"/>
                <w:sz w:val="24"/>
                <w:szCs w:val="24"/>
              </w:rPr>
              <w:t>①</w:t>
            </w:r>
            <w:r>
              <w:rPr>
                <w:rFonts w:hint="eastAsia" w:hAnsi="宋体"/>
                <w:color w:val="auto"/>
                <w:sz w:val="24"/>
              </w:rPr>
              <w:t>生产用水</w:t>
            </w:r>
            <w:r>
              <w:rPr>
                <w:rFonts w:hAnsi="宋体"/>
                <w:color w:val="auto"/>
                <w:sz w:val="24"/>
              </w:rPr>
              <w:t>经干燥焙烧后，全部以蒸汽的形式蒸发掉，不外排。</w:t>
            </w:r>
          </w:p>
          <w:p>
            <w:pPr>
              <w:spacing w:line="360" w:lineRule="auto"/>
              <w:ind w:firstLine="482"/>
              <w:rPr>
                <w:rFonts w:hAnsi="宋体"/>
                <w:color w:val="auto"/>
                <w:sz w:val="24"/>
                <w:szCs w:val="24"/>
              </w:rPr>
            </w:pPr>
            <w:r>
              <w:rPr>
                <w:rFonts w:hAnsi="宋体"/>
                <w:color w:val="auto"/>
                <w:sz w:val="24"/>
                <w:szCs w:val="24"/>
              </w:rPr>
              <w:t>②</w:t>
            </w:r>
            <w:r>
              <w:rPr>
                <w:rFonts w:hint="eastAsia" w:hAnsi="宋体"/>
                <w:color w:val="auto"/>
                <w:sz w:val="24"/>
                <w:szCs w:val="24"/>
              </w:rPr>
              <w:t>取土区洒水降尘用</w:t>
            </w:r>
            <w:r>
              <w:rPr>
                <w:rFonts w:hAnsi="宋体"/>
                <w:color w:val="auto"/>
                <w:sz w:val="24"/>
              </w:rPr>
              <w:t>全部以蒸汽的形式蒸发掉，不外排。</w:t>
            </w:r>
          </w:p>
          <w:p>
            <w:pPr>
              <w:spacing w:line="360" w:lineRule="auto"/>
              <w:ind w:firstLine="482"/>
              <w:rPr>
                <w:color w:val="auto"/>
                <w:sz w:val="24"/>
                <w:szCs w:val="24"/>
              </w:rPr>
            </w:pPr>
            <w:r>
              <w:rPr>
                <w:rFonts w:hint="eastAsia" w:hAnsi="宋体"/>
                <w:color w:val="auto"/>
                <w:sz w:val="24"/>
                <w:szCs w:val="24"/>
              </w:rPr>
              <w:t>③</w:t>
            </w:r>
            <w:r>
              <w:rPr>
                <w:color w:val="auto"/>
                <w:sz w:val="24"/>
                <w:szCs w:val="24"/>
              </w:rPr>
              <w:t>本项目生活污水产生量按照用水量的</w:t>
            </w:r>
            <w:r>
              <w:rPr>
                <w:rFonts w:hint="eastAsia"/>
                <w:color w:val="auto"/>
                <w:sz w:val="24"/>
                <w:szCs w:val="24"/>
              </w:rPr>
              <w:t>85</w:t>
            </w:r>
            <w:r>
              <w:rPr>
                <w:color w:val="auto"/>
                <w:sz w:val="24"/>
                <w:szCs w:val="24"/>
              </w:rPr>
              <w:t>%计算，则员工产生污水量为</w:t>
            </w:r>
            <w:r>
              <w:rPr>
                <w:rFonts w:hint="eastAsia"/>
                <w:color w:val="auto"/>
                <w:sz w:val="24"/>
                <w:szCs w:val="24"/>
              </w:rPr>
              <w:t>7.0</w:t>
            </w:r>
            <w:r>
              <w:rPr>
                <w:color w:val="auto"/>
                <w:sz w:val="24"/>
              </w:rPr>
              <w:t>m</w:t>
            </w:r>
            <w:r>
              <w:rPr>
                <w:color w:val="auto"/>
                <w:sz w:val="24"/>
                <w:vertAlign w:val="superscript"/>
              </w:rPr>
              <w:t>3</w:t>
            </w:r>
            <w:r>
              <w:rPr>
                <w:color w:val="auto"/>
                <w:sz w:val="24"/>
              </w:rPr>
              <w:t>/d</w:t>
            </w:r>
            <w:r>
              <w:rPr>
                <w:rFonts w:hint="eastAsia"/>
                <w:color w:val="auto"/>
                <w:spacing w:val="2"/>
                <w:sz w:val="24"/>
              </w:rPr>
              <w:t>（2091</w:t>
            </w:r>
            <w:r>
              <w:rPr>
                <w:color w:val="auto"/>
                <w:spacing w:val="2"/>
                <w:sz w:val="24"/>
              </w:rPr>
              <w:t>m</w:t>
            </w:r>
            <w:r>
              <w:rPr>
                <w:color w:val="auto"/>
                <w:spacing w:val="2"/>
                <w:sz w:val="24"/>
                <w:szCs w:val="24"/>
                <w:vertAlign w:val="superscript"/>
              </w:rPr>
              <w:t>3</w:t>
            </w:r>
            <w:r>
              <w:rPr>
                <w:color w:val="auto"/>
                <w:spacing w:val="2"/>
                <w:sz w:val="24"/>
              </w:rPr>
              <w:t>/a</w:t>
            </w:r>
            <w:r>
              <w:rPr>
                <w:rFonts w:hint="eastAsia"/>
                <w:color w:val="auto"/>
                <w:spacing w:val="2"/>
                <w:sz w:val="24"/>
              </w:rPr>
              <w:t>）</w:t>
            </w:r>
            <w:r>
              <w:rPr>
                <w:color w:val="auto"/>
                <w:sz w:val="24"/>
                <w:szCs w:val="24"/>
              </w:rPr>
              <w:t>，</w:t>
            </w:r>
            <w:r>
              <w:rPr>
                <w:rFonts w:hint="eastAsia"/>
                <w:color w:val="auto"/>
                <w:sz w:val="24"/>
                <w:szCs w:val="24"/>
              </w:rPr>
              <w:t>经化粪池储存后定期清掏，不外排</w:t>
            </w:r>
            <w:r>
              <w:rPr>
                <w:color w:val="auto"/>
                <w:spacing w:val="2"/>
                <w:sz w:val="24"/>
              </w:rPr>
              <w:t>。</w:t>
            </w:r>
          </w:p>
          <w:p>
            <w:pPr>
              <w:spacing w:line="360" w:lineRule="auto"/>
              <w:ind w:firstLine="482"/>
              <w:rPr>
                <w:color w:val="auto"/>
                <w:sz w:val="24"/>
                <w:szCs w:val="24"/>
              </w:rPr>
            </w:pPr>
            <w:r>
              <w:rPr>
                <w:rFonts w:hint="eastAsia"/>
                <w:color w:val="auto"/>
                <w:sz w:val="24"/>
                <w:szCs w:val="24"/>
              </w:rPr>
              <w:t>④项目</w:t>
            </w:r>
            <w:r>
              <w:rPr>
                <w:color w:val="auto"/>
                <w:spacing w:val="2"/>
                <w:sz w:val="24"/>
              </w:rPr>
              <w:t>绿化用水</w:t>
            </w:r>
            <w:r>
              <w:rPr>
                <w:rFonts w:hAnsi="宋体"/>
                <w:color w:val="auto"/>
                <w:sz w:val="24"/>
              </w:rPr>
              <w:t>全部以蒸汽的形式蒸发掉，不外排。</w:t>
            </w:r>
          </w:p>
          <w:p>
            <w:pPr>
              <w:spacing w:line="360" w:lineRule="auto"/>
              <w:ind w:firstLine="482"/>
              <w:rPr>
                <w:color w:val="auto"/>
                <w:sz w:val="24"/>
                <w:szCs w:val="24"/>
              </w:rPr>
            </w:pPr>
            <w:r>
              <w:rPr>
                <w:rFonts w:hint="eastAsia"/>
                <w:color w:val="auto"/>
                <w:sz w:val="24"/>
                <w:szCs w:val="24"/>
              </w:rPr>
              <w:t>⑤</w:t>
            </w:r>
            <w:r>
              <w:rPr>
                <w:color w:val="auto"/>
                <w:spacing w:val="2"/>
                <w:sz w:val="24"/>
              </w:rPr>
              <w:t>项目厂区道路</w:t>
            </w:r>
            <w:r>
              <w:rPr>
                <w:rFonts w:hint="eastAsia"/>
                <w:color w:val="auto"/>
                <w:spacing w:val="2"/>
                <w:sz w:val="24"/>
              </w:rPr>
              <w:t>洒水</w:t>
            </w:r>
            <w:r>
              <w:rPr>
                <w:rFonts w:hAnsi="宋体"/>
                <w:color w:val="auto"/>
                <w:sz w:val="24"/>
              </w:rPr>
              <w:t>全部以蒸汽的形式蒸发掉，不外排。</w:t>
            </w:r>
          </w:p>
          <w:p>
            <w:pPr>
              <w:spacing w:line="360" w:lineRule="auto"/>
              <w:ind w:firstLine="482"/>
              <w:rPr>
                <w:color w:val="auto"/>
                <w:sz w:val="24"/>
                <w:szCs w:val="24"/>
              </w:rPr>
            </w:pPr>
            <w:r>
              <w:rPr>
                <w:color w:val="auto"/>
                <w:sz w:val="24"/>
                <w:szCs w:val="24"/>
              </w:rPr>
              <w:t>项目用水、排水情况见表</w:t>
            </w:r>
            <w:r>
              <w:rPr>
                <w:rFonts w:hint="eastAsia"/>
                <w:color w:val="auto"/>
                <w:sz w:val="24"/>
                <w:szCs w:val="24"/>
              </w:rPr>
              <w:t>13</w:t>
            </w:r>
            <w:r>
              <w:rPr>
                <w:color w:val="auto"/>
                <w:sz w:val="24"/>
                <w:szCs w:val="24"/>
              </w:rPr>
              <w:t>。</w:t>
            </w:r>
          </w:p>
          <w:p>
            <w:pPr>
              <w:jc w:val="center"/>
              <w:rPr>
                <w:b/>
                <w:color w:val="auto"/>
              </w:rPr>
            </w:pPr>
            <w:r>
              <w:rPr>
                <w:b/>
                <w:color w:val="auto"/>
              </w:rPr>
              <w:t>表</w:t>
            </w:r>
            <w:r>
              <w:rPr>
                <w:rFonts w:hint="eastAsia"/>
                <w:b/>
                <w:color w:val="auto"/>
              </w:rPr>
              <w:t>13</w:t>
            </w:r>
            <w:r>
              <w:rPr>
                <w:b/>
                <w:color w:val="auto"/>
              </w:rPr>
              <w:t xml:space="preserve">    项目给排水情况一览表</w:t>
            </w:r>
          </w:p>
          <w:tbl>
            <w:tblPr>
              <w:tblStyle w:val="24"/>
              <w:tblW w:w="8978"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1805"/>
              <w:gridCol w:w="2060"/>
              <w:gridCol w:w="1842"/>
              <w:gridCol w:w="1560"/>
              <w:gridCol w:w="171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05" w:type="dxa"/>
                  <w:vAlign w:val="center"/>
                </w:tcPr>
                <w:p>
                  <w:pPr>
                    <w:pStyle w:val="76"/>
                    <w:rPr>
                      <w:color w:val="auto"/>
                      <w:sz w:val="21"/>
                      <w:szCs w:val="21"/>
                    </w:rPr>
                  </w:pPr>
                  <w:r>
                    <w:rPr>
                      <w:color w:val="auto"/>
                      <w:sz w:val="21"/>
                      <w:szCs w:val="21"/>
                    </w:rPr>
                    <w:t>用水名称</w:t>
                  </w:r>
                </w:p>
              </w:tc>
              <w:tc>
                <w:tcPr>
                  <w:tcW w:w="2060" w:type="dxa"/>
                  <w:vAlign w:val="center"/>
                </w:tcPr>
                <w:p>
                  <w:pPr>
                    <w:pStyle w:val="76"/>
                    <w:rPr>
                      <w:color w:val="auto"/>
                      <w:sz w:val="21"/>
                      <w:szCs w:val="21"/>
                    </w:rPr>
                  </w:pPr>
                  <w:r>
                    <w:rPr>
                      <w:color w:val="auto"/>
                      <w:sz w:val="21"/>
                      <w:szCs w:val="21"/>
                    </w:rPr>
                    <w:t>总用水量</w:t>
                  </w:r>
                </w:p>
                <w:p>
                  <w:pPr>
                    <w:pStyle w:val="76"/>
                    <w:rPr>
                      <w:color w:val="auto"/>
                      <w:sz w:val="21"/>
                      <w:szCs w:val="21"/>
                    </w:rPr>
                  </w:pPr>
                  <w:r>
                    <w:rPr>
                      <w:color w:val="auto"/>
                      <w:sz w:val="21"/>
                      <w:szCs w:val="21"/>
                    </w:rPr>
                    <w:t>m</w:t>
                  </w:r>
                  <w:r>
                    <w:rPr>
                      <w:color w:val="auto"/>
                      <w:sz w:val="21"/>
                      <w:szCs w:val="21"/>
                      <w:vertAlign w:val="superscript"/>
                    </w:rPr>
                    <w:t>3</w:t>
                  </w:r>
                  <w:r>
                    <w:rPr>
                      <w:color w:val="auto"/>
                      <w:sz w:val="21"/>
                      <w:szCs w:val="21"/>
                    </w:rPr>
                    <w:t>/d</w:t>
                  </w:r>
                </w:p>
              </w:tc>
              <w:tc>
                <w:tcPr>
                  <w:tcW w:w="1842" w:type="dxa"/>
                  <w:vAlign w:val="center"/>
                </w:tcPr>
                <w:p>
                  <w:pPr>
                    <w:pStyle w:val="76"/>
                    <w:rPr>
                      <w:color w:val="auto"/>
                      <w:sz w:val="21"/>
                      <w:szCs w:val="21"/>
                    </w:rPr>
                  </w:pPr>
                  <w:r>
                    <w:rPr>
                      <w:color w:val="auto"/>
                      <w:sz w:val="21"/>
                      <w:szCs w:val="21"/>
                    </w:rPr>
                    <w:t>新鲜水量m</w:t>
                  </w:r>
                  <w:r>
                    <w:rPr>
                      <w:color w:val="auto"/>
                      <w:sz w:val="21"/>
                      <w:szCs w:val="21"/>
                      <w:vertAlign w:val="superscript"/>
                    </w:rPr>
                    <w:t>3</w:t>
                  </w:r>
                  <w:r>
                    <w:rPr>
                      <w:color w:val="auto"/>
                      <w:sz w:val="21"/>
                      <w:szCs w:val="21"/>
                    </w:rPr>
                    <w:t>/d</w:t>
                  </w:r>
                </w:p>
              </w:tc>
              <w:tc>
                <w:tcPr>
                  <w:tcW w:w="1560" w:type="dxa"/>
                  <w:vAlign w:val="center"/>
                </w:tcPr>
                <w:p>
                  <w:pPr>
                    <w:pStyle w:val="76"/>
                    <w:rPr>
                      <w:color w:val="auto"/>
                      <w:sz w:val="21"/>
                      <w:szCs w:val="21"/>
                    </w:rPr>
                  </w:pPr>
                  <w:r>
                    <w:rPr>
                      <w:rFonts w:hint="eastAsia"/>
                      <w:color w:val="auto"/>
                      <w:sz w:val="21"/>
                      <w:szCs w:val="21"/>
                    </w:rPr>
                    <w:t>消耗</w:t>
                  </w:r>
                  <w:r>
                    <w:rPr>
                      <w:color w:val="auto"/>
                      <w:sz w:val="21"/>
                      <w:szCs w:val="21"/>
                    </w:rPr>
                    <w:t>量m</w:t>
                  </w:r>
                  <w:r>
                    <w:rPr>
                      <w:color w:val="auto"/>
                      <w:sz w:val="21"/>
                      <w:szCs w:val="21"/>
                      <w:vertAlign w:val="superscript"/>
                    </w:rPr>
                    <w:t>3</w:t>
                  </w:r>
                  <w:r>
                    <w:rPr>
                      <w:color w:val="auto"/>
                      <w:sz w:val="21"/>
                      <w:szCs w:val="21"/>
                    </w:rPr>
                    <w:t>/d</w:t>
                  </w:r>
                </w:p>
              </w:tc>
              <w:tc>
                <w:tcPr>
                  <w:tcW w:w="1711" w:type="dxa"/>
                  <w:vAlign w:val="center"/>
                </w:tcPr>
                <w:p>
                  <w:pPr>
                    <w:pStyle w:val="76"/>
                    <w:rPr>
                      <w:color w:val="auto"/>
                      <w:sz w:val="21"/>
                      <w:szCs w:val="21"/>
                    </w:rPr>
                  </w:pPr>
                  <w:r>
                    <w:rPr>
                      <w:color w:val="auto"/>
                      <w:sz w:val="21"/>
                      <w:szCs w:val="21"/>
                    </w:rPr>
                    <w:t>排水去向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05" w:type="dxa"/>
                  <w:vAlign w:val="center"/>
                </w:tcPr>
                <w:p>
                  <w:pPr>
                    <w:pStyle w:val="76"/>
                    <w:rPr>
                      <w:color w:val="auto"/>
                      <w:sz w:val="21"/>
                      <w:szCs w:val="21"/>
                    </w:rPr>
                  </w:pPr>
                  <w:r>
                    <w:rPr>
                      <w:rFonts w:hint="eastAsia"/>
                      <w:color w:val="auto"/>
                      <w:sz w:val="21"/>
                      <w:szCs w:val="21"/>
                    </w:rPr>
                    <w:t>生产用水</w:t>
                  </w:r>
                </w:p>
              </w:tc>
              <w:tc>
                <w:tcPr>
                  <w:tcW w:w="2060" w:type="dxa"/>
                  <w:vAlign w:val="center"/>
                </w:tcPr>
                <w:p>
                  <w:pPr>
                    <w:pStyle w:val="76"/>
                    <w:rPr>
                      <w:color w:val="auto"/>
                      <w:sz w:val="21"/>
                      <w:szCs w:val="21"/>
                    </w:rPr>
                  </w:pPr>
                  <w:r>
                    <w:rPr>
                      <w:rFonts w:hint="eastAsia"/>
                      <w:color w:val="auto"/>
                      <w:sz w:val="21"/>
                      <w:szCs w:val="21"/>
                    </w:rPr>
                    <w:t>64</w:t>
                  </w:r>
                </w:p>
              </w:tc>
              <w:tc>
                <w:tcPr>
                  <w:tcW w:w="1842" w:type="dxa"/>
                  <w:vAlign w:val="center"/>
                </w:tcPr>
                <w:p>
                  <w:pPr>
                    <w:pStyle w:val="76"/>
                    <w:rPr>
                      <w:color w:val="auto"/>
                      <w:sz w:val="21"/>
                      <w:szCs w:val="21"/>
                    </w:rPr>
                  </w:pPr>
                  <w:r>
                    <w:rPr>
                      <w:rFonts w:hint="eastAsia"/>
                      <w:color w:val="auto"/>
                      <w:sz w:val="21"/>
                      <w:szCs w:val="21"/>
                    </w:rPr>
                    <w:t>64</w:t>
                  </w:r>
                </w:p>
              </w:tc>
              <w:tc>
                <w:tcPr>
                  <w:tcW w:w="1560" w:type="dxa"/>
                  <w:vAlign w:val="center"/>
                </w:tcPr>
                <w:p>
                  <w:pPr>
                    <w:pStyle w:val="76"/>
                    <w:rPr>
                      <w:color w:val="auto"/>
                      <w:sz w:val="21"/>
                      <w:szCs w:val="21"/>
                    </w:rPr>
                  </w:pPr>
                  <w:r>
                    <w:rPr>
                      <w:rFonts w:hint="eastAsia"/>
                      <w:color w:val="auto"/>
                      <w:sz w:val="21"/>
                      <w:szCs w:val="21"/>
                    </w:rPr>
                    <w:t>64</w:t>
                  </w:r>
                </w:p>
              </w:tc>
              <w:tc>
                <w:tcPr>
                  <w:tcW w:w="1711" w:type="dxa"/>
                  <w:vAlign w:val="center"/>
                </w:tcPr>
                <w:p>
                  <w:pPr>
                    <w:pStyle w:val="76"/>
                    <w:rPr>
                      <w:color w:val="auto"/>
                      <w:sz w:val="21"/>
                      <w:szCs w:val="21"/>
                    </w:rPr>
                  </w:pPr>
                  <w:r>
                    <w:rPr>
                      <w:color w:val="auto"/>
                      <w:sz w:val="21"/>
                      <w:szCs w:val="21"/>
                    </w:rPr>
                    <w:t>蒸发耗散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05" w:type="dxa"/>
                  <w:vAlign w:val="center"/>
                </w:tcPr>
                <w:p>
                  <w:pPr>
                    <w:pStyle w:val="76"/>
                    <w:rPr>
                      <w:color w:val="auto"/>
                      <w:sz w:val="21"/>
                      <w:szCs w:val="21"/>
                    </w:rPr>
                  </w:pPr>
                  <w:r>
                    <w:rPr>
                      <w:color w:val="auto"/>
                      <w:sz w:val="21"/>
                      <w:szCs w:val="21"/>
                    </w:rPr>
                    <w:t>取土区用水</w:t>
                  </w:r>
                </w:p>
              </w:tc>
              <w:tc>
                <w:tcPr>
                  <w:tcW w:w="2060" w:type="dxa"/>
                  <w:vAlign w:val="center"/>
                </w:tcPr>
                <w:p>
                  <w:pPr>
                    <w:pStyle w:val="76"/>
                    <w:rPr>
                      <w:color w:val="auto"/>
                      <w:sz w:val="21"/>
                      <w:szCs w:val="21"/>
                    </w:rPr>
                  </w:pPr>
                  <w:r>
                    <w:rPr>
                      <w:rFonts w:hint="eastAsia"/>
                      <w:color w:val="auto"/>
                      <w:sz w:val="21"/>
                      <w:szCs w:val="21"/>
                    </w:rPr>
                    <w:t>2.3</w:t>
                  </w:r>
                </w:p>
              </w:tc>
              <w:tc>
                <w:tcPr>
                  <w:tcW w:w="1842" w:type="dxa"/>
                  <w:vAlign w:val="center"/>
                </w:tcPr>
                <w:p>
                  <w:pPr>
                    <w:pStyle w:val="76"/>
                    <w:rPr>
                      <w:color w:val="auto"/>
                      <w:sz w:val="21"/>
                      <w:szCs w:val="21"/>
                    </w:rPr>
                  </w:pPr>
                  <w:r>
                    <w:rPr>
                      <w:rFonts w:hint="eastAsia"/>
                      <w:color w:val="auto"/>
                      <w:sz w:val="21"/>
                      <w:szCs w:val="21"/>
                    </w:rPr>
                    <w:t>2.3</w:t>
                  </w:r>
                </w:p>
              </w:tc>
              <w:tc>
                <w:tcPr>
                  <w:tcW w:w="1560" w:type="dxa"/>
                  <w:vAlign w:val="center"/>
                </w:tcPr>
                <w:p>
                  <w:pPr>
                    <w:pStyle w:val="76"/>
                    <w:rPr>
                      <w:color w:val="auto"/>
                      <w:sz w:val="21"/>
                      <w:szCs w:val="21"/>
                    </w:rPr>
                  </w:pPr>
                  <w:r>
                    <w:rPr>
                      <w:rFonts w:hint="eastAsia"/>
                      <w:color w:val="auto"/>
                      <w:sz w:val="21"/>
                      <w:szCs w:val="21"/>
                    </w:rPr>
                    <w:t>2.3</w:t>
                  </w:r>
                </w:p>
              </w:tc>
              <w:tc>
                <w:tcPr>
                  <w:tcW w:w="1711" w:type="dxa"/>
                  <w:vAlign w:val="center"/>
                </w:tcPr>
                <w:p>
                  <w:pPr>
                    <w:pStyle w:val="76"/>
                    <w:rPr>
                      <w:color w:val="auto"/>
                      <w:sz w:val="21"/>
                      <w:szCs w:val="21"/>
                    </w:rPr>
                  </w:pPr>
                  <w:r>
                    <w:rPr>
                      <w:color w:val="auto"/>
                      <w:sz w:val="21"/>
                      <w:szCs w:val="21"/>
                    </w:rPr>
                    <w:t>蒸发耗散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05" w:type="dxa"/>
                  <w:vAlign w:val="center"/>
                </w:tcPr>
                <w:p>
                  <w:pPr>
                    <w:pStyle w:val="76"/>
                    <w:rPr>
                      <w:color w:val="auto"/>
                      <w:sz w:val="21"/>
                      <w:szCs w:val="21"/>
                    </w:rPr>
                  </w:pPr>
                  <w:r>
                    <w:rPr>
                      <w:color w:val="auto"/>
                      <w:sz w:val="21"/>
                      <w:szCs w:val="21"/>
                    </w:rPr>
                    <w:t>生活用水</w:t>
                  </w:r>
                </w:p>
              </w:tc>
              <w:tc>
                <w:tcPr>
                  <w:tcW w:w="2060" w:type="dxa"/>
                  <w:vAlign w:val="center"/>
                </w:tcPr>
                <w:p>
                  <w:pPr>
                    <w:pStyle w:val="76"/>
                    <w:rPr>
                      <w:color w:val="auto"/>
                      <w:sz w:val="21"/>
                      <w:szCs w:val="21"/>
                    </w:rPr>
                  </w:pPr>
                  <w:r>
                    <w:rPr>
                      <w:rFonts w:hint="eastAsia"/>
                      <w:color w:val="auto"/>
                      <w:sz w:val="21"/>
                      <w:szCs w:val="21"/>
                    </w:rPr>
                    <w:t>8.2</w:t>
                  </w:r>
                </w:p>
              </w:tc>
              <w:tc>
                <w:tcPr>
                  <w:tcW w:w="1842" w:type="dxa"/>
                  <w:vAlign w:val="center"/>
                </w:tcPr>
                <w:p>
                  <w:pPr>
                    <w:pStyle w:val="76"/>
                    <w:rPr>
                      <w:color w:val="auto"/>
                      <w:sz w:val="21"/>
                      <w:szCs w:val="21"/>
                    </w:rPr>
                  </w:pPr>
                  <w:r>
                    <w:rPr>
                      <w:rFonts w:hint="eastAsia"/>
                      <w:color w:val="auto"/>
                      <w:sz w:val="21"/>
                      <w:szCs w:val="21"/>
                    </w:rPr>
                    <w:t>8.2</w:t>
                  </w:r>
                </w:p>
              </w:tc>
              <w:tc>
                <w:tcPr>
                  <w:tcW w:w="1560" w:type="dxa"/>
                  <w:vAlign w:val="center"/>
                </w:tcPr>
                <w:p>
                  <w:pPr>
                    <w:pStyle w:val="76"/>
                    <w:rPr>
                      <w:color w:val="auto"/>
                      <w:sz w:val="21"/>
                      <w:szCs w:val="21"/>
                    </w:rPr>
                  </w:pPr>
                  <w:r>
                    <w:rPr>
                      <w:rFonts w:hint="eastAsia"/>
                      <w:color w:val="auto"/>
                      <w:sz w:val="21"/>
                      <w:szCs w:val="21"/>
                    </w:rPr>
                    <w:t>8.2</w:t>
                  </w:r>
                </w:p>
              </w:tc>
              <w:tc>
                <w:tcPr>
                  <w:tcW w:w="1711" w:type="dxa"/>
                  <w:vAlign w:val="center"/>
                </w:tcPr>
                <w:p>
                  <w:pPr>
                    <w:pStyle w:val="76"/>
                    <w:rPr>
                      <w:color w:val="auto"/>
                      <w:sz w:val="21"/>
                      <w:szCs w:val="21"/>
                    </w:rPr>
                  </w:pPr>
                  <w:r>
                    <w:rPr>
                      <w:rFonts w:hint="eastAsia"/>
                      <w:color w:val="auto"/>
                      <w:sz w:val="21"/>
                      <w:szCs w:val="21"/>
                    </w:rPr>
                    <w:t>定期清掏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805" w:type="dxa"/>
                  <w:vAlign w:val="center"/>
                </w:tcPr>
                <w:p>
                  <w:pPr>
                    <w:pStyle w:val="76"/>
                    <w:rPr>
                      <w:color w:val="auto"/>
                      <w:sz w:val="21"/>
                      <w:szCs w:val="21"/>
                    </w:rPr>
                  </w:pPr>
                  <w:r>
                    <w:rPr>
                      <w:color w:val="auto"/>
                      <w:sz w:val="21"/>
                      <w:szCs w:val="21"/>
                    </w:rPr>
                    <w:t>绿化用水</w:t>
                  </w:r>
                </w:p>
              </w:tc>
              <w:tc>
                <w:tcPr>
                  <w:tcW w:w="2060" w:type="dxa"/>
                  <w:vAlign w:val="center"/>
                </w:tcPr>
                <w:p>
                  <w:pPr>
                    <w:pStyle w:val="76"/>
                    <w:rPr>
                      <w:color w:val="auto"/>
                      <w:sz w:val="21"/>
                      <w:szCs w:val="21"/>
                    </w:rPr>
                  </w:pPr>
                  <w:r>
                    <w:rPr>
                      <w:rFonts w:hint="eastAsia"/>
                      <w:color w:val="auto"/>
                      <w:sz w:val="21"/>
                      <w:szCs w:val="21"/>
                    </w:rPr>
                    <w:t>3.2</w:t>
                  </w:r>
                </w:p>
              </w:tc>
              <w:tc>
                <w:tcPr>
                  <w:tcW w:w="1842" w:type="dxa"/>
                  <w:vAlign w:val="center"/>
                </w:tcPr>
                <w:p>
                  <w:pPr>
                    <w:pStyle w:val="76"/>
                    <w:rPr>
                      <w:color w:val="auto"/>
                      <w:sz w:val="21"/>
                      <w:szCs w:val="21"/>
                    </w:rPr>
                  </w:pPr>
                  <w:r>
                    <w:rPr>
                      <w:rFonts w:hint="eastAsia"/>
                      <w:color w:val="auto"/>
                      <w:sz w:val="21"/>
                      <w:szCs w:val="21"/>
                    </w:rPr>
                    <w:t>3.2</w:t>
                  </w:r>
                </w:p>
              </w:tc>
              <w:tc>
                <w:tcPr>
                  <w:tcW w:w="1560" w:type="dxa"/>
                  <w:vAlign w:val="center"/>
                </w:tcPr>
                <w:p>
                  <w:pPr>
                    <w:pStyle w:val="76"/>
                    <w:rPr>
                      <w:color w:val="auto"/>
                      <w:sz w:val="21"/>
                      <w:szCs w:val="21"/>
                    </w:rPr>
                  </w:pPr>
                  <w:r>
                    <w:rPr>
                      <w:rFonts w:hint="eastAsia"/>
                      <w:color w:val="auto"/>
                      <w:sz w:val="21"/>
                      <w:szCs w:val="21"/>
                    </w:rPr>
                    <w:t>3.2</w:t>
                  </w:r>
                </w:p>
              </w:tc>
              <w:tc>
                <w:tcPr>
                  <w:tcW w:w="1711" w:type="dxa"/>
                  <w:vAlign w:val="center"/>
                </w:tcPr>
                <w:p>
                  <w:pPr>
                    <w:pStyle w:val="76"/>
                    <w:rPr>
                      <w:color w:val="auto"/>
                      <w:sz w:val="21"/>
                      <w:szCs w:val="21"/>
                    </w:rPr>
                  </w:pPr>
                  <w:r>
                    <w:rPr>
                      <w:color w:val="auto"/>
                      <w:sz w:val="21"/>
                      <w:szCs w:val="21"/>
                    </w:rPr>
                    <w:t>蒸发耗散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805" w:type="dxa"/>
                  <w:vAlign w:val="center"/>
                </w:tcPr>
                <w:p>
                  <w:pPr>
                    <w:pStyle w:val="76"/>
                    <w:rPr>
                      <w:color w:val="auto"/>
                      <w:sz w:val="21"/>
                      <w:szCs w:val="21"/>
                    </w:rPr>
                  </w:pPr>
                  <w:r>
                    <w:rPr>
                      <w:color w:val="auto"/>
                      <w:sz w:val="21"/>
                      <w:szCs w:val="21"/>
                    </w:rPr>
                    <w:t>道</w:t>
                  </w:r>
                  <w:r>
                    <w:rPr>
                      <w:rFonts w:hint="eastAsia"/>
                      <w:color w:val="auto"/>
                      <w:sz w:val="21"/>
                      <w:szCs w:val="21"/>
                    </w:rPr>
                    <w:t>路</w:t>
                  </w:r>
                  <w:r>
                    <w:rPr>
                      <w:color w:val="auto"/>
                      <w:sz w:val="21"/>
                      <w:szCs w:val="21"/>
                    </w:rPr>
                    <w:t>洒水</w:t>
                  </w:r>
                </w:p>
              </w:tc>
              <w:tc>
                <w:tcPr>
                  <w:tcW w:w="2060" w:type="dxa"/>
                  <w:vAlign w:val="center"/>
                </w:tcPr>
                <w:p>
                  <w:pPr>
                    <w:pStyle w:val="76"/>
                    <w:rPr>
                      <w:color w:val="auto"/>
                      <w:sz w:val="21"/>
                      <w:szCs w:val="21"/>
                    </w:rPr>
                  </w:pPr>
                  <w:r>
                    <w:rPr>
                      <w:rFonts w:hint="eastAsia"/>
                      <w:color w:val="auto"/>
                      <w:sz w:val="21"/>
                      <w:szCs w:val="21"/>
                    </w:rPr>
                    <w:t>5</w:t>
                  </w:r>
                </w:p>
              </w:tc>
              <w:tc>
                <w:tcPr>
                  <w:tcW w:w="1842" w:type="dxa"/>
                  <w:vAlign w:val="center"/>
                </w:tcPr>
                <w:p>
                  <w:pPr>
                    <w:pStyle w:val="76"/>
                    <w:rPr>
                      <w:color w:val="auto"/>
                      <w:sz w:val="21"/>
                      <w:szCs w:val="21"/>
                    </w:rPr>
                  </w:pPr>
                  <w:r>
                    <w:rPr>
                      <w:rFonts w:hint="eastAsia"/>
                      <w:color w:val="auto"/>
                      <w:sz w:val="21"/>
                      <w:szCs w:val="21"/>
                    </w:rPr>
                    <w:t>5</w:t>
                  </w:r>
                </w:p>
              </w:tc>
              <w:tc>
                <w:tcPr>
                  <w:tcW w:w="1560" w:type="dxa"/>
                  <w:vAlign w:val="center"/>
                </w:tcPr>
                <w:p>
                  <w:pPr>
                    <w:pStyle w:val="76"/>
                    <w:rPr>
                      <w:color w:val="auto"/>
                      <w:sz w:val="21"/>
                      <w:szCs w:val="21"/>
                    </w:rPr>
                  </w:pPr>
                  <w:r>
                    <w:rPr>
                      <w:rFonts w:hint="eastAsia"/>
                      <w:color w:val="auto"/>
                      <w:sz w:val="21"/>
                      <w:szCs w:val="21"/>
                    </w:rPr>
                    <w:t>5</w:t>
                  </w:r>
                </w:p>
              </w:tc>
              <w:tc>
                <w:tcPr>
                  <w:tcW w:w="1711" w:type="dxa"/>
                  <w:vAlign w:val="center"/>
                </w:tcPr>
                <w:p>
                  <w:pPr>
                    <w:pStyle w:val="76"/>
                    <w:rPr>
                      <w:color w:val="auto"/>
                      <w:sz w:val="21"/>
                      <w:szCs w:val="21"/>
                    </w:rPr>
                  </w:pPr>
                  <w:r>
                    <w:rPr>
                      <w:color w:val="auto"/>
                      <w:sz w:val="21"/>
                      <w:szCs w:val="21"/>
                    </w:rPr>
                    <w:t>蒸发耗散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05" w:type="dxa"/>
                  <w:vAlign w:val="center"/>
                </w:tcPr>
                <w:p>
                  <w:pPr>
                    <w:pStyle w:val="76"/>
                    <w:rPr>
                      <w:color w:val="auto"/>
                      <w:sz w:val="21"/>
                      <w:szCs w:val="21"/>
                    </w:rPr>
                  </w:pPr>
                  <w:r>
                    <w:rPr>
                      <w:color w:val="auto"/>
                      <w:sz w:val="21"/>
                      <w:szCs w:val="21"/>
                    </w:rPr>
                    <w:t>合计</w:t>
                  </w:r>
                </w:p>
              </w:tc>
              <w:tc>
                <w:tcPr>
                  <w:tcW w:w="2060" w:type="dxa"/>
                  <w:vAlign w:val="center"/>
                </w:tcPr>
                <w:p>
                  <w:pPr>
                    <w:pStyle w:val="76"/>
                    <w:rPr>
                      <w:color w:val="auto"/>
                      <w:sz w:val="21"/>
                      <w:szCs w:val="21"/>
                    </w:rPr>
                  </w:pPr>
                  <w:r>
                    <w:rPr>
                      <w:rFonts w:hint="eastAsia"/>
                      <w:color w:val="auto"/>
                      <w:sz w:val="21"/>
                      <w:szCs w:val="21"/>
                    </w:rPr>
                    <w:t>82.7</w:t>
                  </w:r>
                </w:p>
              </w:tc>
              <w:tc>
                <w:tcPr>
                  <w:tcW w:w="1842" w:type="dxa"/>
                  <w:vAlign w:val="center"/>
                </w:tcPr>
                <w:p>
                  <w:pPr>
                    <w:pStyle w:val="76"/>
                    <w:rPr>
                      <w:color w:val="auto"/>
                      <w:sz w:val="21"/>
                      <w:szCs w:val="21"/>
                    </w:rPr>
                  </w:pPr>
                  <w:r>
                    <w:rPr>
                      <w:rFonts w:hint="eastAsia"/>
                      <w:color w:val="auto"/>
                      <w:sz w:val="21"/>
                      <w:szCs w:val="21"/>
                    </w:rPr>
                    <w:t>82.5</w:t>
                  </w:r>
                </w:p>
              </w:tc>
              <w:tc>
                <w:tcPr>
                  <w:tcW w:w="1560" w:type="dxa"/>
                  <w:vAlign w:val="center"/>
                </w:tcPr>
                <w:p>
                  <w:pPr>
                    <w:pStyle w:val="76"/>
                    <w:rPr>
                      <w:color w:val="auto"/>
                      <w:sz w:val="21"/>
                      <w:szCs w:val="21"/>
                    </w:rPr>
                  </w:pPr>
                  <w:r>
                    <w:rPr>
                      <w:rFonts w:hint="eastAsia"/>
                      <w:color w:val="auto"/>
                      <w:sz w:val="21"/>
                      <w:szCs w:val="21"/>
                    </w:rPr>
                    <w:t>82.5</w:t>
                  </w:r>
                </w:p>
              </w:tc>
              <w:tc>
                <w:tcPr>
                  <w:tcW w:w="1711" w:type="dxa"/>
                  <w:vAlign w:val="center"/>
                </w:tcPr>
                <w:p>
                  <w:pPr>
                    <w:pStyle w:val="76"/>
                    <w:rPr>
                      <w:color w:val="auto"/>
                      <w:sz w:val="21"/>
                      <w:szCs w:val="21"/>
                    </w:rPr>
                  </w:pPr>
                  <w:r>
                    <w:rPr>
                      <w:color w:val="auto"/>
                      <w:sz w:val="21"/>
                      <w:szCs w:val="21"/>
                    </w:rPr>
                    <w:t>/</w:t>
                  </w:r>
                </w:p>
              </w:tc>
            </w:tr>
          </w:tbl>
          <w:p>
            <w:pPr>
              <w:spacing w:line="360" w:lineRule="auto"/>
              <w:ind w:firstLine="480" w:firstLineChars="200"/>
              <w:rPr>
                <w:color w:val="auto"/>
                <w:sz w:val="24"/>
              </w:rPr>
            </w:pPr>
            <w:r>
              <w:rPr>
                <w:color w:val="auto"/>
                <w:sz w:val="24"/>
              </w:rPr>
              <w:t>项目水平衡图见图1。</w:t>
            </w:r>
          </w:p>
          <w:p>
            <w:pPr>
              <w:spacing w:line="360" w:lineRule="auto"/>
              <w:jc w:val="center"/>
              <w:rPr>
                <w:color w:val="auto"/>
              </w:rPr>
            </w:pPr>
            <w:r>
              <w:rPr>
                <w:color w:val="auto"/>
              </w:rPr>
              <w:object>
                <v:shape id="_x0000_i1025" o:spt="75" type="#_x0000_t75" style="height:257.9pt;width:444.9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p>
          <w:p>
            <w:pPr>
              <w:spacing w:line="360" w:lineRule="auto"/>
              <w:jc w:val="center"/>
              <w:rPr>
                <w:b/>
                <w:color w:val="auto"/>
                <w:szCs w:val="21"/>
              </w:rPr>
            </w:pPr>
            <w:r>
              <w:rPr>
                <w:b/>
                <w:color w:val="auto"/>
                <w:szCs w:val="21"/>
              </w:rPr>
              <w:t>图1    项目水平衡图    单位：m</w:t>
            </w:r>
            <w:r>
              <w:rPr>
                <w:b/>
                <w:color w:val="auto"/>
                <w:szCs w:val="21"/>
                <w:vertAlign w:val="superscript"/>
              </w:rPr>
              <w:t>3</w:t>
            </w:r>
            <w:r>
              <w:rPr>
                <w:b/>
                <w:color w:val="auto"/>
                <w:szCs w:val="21"/>
              </w:rPr>
              <w:t>/d</w:t>
            </w:r>
          </w:p>
          <w:p>
            <w:pPr>
              <w:spacing w:line="360" w:lineRule="auto"/>
              <w:ind w:firstLine="480" w:firstLineChars="200"/>
              <w:rPr>
                <w:color w:val="auto"/>
                <w:sz w:val="24"/>
              </w:rPr>
            </w:pPr>
            <w:r>
              <w:rPr>
                <w:rFonts w:hAnsi="宋体"/>
                <w:color w:val="auto"/>
                <w:sz w:val="24"/>
              </w:rPr>
              <w:t>（</w:t>
            </w:r>
            <w:r>
              <w:rPr>
                <w:rFonts w:hint="eastAsia"/>
                <w:color w:val="auto"/>
                <w:sz w:val="24"/>
              </w:rPr>
              <w:t>3</w:t>
            </w:r>
            <w:r>
              <w:rPr>
                <w:rFonts w:hAnsi="宋体"/>
                <w:color w:val="auto"/>
                <w:sz w:val="24"/>
              </w:rPr>
              <w:t>）</w:t>
            </w:r>
            <w:r>
              <w:rPr>
                <w:color w:val="auto"/>
                <w:sz w:val="24"/>
              </w:rPr>
              <w:t>供电</w:t>
            </w:r>
          </w:p>
          <w:p>
            <w:pPr>
              <w:spacing w:line="360" w:lineRule="auto"/>
              <w:ind w:firstLine="480" w:firstLineChars="200"/>
              <w:rPr>
                <w:color w:val="auto"/>
                <w:sz w:val="24"/>
                <w:szCs w:val="24"/>
              </w:rPr>
            </w:pPr>
            <w:r>
              <w:rPr>
                <w:color w:val="auto"/>
                <w:sz w:val="24"/>
                <w:szCs w:val="24"/>
              </w:rPr>
              <w:t>本项目</w:t>
            </w:r>
            <w:r>
              <w:rPr>
                <w:rFonts w:hint="eastAsia"/>
                <w:color w:val="auto"/>
                <w:sz w:val="24"/>
                <w:szCs w:val="24"/>
              </w:rPr>
              <w:t>由引镇110kV变提供，厂区设置10/0.4kV配电室1座，配备2台1250KVA变压器。</w:t>
            </w:r>
            <w:r>
              <w:rPr>
                <w:color w:val="auto"/>
                <w:sz w:val="24"/>
                <w:szCs w:val="24"/>
              </w:rPr>
              <w:t>年用电量为</w:t>
            </w:r>
            <w:r>
              <w:rPr>
                <w:rFonts w:hint="eastAsia"/>
                <w:color w:val="auto"/>
                <w:sz w:val="24"/>
                <w:szCs w:val="24"/>
              </w:rPr>
              <w:t>669</w:t>
            </w:r>
            <w:r>
              <w:rPr>
                <w:color w:val="auto"/>
                <w:sz w:val="24"/>
                <w:szCs w:val="24"/>
              </w:rPr>
              <w:t>万kWh/a。</w:t>
            </w:r>
          </w:p>
          <w:p>
            <w:pPr>
              <w:spacing w:line="440" w:lineRule="exact"/>
              <w:ind w:firstLine="480" w:firstLineChars="200"/>
              <w:rPr>
                <w:rFonts w:hAnsi="宋体"/>
                <w:color w:val="auto"/>
                <w:sz w:val="24"/>
              </w:rPr>
            </w:pPr>
            <w:r>
              <w:rPr>
                <w:rFonts w:hAnsi="宋体"/>
                <w:color w:val="auto"/>
                <w:sz w:val="24"/>
              </w:rPr>
              <w:t>（</w:t>
            </w:r>
            <w:r>
              <w:rPr>
                <w:rFonts w:hint="eastAsia"/>
                <w:color w:val="auto"/>
                <w:sz w:val="24"/>
              </w:rPr>
              <w:t>4</w:t>
            </w:r>
            <w:r>
              <w:rPr>
                <w:rFonts w:hAnsi="宋体"/>
                <w:color w:val="auto"/>
                <w:sz w:val="24"/>
              </w:rPr>
              <w:t>）</w:t>
            </w:r>
            <w:r>
              <w:rPr>
                <w:rFonts w:hint="eastAsia" w:hAnsi="宋体"/>
                <w:color w:val="auto"/>
                <w:sz w:val="24"/>
              </w:rPr>
              <w:t>供暖</w:t>
            </w:r>
          </w:p>
          <w:p>
            <w:pPr>
              <w:spacing w:line="440" w:lineRule="exact"/>
              <w:ind w:firstLine="480" w:firstLineChars="200"/>
              <w:rPr>
                <w:rFonts w:hAnsi="宋体"/>
                <w:color w:val="auto"/>
                <w:sz w:val="24"/>
              </w:rPr>
            </w:pPr>
            <w:r>
              <w:rPr>
                <w:rFonts w:hAnsi="宋体"/>
                <w:color w:val="auto"/>
                <w:sz w:val="24"/>
              </w:rPr>
              <w:t>本项目</w:t>
            </w:r>
            <w:r>
              <w:rPr>
                <w:rFonts w:hint="eastAsia" w:hAnsi="宋体"/>
                <w:color w:val="auto"/>
                <w:sz w:val="24"/>
              </w:rPr>
              <w:t>办公及生活配套设施供暖采用隧道窑余热供暖。</w:t>
            </w:r>
          </w:p>
          <w:p>
            <w:pPr>
              <w:spacing w:line="440" w:lineRule="exact"/>
              <w:ind w:firstLine="480" w:firstLineChars="200"/>
              <w:rPr>
                <w:rFonts w:hAnsi="宋体"/>
                <w:color w:val="auto"/>
                <w:sz w:val="24"/>
              </w:rPr>
            </w:pPr>
            <w:r>
              <w:rPr>
                <w:rFonts w:hint="eastAsia" w:hAnsi="宋体"/>
                <w:color w:val="auto"/>
                <w:sz w:val="24"/>
              </w:rPr>
              <w:t>（5）制冷</w:t>
            </w:r>
          </w:p>
          <w:p>
            <w:pPr>
              <w:spacing w:line="440" w:lineRule="exact"/>
              <w:ind w:firstLine="480" w:firstLineChars="200"/>
              <w:rPr>
                <w:color w:val="auto"/>
                <w:sz w:val="24"/>
                <w:szCs w:val="24"/>
              </w:rPr>
            </w:pPr>
            <w:r>
              <w:rPr>
                <w:rFonts w:hAnsi="宋体"/>
                <w:color w:val="auto"/>
                <w:sz w:val="24"/>
              </w:rPr>
              <w:t>项目</w:t>
            </w:r>
            <w:r>
              <w:rPr>
                <w:rFonts w:hint="eastAsia" w:hAnsi="宋体"/>
                <w:color w:val="auto"/>
                <w:sz w:val="24"/>
              </w:rPr>
              <w:t>办公及生活配套设施采用分体式空调制冷。</w:t>
            </w:r>
          </w:p>
          <w:p>
            <w:pPr>
              <w:tabs>
                <w:tab w:val="left" w:pos="180"/>
                <w:tab w:val="left" w:pos="360"/>
                <w:tab w:val="left" w:pos="540"/>
              </w:tabs>
              <w:spacing w:line="440" w:lineRule="exact"/>
              <w:ind w:firstLine="480" w:firstLineChars="200"/>
              <w:rPr>
                <w:rFonts w:hAnsi="宋体"/>
                <w:color w:val="auto"/>
                <w:sz w:val="24"/>
              </w:rPr>
            </w:pPr>
            <w:r>
              <w:rPr>
                <w:rFonts w:hAnsi="宋体"/>
                <w:color w:val="auto"/>
                <w:sz w:val="24"/>
              </w:rPr>
              <w:t>（</w:t>
            </w:r>
            <w:r>
              <w:rPr>
                <w:rFonts w:hint="eastAsia"/>
                <w:color w:val="auto"/>
                <w:sz w:val="24"/>
              </w:rPr>
              <w:t>6</w:t>
            </w:r>
            <w:r>
              <w:rPr>
                <w:rFonts w:hAnsi="宋体"/>
                <w:color w:val="auto"/>
                <w:sz w:val="24"/>
              </w:rPr>
              <w:t>）</w:t>
            </w:r>
            <w:r>
              <w:rPr>
                <w:rFonts w:hint="eastAsia" w:hAnsi="宋体"/>
                <w:color w:val="auto"/>
                <w:sz w:val="24"/>
              </w:rPr>
              <w:t>供气</w:t>
            </w:r>
          </w:p>
          <w:p>
            <w:pPr>
              <w:tabs>
                <w:tab w:val="left" w:pos="180"/>
                <w:tab w:val="left" w:pos="360"/>
                <w:tab w:val="left" w:pos="540"/>
              </w:tabs>
              <w:spacing w:line="360" w:lineRule="auto"/>
              <w:ind w:firstLine="480" w:firstLineChars="200"/>
              <w:rPr>
                <w:color w:val="auto"/>
                <w:sz w:val="24"/>
                <w:szCs w:val="24"/>
              </w:rPr>
            </w:pPr>
            <w:r>
              <w:rPr>
                <w:rFonts w:hint="eastAsia" w:hAnsi="宋体"/>
                <w:color w:val="auto"/>
                <w:sz w:val="24"/>
              </w:rPr>
              <w:t>本项目隧道窑的燃料为天气然，项目年产15万立方烧结空心砌块，项目天然气使</w:t>
            </w:r>
            <w:r>
              <w:rPr>
                <w:rFonts w:hint="eastAsia" w:hAnsi="宋体"/>
                <w:color w:val="auto"/>
                <w:sz w:val="24"/>
                <w:szCs w:val="24"/>
              </w:rPr>
              <w:t>用量为420</w:t>
            </w:r>
            <w:r>
              <w:rPr>
                <w:rFonts w:hint="eastAsia"/>
                <w:color w:val="auto"/>
                <w:sz w:val="24"/>
                <w:szCs w:val="24"/>
              </w:rPr>
              <w:t>万Nm</w:t>
            </w:r>
            <w:r>
              <w:rPr>
                <w:rFonts w:hint="eastAsia"/>
                <w:color w:val="auto"/>
                <w:sz w:val="24"/>
                <w:szCs w:val="24"/>
                <w:vertAlign w:val="superscript"/>
              </w:rPr>
              <w:t>3</w:t>
            </w:r>
            <w:r>
              <w:rPr>
                <w:rFonts w:hint="eastAsia"/>
                <w:color w:val="auto"/>
                <w:sz w:val="24"/>
                <w:szCs w:val="24"/>
              </w:rPr>
              <w:t>/a。天然气来源于长安区魏寨街道办民用点供天然气工程，依托园区拟建天然气管线，目前园区供气点已建成，供气点至项目地的管线暂未接通，根据计划，管线将在项目建成运行前接通。</w:t>
            </w:r>
          </w:p>
          <w:p>
            <w:pPr>
              <w:ind w:firstLine="480" w:firstLineChars="200"/>
              <w:rPr>
                <w:rFonts w:hAnsi="宋体"/>
                <w:b/>
                <w:color w:val="auto"/>
              </w:rPr>
            </w:pPr>
            <w:r>
              <w:rPr>
                <w:rFonts w:hint="eastAsia"/>
                <w:color w:val="auto"/>
                <w:sz w:val="24"/>
              </w:rPr>
              <w:t>天然气主要成分见表14。</w:t>
            </w:r>
          </w:p>
          <w:p>
            <w:pPr>
              <w:jc w:val="center"/>
              <w:rPr>
                <w:b/>
                <w:color w:val="auto"/>
              </w:rPr>
            </w:pPr>
            <w:r>
              <w:rPr>
                <w:rFonts w:hAnsi="宋体"/>
                <w:b/>
                <w:color w:val="auto"/>
              </w:rPr>
              <w:t>表</w:t>
            </w:r>
            <w:r>
              <w:rPr>
                <w:rFonts w:hint="eastAsia" w:hAnsi="宋体"/>
                <w:b/>
                <w:color w:val="auto"/>
              </w:rPr>
              <w:t>14</w:t>
            </w:r>
            <w:r>
              <w:rPr>
                <w:b/>
                <w:color w:val="auto"/>
              </w:rPr>
              <w:t xml:space="preserve">   </w:t>
            </w:r>
            <w:r>
              <w:rPr>
                <w:rFonts w:hint="eastAsia" w:hAnsi="宋体"/>
                <w:b/>
                <w:color w:val="auto"/>
              </w:rPr>
              <w:t>天然气主要成分表</w:t>
            </w:r>
          </w:p>
          <w:tbl>
            <w:tblPr>
              <w:tblStyle w:val="24"/>
              <w:tblW w:w="89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873"/>
              <w:gridCol w:w="990"/>
              <w:gridCol w:w="995"/>
              <w:gridCol w:w="990"/>
              <w:gridCol w:w="990"/>
              <w:gridCol w:w="989"/>
              <w:gridCol w:w="990"/>
              <w:gridCol w:w="9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11" w:type="dxa"/>
                  <w:vAlign w:val="center"/>
                </w:tcPr>
                <w:p>
                  <w:pPr>
                    <w:spacing w:line="400" w:lineRule="exact"/>
                    <w:jc w:val="center"/>
                    <w:rPr>
                      <w:color w:val="auto"/>
                      <w:szCs w:val="21"/>
                    </w:rPr>
                  </w:pPr>
                  <w:r>
                    <w:rPr>
                      <w:rFonts w:hint="eastAsia"/>
                      <w:color w:val="auto"/>
                      <w:szCs w:val="21"/>
                    </w:rPr>
                    <w:t>天然气</w:t>
                  </w:r>
                </w:p>
              </w:tc>
              <w:tc>
                <w:tcPr>
                  <w:tcW w:w="873" w:type="dxa"/>
                  <w:vAlign w:val="center"/>
                </w:tcPr>
                <w:p>
                  <w:pPr>
                    <w:spacing w:line="400" w:lineRule="exact"/>
                    <w:jc w:val="center"/>
                    <w:rPr>
                      <w:color w:val="auto"/>
                      <w:szCs w:val="21"/>
                    </w:rPr>
                  </w:pPr>
                  <w:r>
                    <w:rPr>
                      <w:rFonts w:hint="eastAsia"/>
                      <w:color w:val="auto"/>
                      <w:szCs w:val="21"/>
                    </w:rPr>
                    <w:t>CO</w:t>
                  </w:r>
                </w:p>
              </w:tc>
              <w:tc>
                <w:tcPr>
                  <w:tcW w:w="990" w:type="dxa"/>
                  <w:vAlign w:val="center"/>
                </w:tcPr>
                <w:p>
                  <w:pPr>
                    <w:spacing w:line="400" w:lineRule="exact"/>
                    <w:jc w:val="center"/>
                    <w:rPr>
                      <w:color w:val="auto"/>
                      <w:szCs w:val="21"/>
                    </w:rPr>
                  </w:pPr>
                  <w:r>
                    <w:rPr>
                      <w:color w:val="auto"/>
                      <w:szCs w:val="21"/>
                    </w:rPr>
                    <w:t>H</w:t>
                  </w:r>
                  <w:r>
                    <w:rPr>
                      <w:rFonts w:hint="eastAsia"/>
                      <w:color w:val="auto"/>
                      <w:szCs w:val="21"/>
                      <w:vertAlign w:val="subscript"/>
                    </w:rPr>
                    <w:t>2</w:t>
                  </w:r>
                </w:p>
              </w:tc>
              <w:tc>
                <w:tcPr>
                  <w:tcW w:w="995" w:type="dxa"/>
                  <w:vAlign w:val="center"/>
                </w:tcPr>
                <w:p>
                  <w:pPr>
                    <w:spacing w:line="400" w:lineRule="exact"/>
                    <w:jc w:val="center"/>
                    <w:rPr>
                      <w:color w:val="auto"/>
                      <w:szCs w:val="21"/>
                    </w:rPr>
                  </w:pPr>
                  <w:r>
                    <w:rPr>
                      <w:color w:val="auto"/>
                      <w:szCs w:val="21"/>
                    </w:rPr>
                    <w:t>C</w:t>
                  </w:r>
                  <w:r>
                    <w:rPr>
                      <w:rFonts w:hint="eastAsia"/>
                      <w:color w:val="auto"/>
                      <w:szCs w:val="21"/>
                    </w:rPr>
                    <w:t>H</w:t>
                  </w:r>
                  <w:r>
                    <w:rPr>
                      <w:rFonts w:hint="eastAsia"/>
                      <w:color w:val="auto"/>
                      <w:szCs w:val="21"/>
                      <w:vertAlign w:val="subscript"/>
                    </w:rPr>
                    <w:t>4</w:t>
                  </w:r>
                </w:p>
              </w:tc>
              <w:tc>
                <w:tcPr>
                  <w:tcW w:w="990" w:type="dxa"/>
                  <w:vAlign w:val="center"/>
                </w:tcPr>
                <w:p>
                  <w:pPr>
                    <w:spacing w:line="400" w:lineRule="exact"/>
                    <w:jc w:val="center"/>
                    <w:rPr>
                      <w:color w:val="auto"/>
                      <w:szCs w:val="21"/>
                    </w:rPr>
                  </w:pPr>
                  <w:r>
                    <w:rPr>
                      <w:rFonts w:hint="eastAsia"/>
                      <w:color w:val="auto"/>
                      <w:szCs w:val="21"/>
                    </w:rPr>
                    <w:t>C</w:t>
                  </w:r>
                  <w:r>
                    <w:rPr>
                      <w:rFonts w:hint="eastAsia"/>
                      <w:color w:val="auto"/>
                      <w:szCs w:val="21"/>
                      <w:vertAlign w:val="subscript"/>
                    </w:rPr>
                    <w:t>2</w:t>
                  </w:r>
                  <w:r>
                    <w:rPr>
                      <w:rFonts w:hint="eastAsia"/>
                      <w:color w:val="auto"/>
                      <w:szCs w:val="21"/>
                    </w:rPr>
                    <w:t>H</w:t>
                  </w:r>
                  <w:r>
                    <w:rPr>
                      <w:rFonts w:hint="eastAsia"/>
                      <w:color w:val="auto"/>
                      <w:szCs w:val="21"/>
                      <w:vertAlign w:val="subscript"/>
                    </w:rPr>
                    <w:t>4</w:t>
                  </w:r>
                </w:p>
              </w:tc>
              <w:tc>
                <w:tcPr>
                  <w:tcW w:w="990" w:type="dxa"/>
                  <w:vAlign w:val="center"/>
                </w:tcPr>
                <w:p>
                  <w:pPr>
                    <w:spacing w:line="400" w:lineRule="exact"/>
                    <w:jc w:val="center"/>
                    <w:rPr>
                      <w:color w:val="auto"/>
                      <w:szCs w:val="21"/>
                    </w:rPr>
                  </w:pPr>
                  <w:r>
                    <w:rPr>
                      <w:rFonts w:hint="eastAsia"/>
                      <w:color w:val="auto"/>
                      <w:szCs w:val="21"/>
                    </w:rPr>
                    <w:t>H</w:t>
                  </w:r>
                  <w:r>
                    <w:rPr>
                      <w:rFonts w:hint="eastAsia"/>
                      <w:color w:val="auto"/>
                      <w:szCs w:val="21"/>
                      <w:vertAlign w:val="subscript"/>
                    </w:rPr>
                    <w:t>2</w:t>
                  </w:r>
                  <w:r>
                    <w:rPr>
                      <w:rFonts w:hint="eastAsia"/>
                      <w:color w:val="auto"/>
                      <w:szCs w:val="21"/>
                    </w:rPr>
                    <w:t>S</w:t>
                  </w:r>
                </w:p>
              </w:tc>
              <w:tc>
                <w:tcPr>
                  <w:tcW w:w="989" w:type="dxa"/>
                  <w:vAlign w:val="center"/>
                </w:tcPr>
                <w:p>
                  <w:pPr>
                    <w:spacing w:line="400" w:lineRule="exact"/>
                    <w:jc w:val="center"/>
                    <w:rPr>
                      <w:color w:val="auto"/>
                      <w:szCs w:val="21"/>
                    </w:rPr>
                  </w:pPr>
                  <w:r>
                    <w:rPr>
                      <w:rFonts w:hint="eastAsia"/>
                      <w:color w:val="auto"/>
                      <w:szCs w:val="21"/>
                    </w:rPr>
                    <w:t>CO</w:t>
                  </w:r>
                  <w:r>
                    <w:rPr>
                      <w:rFonts w:hint="eastAsia"/>
                      <w:color w:val="auto"/>
                      <w:szCs w:val="21"/>
                      <w:vertAlign w:val="subscript"/>
                    </w:rPr>
                    <w:t>2</w:t>
                  </w:r>
                </w:p>
              </w:tc>
              <w:tc>
                <w:tcPr>
                  <w:tcW w:w="990" w:type="dxa"/>
                  <w:vAlign w:val="center"/>
                </w:tcPr>
                <w:p>
                  <w:pPr>
                    <w:spacing w:line="400" w:lineRule="exact"/>
                    <w:jc w:val="center"/>
                    <w:rPr>
                      <w:color w:val="auto"/>
                      <w:szCs w:val="21"/>
                    </w:rPr>
                  </w:pPr>
                  <w:r>
                    <w:rPr>
                      <w:rFonts w:hint="eastAsia"/>
                      <w:color w:val="auto"/>
                      <w:szCs w:val="21"/>
                    </w:rPr>
                    <w:t>N</w:t>
                  </w:r>
                  <w:r>
                    <w:rPr>
                      <w:rFonts w:hint="eastAsia"/>
                      <w:color w:val="auto"/>
                      <w:szCs w:val="21"/>
                      <w:vertAlign w:val="subscript"/>
                    </w:rPr>
                    <w:t>2</w:t>
                  </w:r>
                </w:p>
              </w:tc>
              <w:tc>
                <w:tcPr>
                  <w:tcW w:w="976" w:type="dxa"/>
                  <w:vAlign w:val="center"/>
                </w:tcPr>
                <w:p>
                  <w:pPr>
                    <w:spacing w:line="400" w:lineRule="exact"/>
                    <w:jc w:val="center"/>
                    <w:rPr>
                      <w:color w:val="auto"/>
                      <w:szCs w:val="21"/>
                    </w:rPr>
                  </w:pPr>
                  <w:r>
                    <w:rPr>
                      <w:rFonts w:hint="eastAsia"/>
                      <w:color w:val="auto"/>
                      <w:szCs w:val="21"/>
                    </w:rPr>
                    <w:t>O</w:t>
                  </w:r>
                  <w:r>
                    <w:rPr>
                      <w:rFonts w:hint="eastAsia"/>
                      <w:color w:val="auto"/>
                      <w:szCs w:val="21"/>
                      <w:vertAlign w:val="sub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111" w:type="dxa"/>
                  <w:vAlign w:val="center"/>
                </w:tcPr>
                <w:p>
                  <w:pPr>
                    <w:spacing w:line="400" w:lineRule="exact"/>
                    <w:jc w:val="center"/>
                    <w:rPr>
                      <w:color w:val="auto"/>
                      <w:szCs w:val="21"/>
                    </w:rPr>
                  </w:pPr>
                  <w:r>
                    <w:rPr>
                      <w:rFonts w:hint="eastAsia"/>
                      <w:color w:val="auto"/>
                      <w:szCs w:val="21"/>
                    </w:rPr>
                    <w:t>含量（%）</w:t>
                  </w:r>
                </w:p>
              </w:tc>
              <w:tc>
                <w:tcPr>
                  <w:tcW w:w="873" w:type="dxa"/>
                  <w:vAlign w:val="center"/>
                </w:tcPr>
                <w:p>
                  <w:pPr>
                    <w:spacing w:line="400" w:lineRule="exact"/>
                    <w:jc w:val="center"/>
                    <w:rPr>
                      <w:color w:val="auto"/>
                      <w:szCs w:val="21"/>
                    </w:rPr>
                  </w:pPr>
                  <w:r>
                    <w:rPr>
                      <w:rFonts w:hint="eastAsia"/>
                      <w:color w:val="auto"/>
                      <w:szCs w:val="21"/>
                    </w:rPr>
                    <w:t>0.201</w:t>
                  </w:r>
                </w:p>
              </w:tc>
              <w:tc>
                <w:tcPr>
                  <w:tcW w:w="990" w:type="dxa"/>
                  <w:vAlign w:val="center"/>
                </w:tcPr>
                <w:p>
                  <w:pPr>
                    <w:spacing w:line="400" w:lineRule="exact"/>
                    <w:jc w:val="center"/>
                    <w:rPr>
                      <w:color w:val="auto"/>
                      <w:szCs w:val="21"/>
                    </w:rPr>
                  </w:pPr>
                  <w:r>
                    <w:rPr>
                      <w:rFonts w:hint="eastAsia"/>
                      <w:color w:val="auto"/>
                      <w:szCs w:val="21"/>
                    </w:rPr>
                    <w:t>0.281</w:t>
                  </w:r>
                </w:p>
              </w:tc>
              <w:tc>
                <w:tcPr>
                  <w:tcW w:w="995" w:type="dxa"/>
                  <w:vAlign w:val="center"/>
                </w:tcPr>
                <w:p>
                  <w:pPr>
                    <w:spacing w:line="400" w:lineRule="exact"/>
                    <w:jc w:val="center"/>
                    <w:rPr>
                      <w:color w:val="auto"/>
                      <w:szCs w:val="21"/>
                    </w:rPr>
                  </w:pPr>
                  <w:r>
                    <w:rPr>
                      <w:rFonts w:hint="eastAsia"/>
                      <w:color w:val="auto"/>
                      <w:szCs w:val="21"/>
                    </w:rPr>
                    <w:t>95.603</w:t>
                  </w:r>
                </w:p>
              </w:tc>
              <w:tc>
                <w:tcPr>
                  <w:tcW w:w="990" w:type="dxa"/>
                  <w:vAlign w:val="center"/>
                </w:tcPr>
                <w:p>
                  <w:pPr>
                    <w:spacing w:line="400" w:lineRule="exact"/>
                    <w:jc w:val="center"/>
                    <w:rPr>
                      <w:color w:val="auto"/>
                      <w:szCs w:val="21"/>
                    </w:rPr>
                  </w:pPr>
                  <w:r>
                    <w:rPr>
                      <w:rFonts w:hint="eastAsia"/>
                      <w:color w:val="auto"/>
                      <w:szCs w:val="21"/>
                    </w:rPr>
                    <w:t>3.502</w:t>
                  </w:r>
                </w:p>
              </w:tc>
              <w:tc>
                <w:tcPr>
                  <w:tcW w:w="990" w:type="dxa"/>
                  <w:vAlign w:val="center"/>
                </w:tcPr>
                <w:p>
                  <w:pPr>
                    <w:spacing w:line="400" w:lineRule="exact"/>
                    <w:jc w:val="center"/>
                    <w:rPr>
                      <w:color w:val="auto"/>
                      <w:szCs w:val="21"/>
                    </w:rPr>
                  </w:pPr>
                  <w:r>
                    <w:rPr>
                      <w:rFonts w:hint="eastAsia"/>
                      <w:color w:val="auto"/>
                      <w:szCs w:val="21"/>
                    </w:rPr>
                    <w:t>0.002</w:t>
                  </w:r>
                </w:p>
              </w:tc>
              <w:tc>
                <w:tcPr>
                  <w:tcW w:w="989" w:type="dxa"/>
                  <w:vAlign w:val="center"/>
                </w:tcPr>
                <w:p>
                  <w:pPr>
                    <w:spacing w:line="400" w:lineRule="exact"/>
                    <w:jc w:val="center"/>
                    <w:rPr>
                      <w:color w:val="auto"/>
                      <w:szCs w:val="21"/>
                    </w:rPr>
                  </w:pPr>
                  <w:r>
                    <w:rPr>
                      <w:rFonts w:hint="eastAsia"/>
                      <w:color w:val="auto"/>
                      <w:szCs w:val="21"/>
                    </w:rPr>
                    <w:t>0.209</w:t>
                  </w:r>
                </w:p>
              </w:tc>
              <w:tc>
                <w:tcPr>
                  <w:tcW w:w="990" w:type="dxa"/>
                  <w:vAlign w:val="center"/>
                </w:tcPr>
                <w:p>
                  <w:pPr>
                    <w:spacing w:line="400" w:lineRule="exact"/>
                    <w:jc w:val="center"/>
                    <w:rPr>
                      <w:color w:val="auto"/>
                      <w:szCs w:val="21"/>
                    </w:rPr>
                  </w:pPr>
                  <w:r>
                    <w:rPr>
                      <w:rFonts w:hint="eastAsia"/>
                      <w:color w:val="auto"/>
                      <w:szCs w:val="21"/>
                    </w:rPr>
                    <w:t>0.202</w:t>
                  </w:r>
                </w:p>
              </w:tc>
              <w:tc>
                <w:tcPr>
                  <w:tcW w:w="976" w:type="dxa"/>
                  <w:vAlign w:val="center"/>
                </w:tcPr>
                <w:p>
                  <w:pPr>
                    <w:spacing w:line="400" w:lineRule="exact"/>
                    <w:jc w:val="center"/>
                    <w:rPr>
                      <w:color w:val="auto"/>
                      <w:szCs w:val="21"/>
                    </w:rPr>
                  </w:pPr>
                  <w:r>
                    <w:rPr>
                      <w:rFonts w:hint="eastAsia"/>
                      <w:color w:val="auto"/>
                      <w:szCs w:val="21"/>
                    </w:rPr>
                    <w:t>0</w:t>
                  </w:r>
                </w:p>
              </w:tc>
            </w:tr>
          </w:tbl>
          <w:p>
            <w:pPr>
              <w:pStyle w:val="104"/>
              <w:spacing w:line="360" w:lineRule="auto"/>
              <w:rPr>
                <w:rFonts w:ascii="Times New Roman" w:cs="Times New Roman"/>
                <w:color w:val="auto"/>
              </w:rPr>
            </w:pPr>
            <w:r>
              <w:rPr>
                <w:rFonts w:hint="eastAsia" w:ascii="Times New Roman" w:cs="Times New Roman"/>
                <w:b/>
                <w:color w:val="auto"/>
              </w:rPr>
              <w:t>八</w:t>
            </w:r>
            <w:r>
              <w:rPr>
                <w:rFonts w:ascii="Times New Roman" w:cs="Times New Roman"/>
                <w:b/>
                <w:color w:val="auto"/>
              </w:rPr>
              <w:t>、总平面布置</w:t>
            </w:r>
            <w:r>
              <w:rPr>
                <w:rFonts w:hint="eastAsia" w:ascii="Times New Roman" w:cs="Times New Roman"/>
                <w:b/>
                <w:color w:val="auto"/>
              </w:rPr>
              <w:t>及占地</w:t>
            </w:r>
          </w:p>
          <w:p>
            <w:pPr>
              <w:spacing w:line="360" w:lineRule="auto"/>
              <w:ind w:firstLine="480" w:firstLineChars="200"/>
              <w:rPr>
                <w:color w:val="auto"/>
                <w:sz w:val="24"/>
              </w:rPr>
            </w:pPr>
            <w:r>
              <w:rPr>
                <w:rFonts w:hint="eastAsia"/>
                <w:color w:val="auto"/>
                <w:sz w:val="24"/>
              </w:rPr>
              <w:t>本</w:t>
            </w:r>
            <w:r>
              <w:rPr>
                <w:color w:val="auto"/>
                <w:sz w:val="24"/>
              </w:rPr>
              <w:t>项目结合厂区地形，充分考虑建、构筑物的特点及工艺流程要求，</w:t>
            </w:r>
            <w:r>
              <w:rPr>
                <w:rFonts w:hint="eastAsia"/>
                <w:color w:val="auto"/>
                <w:sz w:val="24"/>
              </w:rPr>
              <w:t>将</w:t>
            </w:r>
            <w:r>
              <w:rPr>
                <w:color w:val="auto"/>
                <w:sz w:val="24"/>
              </w:rPr>
              <w:t>厂区分为</w:t>
            </w:r>
            <w:r>
              <w:rPr>
                <w:rFonts w:hint="eastAsia"/>
                <w:color w:val="auto"/>
                <w:sz w:val="24"/>
              </w:rPr>
              <w:t>取土区、</w:t>
            </w:r>
            <w:r>
              <w:rPr>
                <w:color w:val="auto"/>
                <w:sz w:val="24"/>
              </w:rPr>
              <w:t>生产区和</w:t>
            </w:r>
            <w:r>
              <w:rPr>
                <w:rFonts w:hint="eastAsia"/>
                <w:color w:val="auto"/>
                <w:sz w:val="24"/>
              </w:rPr>
              <w:t>办公区，</w:t>
            </w:r>
            <w:r>
              <w:rPr>
                <w:color w:val="auto"/>
                <w:sz w:val="24"/>
              </w:rPr>
              <w:t>各功能分区明确。</w:t>
            </w:r>
            <w:r>
              <w:rPr>
                <w:rFonts w:hint="eastAsia"/>
                <w:color w:val="auto"/>
                <w:sz w:val="24"/>
              </w:rPr>
              <w:t>同时，厂区周围进行绿化</w:t>
            </w:r>
            <w:r>
              <w:rPr>
                <w:color w:val="auto"/>
                <w:sz w:val="24"/>
              </w:rPr>
              <w:t>。</w:t>
            </w:r>
            <w:r>
              <w:rPr>
                <w:rFonts w:hint="eastAsia" w:hAnsi="宋体"/>
                <w:color w:val="auto"/>
                <w:sz w:val="24"/>
              </w:rPr>
              <w:t>项目</w:t>
            </w:r>
            <w:r>
              <w:rPr>
                <w:rFonts w:hAnsi="宋体"/>
                <w:color w:val="auto"/>
                <w:sz w:val="24"/>
              </w:rPr>
              <w:t>主要建筑、</w:t>
            </w:r>
            <w:r>
              <w:rPr>
                <w:rFonts w:hint="eastAsia" w:hAnsi="宋体"/>
                <w:color w:val="auto"/>
                <w:sz w:val="24"/>
              </w:rPr>
              <w:t>场地</w:t>
            </w:r>
            <w:r>
              <w:rPr>
                <w:rFonts w:hAnsi="宋体"/>
                <w:color w:val="auto"/>
                <w:sz w:val="24"/>
              </w:rPr>
              <w:t>等布置情况详见附图</w:t>
            </w:r>
            <w:r>
              <w:rPr>
                <w:rFonts w:hint="eastAsia" w:hAnsi="宋体"/>
                <w:color w:val="auto"/>
                <w:sz w:val="24"/>
              </w:rPr>
              <w:t>4</w:t>
            </w:r>
            <w:r>
              <w:rPr>
                <w:rFonts w:hAnsi="宋体"/>
                <w:color w:val="auto"/>
                <w:sz w:val="24"/>
              </w:rPr>
              <w:t>项目平</w:t>
            </w:r>
            <w:r>
              <w:rPr>
                <w:color w:val="auto"/>
                <w:sz w:val="24"/>
              </w:rPr>
              <w:t>面布置图。</w:t>
            </w:r>
          </w:p>
          <w:p>
            <w:pPr>
              <w:spacing w:line="360" w:lineRule="auto"/>
              <w:ind w:firstLine="480" w:firstLineChars="200"/>
              <w:rPr>
                <w:color w:val="auto"/>
                <w:sz w:val="24"/>
              </w:rPr>
            </w:pPr>
            <w:r>
              <w:rPr>
                <w:rFonts w:hint="eastAsia"/>
                <w:color w:val="auto"/>
                <w:sz w:val="24"/>
              </w:rPr>
              <w:t>本项目占地面积为</w:t>
            </w:r>
            <w:r>
              <w:rPr>
                <w:color w:val="auto"/>
                <w:sz w:val="24"/>
              </w:rPr>
              <w:t>1</w:t>
            </w:r>
            <w:r>
              <w:rPr>
                <w:rFonts w:hint="eastAsia"/>
                <w:color w:val="auto"/>
                <w:sz w:val="24"/>
              </w:rPr>
              <w:t>45733.3m</w:t>
            </w:r>
            <w:r>
              <w:rPr>
                <w:rFonts w:hint="eastAsia"/>
                <w:color w:val="auto"/>
                <w:sz w:val="24"/>
                <w:vertAlign w:val="superscript"/>
              </w:rPr>
              <w:t>2</w:t>
            </w:r>
            <w:r>
              <w:rPr>
                <w:rFonts w:hint="eastAsia"/>
                <w:color w:val="auto"/>
                <w:sz w:val="24"/>
              </w:rPr>
              <w:t>，其中厂区占地面积为23333.3m</w:t>
            </w:r>
            <w:r>
              <w:rPr>
                <w:rFonts w:hint="eastAsia"/>
                <w:color w:val="auto"/>
                <w:sz w:val="24"/>
                <w:vertAlign w:val="superscript"/>
              </w:rPr>
              <w:t>2</w:t>
            </w:r>
            <w:r>
              <w:rPr>
                <w:rFonts w:hint="eastAsia"/>
                <w:color w:val="auto"/>
                <w:sz w:val="24"/>
              </w:rPr>
              <w:t>（合计35亩），原料粘土矿占地0.1224km</w:t>
            </w:r>
            <w:r>
              <w:rPr>
                <w:rFonts w:hint="eastAsia"/>
                <w:color w:val="auto"/>
                <w:sz w:val="24"/>
                <w:vertAlign w:val="superscript"/>
              </w:rPr>
              <w:t>2</w:t>
            </w:r>
            <w:r>
              <w:rPr>
                <w:rFonts w:hint="eastAsia"/>
                <w:color w:val="auto"/>
                <w:sz w:val="24"/>
              </w:rPr>
              <w:t>，占用土地类型为草地。</w:t>
            </w:r>
          </w:p>
          <w:p>
            <w:pPr>
              <w:widowControl/>
              <w:spacing w:line="360" w:lineRule="auto"/>
              <w:jc w:val="left"/>
              <w:rPr>
                <w:b/>
                <w:color w:val="auto"/>
                <w:kern w:val="0"/>
                <w:sz w:val="24"/>
                <w:szCs w:val="24"/>
              </w:rPr>
            </w:pPr>
            <w:r>
              <w:rPr>
                <w:rFonts w:hint="eastAsia"/>
                <w:b/>
                <w:color w:val="auto"/>
                <w:kern w:val="0"/>
                <w:sz w:val="24"/>
                <w:szCs w:val="24"/>
              </w:rPr>
              <w:t>九</w:t>
            </w:r>
            <w:r>
              <w:rPr>
                <w:b/>
                <w:color w:val="auto"/>
                <w:kern w:val="0"/>
                <w:sz w:val="24"/>
                <w:szCs w:val="24"/>
              </w:rPr>
              <w:t>、工作制度与劳动定员</w:t>
            </w:r>
          </w:p>
          <w:p>
            <w:pPr>
              <w:spacing w:line="360" w:lineRule="auto"/>
              <w:ind w:firstLine="480" w:firstLineChars="200"/>
              <w:rPr>
                <w:rFonts w:hAnsi="宋体"/>
                <w:color w:val="auto"/>
                <w:sz w:val="24"/>
              </w:rPr>
            </w:pPr>
            <w:r>
              <w:rPr>
                <w:rFonts w:hint="eastAsia" w:hAnsi="宋体"/>
                <w:color w:val="auto"/>
                <w:sz w:val="24"/>
              </w:rPr>
              <w:t>本项目劳动定员为82人，全年工作日为300d，取土工作一般在昼间进行，冬防期不实施取土作业；原料制备、成型、卸砖采用两班生产；干燥、焙烧系统及发运采用三班生产。</w:t>
            </w:r>
          </w:p>
          <w:p>
            <w:pPr>
              <w:widowControl/>
              <w:spacing w:line="360" w:lineRule="auto"/>
              <w:jc w:val="left"/>
              <w:rPr>
                <w:b/>
                <w:color w:val="auto"/>
                <w:sz w:val="24"/>
                <w:szCs w:val="24"/>
              </w:rPr>
            </w:pPr>
            <w:r>
              <w:rPr>
                <w:b/>
                <w:color w:val="auto"/>
                <w:sz w:val="24"/>
                <w:szCs w:val="24"/>
              </w:rPr>
              <w:t>十、项目投资及资金来源</w:t>
            </w:r>
          </w:p>
          <w:p>
            <w:pPr>
              <w:spacing w:line="360" w:lineRule="auto"/>
              <w:ind w:firstLine="480" w:firstLineChars="200"/>
              <w:rPr>
                <w:rFonts w:hAnsi="宋体"/>
                <w:color w:val="auto"/>
                <w:sz w:val="24"/>
              </w:rPr>
            </w:pPr>
            <w:r>
              <w:rPr>
                <w:color w:val="auto"/>
                <w:sz w:val="24"/>
                <w:szCs w:val="24"/>
              </w:rPr>
              <w:t>本项目建设总投资</w:t>
            </w:r>
            <w:r>
              <w:rPr>
                <w:rFonts w:hint="eastAsia"/>
                <w:color w:val="auto"/>
                <w:kern w:val="0"/>
                <w:sz w:val="24"/>
                <w:szCs w:val="24"/>
              </w:rPr>
              <w:t>5000</w:t>
            </w:r>
            <w:r>
              <w:rPr>
                <w:color w:val="auto"/>
                <w:sz w:val="24"/>
                <w:szCs w:val="24"/>
              </w:rPr>
              <w:t>万元，项目资金来源为贷款及建设单位自筹。</w:t>
            </w: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trPr>
        <w:tc>
          <w:tcPr>
            <w:tcW w:w="9120" w:type="dxa"/>
            <w:gridSpan w:val="7"/>
            <w:tcBorders>
              <w:top w:val="single" w:color="auto" w:sz="12" w:space="0"/>
              <w:left w:val="single" w:color="auto" w:sz="12" w:space="0"/>
              <w:bottom w:val="single" w:color="auto" w:sz="12" w:space="0"/>
              <w:right w:val="single" w:color="auto" w:sz="12" w:space="0"/>
            </w:tcBorders>
          </w:tcPr>
          <w:p>
            <w:pPr>
              <w:pStyle w:val="10"/>
              <w:spacing w:line="360" w:lineRule="auto"/>
              <w:rPr>
                <w:rStyle w:val="52"/>
                <w:b/>
                <w:color w:val="auto"/>
                <w:kern w:val="2"/>
                <w:sz w:val="24"/>
                <w:lang w:val="en-US"/>
              </w:rPr>
            </w:pPr>
            <w:r>
              <w:rPr>
                <w:rStyle w:val="52"/>
                <w:rFonts w:hAnsi="宋体"/>
                <w:b/>
                <w:color w:val="auto"/>
                <w:kern w:val="2"/>
                <w:sz w:val="24"/>
                <w:lang w:val="en-US"/>
              </w:rPr>
              <w:t>与本项目有关的原有污染情况及主要环境问题</w:t>
            </w:r>
          </w:p>
          <w:p>
            <w:pPr>
              <w:spacing w:line="360" w:lineRule="auto"/>
              <w:ind w:firstLine="480" w:firstLineChars="200"/>
              <w:rPr>
                <w:rFonts w:hAnsi="宋体"/>
                <w:color w:val="auto"/>
                <w:sz w:val="24"/>
              </w:rPr>
            </w:pPr>
            <w:r>
              <w:rPr>
                <w:rFonts w:hAnsi="宋体"/>
                <w:color w:val="auto"/>
                <w:sz w:val="24"/>
              </w:rPr>
              <w:t>本项目为新建项目，</w:t>
            </w:r>
            <w:r>
              <w:rPr>
                <w:rFonts w:hint="eastAsia" w:hAnsi="宋体"/>
                <w:color w:val="auto"/>
                <w:sz w:val="24"/>
              </w:rPr>
              <w:t>根据现场勘查，项目场地内已建成</w:t>
            </w:r>
            <w:r>
              <w:rPr>
                <w:rFonts w:hint="eastAsia"/>
                <w:color w:val="auto"/>
                <w:sz w:val="24"/>
              </w:rPr>
              <w:t>办公楼和施工临时用房</w:t>
            </w:r>
            <w:r>
              <w:rPr>
                <w:rFonts w:hint="eastAsia" w:hAnsi="宋体"/>
                <w:bCs/>
                <w:color w:val="auto"/>
                <w:sz w:val="24"/>
                <w:szCs w:val="24"/>
              </w:rPr>
              <w:t>，以及生产车间主体框架，其余未建</w:t>
            </w:r>
            <w:r>
              <w:rPr>
                <w:rFonts w:hint="eastAsia" w:hAnsi="宋体"/>
                <w:color w:val="auto"/>
                <w:sz w:val="24"/>
              </w:rPr>
              <w:t>，办公楼也未投入使用，项目场地不存在遗留污染情况。</w:t>
            </w: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p>
            <w:pPr>
              <w:spacing w:line="360" w:lineRule="auto"/>
              <w:ind w:firstLine="480" w:firstLineChars="200"/>
              <w:rPr>
                <w:rFonts w:hAnsi="宋体"/>
                <w:color w:val="auto"/>
                <w:sz w:val="24"/>
              </w:rPr>
            </w:pPr>
          </w:p>
        </w:tc>
      </w:tr>
    </w:tbl>
    <w:p>
      <w:pPr>
        <w:rPr>
          <w:rFonts w:hAnsi="宋体"/>
          <w:b/>
          <w:sz w:val="24"/>
        </w:rPr>
        <w:sectPr>
          <w:headerReference r:id="rId3" w:type="default"/>
          <w:footerReference r:id="rId4" w:type="default"/>
          <w:footerReference r:id="rId5" w:type="even"/>
          <w:pgSz w:w="11906" w:h="16838"/>
          <w:pgMar w:top="1090" w:right="1418" w:bottom="2025" w:left="1418" w:header="851" w:footer="992" w:gutter="0"/>
          <w:cols w:space="720" w:num="1"/>
          <w:docGrid w:type="lines" w:linePitch="312" w:charSpace="0"/>
        </w:sectPr>
      </w:pPr>
    </w:p>
    <w:p>
      <w:pPr>
        <w:rPr>
          <w:b/>
          <w:sz w:val="24"/>
        </w:rPr>
      </w:pPr>
      <w:r>
        <w:rPr>
          <w:rFonts w:hAnsi="宋体"/>
          <w:b/>
          <w:sz w:val="24"/>
        </w:rPr>
        <w:t>建设项目所在地自然环境简况</w:t>
      </w:r>
    </w:p>
    <w:tbl>
      <w:tblPr>
        <w:tblStyle w:val="24"/>
        <w:tblW w:w="9284"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1" w:hRule="atLeast"/>
        </w:trPr>
        <w:tc>
          <w:tcPr>
            <w:tcW w:w="9284" w:type="dxa"/>
            <w:tcBorders>
              <w:top w:val="single" w:color="auto" w:sz="12" w:space="0"/>
              <w:left w:val="single" w:color="auto" w:sz="12" w:space="0"/>
              <w:bottom w:val="single" w:color="auto" w:sz="12" w:space="0"/>
              <w:right w:val="single" w:color="auto" w:sz="12" w:space="0"/>
            </w:tcBorders>
          </w:tcPr>
          <w:p>
            <w:pPr>
              <w:pStyle w:val="10"/>
              <w:spacing w:line="360" w:lineRule="auto"/>
              <w:rPr>
                <w:rStyle w:val="52"/>
                <w:b/>
                <w:kern w:val="2"/>
                <w:sz w:val="24"/>
                <w:lang w:val="en-US"/>
              </w:rPr>
            </w:pPr>
            <w:r>
              <w:rPr>
                <w:rStyle w:val="52"/>
                <w:rFonts w:hAnsi="宋体"/>
                <w:b/>
                <w:kern w:val="2"/>
                <w:sz w:val="24"/>
                <w:lang w:val="en-US"/>
              </w:rPr>
              <w:t>自然环境简况</w:t>
            </w:r>
            <w:r>
              <w:rPr>
                <w:rStyle w:val="52"/>
                <w:b/>
                <w:kern w:val="2"/>
                <w:sz w:val="24"/>
                <w:lang w:val="en-US"/>
              </w:rPr>
              <w:t>(</w:t>
            </w:r>
            <w:r>
              <w:rPr>
                <w:rStyle w:val="52"/>
                <w:rFonts w:hAnsi="宋体"/>
                <w:b/>
                <w:kern w:val="2"/>
                <w:sz w:val="24"/>
                <w:lang w:val="en-US"/>
              </w:rPr>
              <w:t>地形、地貌、地质、气候、气象、水文、植被、生物多样性等</w:t>
            </w:r>
            <w:r>
              <w:rPr>
                <w:rStyle w:val="52"/>
                <w:b/>
                <w:kern w:val="2"/>
                <w:sz w:val="24"/>
                <w:lang w:val="en-US"/>
              </w:rPr>
              <w:t>)</w:t>
            </w:r>
            <w:r>
              <w:rPr>
                <w:rStyle w:val="52"/>
                <w:rFonts w:hAnsi="宋体"/>
                <w:b/>
                <w:kern w:val="2"/>
                <w:sz w:val="24"/>
                <w:lang w:val="en-US"/>
              </w:rPr>
              <w:t>：</w:t>
            </w:r>
          </w:p>
          <w:p>
            <w:pPr>
              <w:spacing w:line="360" w:lineRule="auto"/>
              <w:ind w:firstLine="482" w:firstLineChars="200"/>
              <w:rPr>
                <w:b/>
                <w:sz w:val="24"/>
              </w:rPr>
            </w:pPr>
            <w:r>
              <w:rPr>
                <w:b/>
                <w:sz w:val="24"/>
              </w:rPr>
              <w:t>一、</w:t>
            </w:r>
            <w:r>
              <w:rPr>
                <w:rFonts w:hint="eastAsia"/>
                <w:b/>
                <w:sz w:val="24"/>
              </w:rPr>
              <w:t>地理位置</w:t>
            </w:r>
          </w:p>
          <w:p>
            <w:pPr>
              <w:spacing w:line="360" w:lineRule="auto"/>
              <w:ind w:firstLine="480" w:firstLineChars="200"/>
              <w:rPr>
                <w:sz w:val="24"/>
                <w:szCs w:val="24"/>
              </w:rPr>
            </w:pPr>
            <w:r>
              <w:rPr>
                <w:rFonts w:hint="eastAsia"/>
                <w:sz w:val="24"/>
                <w:szCs w:val="24"/>
              </w:rPr>
              <w:t>长安区</w:t>
            </w:r>
            <w:r>
              <w:rPr>
                <w:sz w:val="24"/>
                <w:szCs w:val="24"/>
              </w:rPr>
              <w:t>位</w:t>
            </w:r>
            <w:r>
              <w:rPr>
                <w:rFonts w:hint="eastAsia"/>
                <w:sz w:val="24"/>
                <w:szCs w:val="24"/>
              </w:rPr>
              <w:t>西安市主城区南部，东临蓝田县，南接宁陕县、柞水县，西与户县、咸阳市接壤，北和雁塔区、灞桥区为邻，南北长55公里，东西宽52公里，总面积1580平方公里。</w:t>
            </w:r>
          </w:p>
          <w:p>
            <w:pPr>
              <w:spacing w:line="360" w:lineRule="auto"/>
              <w:ind w:firstLine="480" w:firstLineChars="200"/>
              <w:rPr>
                <w:b/>
                <w:sz w:val="24"/>
                <w:szCs w:val="24"/>
              </w:rPr>
            </w:pPr>
            <w:r>
              <w:rPr>
                <w:rFonts w:hint="eastAsia"/>
                <w:sz w:val="24"/>
                <w:szCs w:val="24"/>
              </w:rPr>
              <w:t>本</w:t>
            </w:r>
            <w:r>
              <w:rPr>
                <w:sz w:val="24"/>
                <w:szCs w:val="24"/>
              </w:rPr>
              <w:t>项目位于</w:t>
            </w:r>
            <w:r>
              <w:rPr>
                <w:rFonts w:hAnsi="宋体"/>
                <w:sz w:val="24"/>
                <w:szCs w:val="24"/>
              </w:rPr>
              <w:t>西安市长安区魏寨</w:t>
            </w:r>
            <w:r>
              <w:rPr>
                <w:rFonts w:hint="eastAsia" w:hAnsi="宋体"/>
                <w:sz w:val="24"/>
                <w:szCs w:val="24"/>
              </w:rPr>
              <w:t>乡东部新型建材产业基地</w:t>
            </w:r>
            <w:r>
              <w:rPr>
                <w:sz w:val="24"/>
              </w:rPr>
              <w:t>，</w:t>
            </w:r>
            <w:r>
              <w:rPr>
                <w:rFonts w:hint="eastAsia"/>
                <w:sz w:val="24"/>
              </w:rPr>
              <w:t>中心坐标东经</w:t>
            </w:r>
            <w:r>
              <w:rPr>
                <w:sz w:val="24"/>
              </w:rPr>
              <w:t>109°9'6.44"</w:t>
            </w:r>
            <w:r>
              <w:rPr>
                <w:rFonts w:hint="eastAsia"/>
                <w:sz w:val="24"/>
              </w:rPr>
              <w:t>，北纬</w:t>
            </w:r>
            <w:r>
              <w:rPr>
                <w:sz w:val="24"/>
              </w:rPr>
              <w:t>34°6'24.75"</w:t>
            </w:r>
            <w:r>
              <w:rPr>
                <w:rFonts w:hint="eastAsia"/>
                <w:sz w:val="24"/>
              </w:rPr>
              <w:t>，</w:t>
            </w:r>
            <w:r>
              <w:rPr>
                <w:rFonts w:hint="eastAsia" w:hAnsi="宋体"/>
                <w:sz w:val="24"/>
                <w:szCs w:val="24"/>
              </w:rPr>
              <w:t>具体地理位置见附图1</w:t>
            </w:r>
            <w:r>
              <w:rPr>
                <w:sz w:val="24"/>
                <w:szCs w:val="24"/>
              </w:rPr>
              <w:t>。</w:t>
            </w:r>
          </w:p>
          <w:p>
            <w:pPr>
              <w:spacing w:line="360" w:lineRule="auto"/>
              <w:ind w:firstLine="482" w:firstLineChars="200"/>
              <w:rPr>
                <w:b/>
                <w:sz w:val="24"/>
              </w:rPr>
            </w:pPr>
            <w:r>
              <w:rPr>
                <w:rFonts w:hAnsi="宋体"/>
                <w:b/>
                <w:sz w:val="24"/>
              </w:rPr>
              <w:t>二、</w:t>
            </w:r>
            <w:r>
              <w:rPr>
                <w:b/>
                <w:sz w:val="24"/>
              </w:rPr>
              <w:t>地形地貌</w:t>
            </w:r>
          </w:p>
          <w:p>
            <w:pPr>
              <w:autoSpaceDE w:val="0"/>
              <w:autoSpaceDN w:val="0"/>
              <w:adjustRightInd w:val="0"/>
              <w:spacing w:line="360" w:lineRule="auto"/>
              <w:ind w:firstLine="480" w:firstLineChars="200"/>
              <w:rPr>
                <w:kern w:val="0"/>
                <w:sz w:val="24"/>
              </w:rPr>
            </w:pPr>
            <w:r>
              <w:rPr>
                <w:rFonts w:hint="eastAsia"/>
                <w:kern w:val="0"/>
                <w:sz w:val="24"/>
              </w:rPr>
              <w:t>长安区地势南高北低，可分为两大地貌单元，南部为秦岭山区，北部为关中平原区。平原区又可分为黄土台塬、冲积平原。黄土台塬分布在平原的东部，秦岭山脚至西安市区之间，被其间河流分割成多个北西向条块状台塬，包括神禾塬、八里塬、炮里塬等。</w:t>
            </w:r>
          </w:p>
          <w:p>
            <w:pPr>
              <w:autoSpaceDE w:val="0"/>
              <w:autoSpaceDN w:val="0"/>
              <w:adjustRightInd w:val="0"/>
              <w:spacing w:line="360" w:lineRule="auto"/>
              <w:ind w:firstLine="480" w:firstLineChars="200"/>
              <w:rPr>
                <w:kern w:val="0"/>
                <w:sz w:val="24"/>
              </w:rPr>
            </w:pPr>
            <w:r>
              <w:rPr>
                <w:rFonts w:hint="eastAsia"/>
                <w:kern w:val="0"/>
                <w:sz w:val="24"/>
              </w:rPr>
              <w:t>本项目区域属于黄土台塬中的八里塬，具有阶梯式台面，各级台面呈陡坡衔接。项目区域地势南高北低，海拔524~596m，塬面宽阔，起伏不大。</w:t>
            </w:r>
          </w:p>
          <w:p>
            <w:pPr>
              <w:autoSpaceDE w:val="0"/>
              <w:autoSpaceDN w:val="0"/>
              <w:adjustRightInd w:val="0"/>
              <w:spacing w:line="360" w:lineRule="auto"/>
              <w:ind w:firstLine="482" w:firstLineChars="200"/>
              <w:rPr>
                <w:b/>
                <w:kern w:val="0"/>
                <w:sz w:val="24"/>
              </w:rPr>
            </w:pPr>
            <w:r>
              <w:rPr>
                <w:rFonts w:hint="eastAsia"/>
                <w:b/>
                <w:kern w:val="0"/>
                <w:sz w:val="24"/>
              </w:rPr>
              <w:t>三、地层岩性</w:t>
            </w:r>
          </w:p>
          <w:p>
            <w:pPr>
              <w:autoSpaceDE w:val="0"/>
              <w:autoSpaceDN w:val="0"/>
              <w:adjustRightInd w:val="0"/>
              <w:spacing w:line="360" w:lineRule="auto"/>
              <w:ind w:firstLine="480" w:firstLineChars="200"/>
              <w:rPr>
                <w:kern w:val="0"/>
                <w:sz w:val="24"/>
              </w:rPr>
            </w:pPr>
            <w:r>
              <w:rPr>
                <w:rFonts w:hint="eastAsia"/>
                <w:kern w:val="0"/>
                <w:sz w:val="24"/>
              </w:rPr>
              <w:t>项目区域位于渭河以南的黄土覆盖阶地，属于西北地层区渭河分区。出露地层为第四系，由老至新分为三层，以中更新统泻湖组为主，少量上更新统马兰组和全新统，因其均为粘土，可作为粘土矿使用。</w:t>
            </w:r>
          </w:p>
          <w:p>
            <w:pPr>
              <w:autoSpaceDE w:val="0"/>
              <w:autoSpaceDN w:val="0"/>
              <w:adjustRightInd w:val="0"/>
              <w:spacing w:line="360" w:lineRule="auto"/>
              <w:ind w:firstLine="480" w:firstLineChars="200"/>
              <w:rPr>
                <w:kern w:val="0"/>
                <w:sz w:val="24"/>
              </w:rPr>
            </w:pPr>
            <w:r>
              <w:rPr>
                <w:rFonts w:hint="eastAsia"/>
                <w:kern w:val="0"/>
                <w:sz w:val="24"/>
              </w:rPr>
              <w:t>各层特征如下：</w:t>
            </w:r>
          </w:p>
          <w:p>
            <w:pPr>
              <w:autoSpaceDE w:val="0"/>
              <w:autoSpaceDN w:val="0"/>
              <w:adjustRightInd w:val="0"/>
              <w:spacing w:line="360" w:lineRule="auto"/>
              <w:ind w:firstLine="480" w:firstLineChars="200"/>
              <w:rPr>
                <w:kern w:val="0"/>
                <w:sz w:val="24"/>
              </w:rPr>
            </w:pPr>
            <w:r>
              <w:rPr>
                <w:rFonts w:hint="eastAsia"/>
                <w:kern w:val="0"/>
                <w:sz w:val="24"/>
              </w:rPr>
              <w:t>中更新统泻湖组：为风成浅灰褐棕黄色粘土，质地较致密，上部夹8~10层红褐色古土壤层，底部有2~7m冲、洪积砂砾石层。中更新统泻湖组为赋矿层位。</w:t>
            </w:r>
          </w:p>
          <w:p>
            <w:pPr>
              <w:autoSpaceDE w:val="0"/>
              <w:autoSpaceDN w:val="0"/>
              <w:adjustRightInd w:val="0"/>
              <w:spacing w:line="360" w:lineRule="auto"/>
              <w:ind w:firstLine="480" w:firstLineChars="200"/>
              <w:rPr>
                <w:kern w:val="0"/>
                <w:sz w:val="24"/>
              </w:rPr>
            </w:pPr>
            <w:r>
              <w:rPr>
                <w:rFonts w:hint="eastAsia"/>
                <w:kern w:val="0"/>
                <w:sz w:val="24"/>
              </w:rPr>
              <w:t>上更新统马兰组：黄色-灰黄色粘土，质地较疏松，偶见柱状节理。</w:t>
            </w:r>
          </w:p>
          <w:p>
            <w:pPr>
              <w:autoSpaceDE w:val="0"/>
              <w:autoSpaceDN w:val="0"/>
              <w:adjustRightInd w:val="0"/>
              <w:spacing w:line="360" w:lineRule="auto"/>
              <w:ind w:firstLine="480" w:firstLineChars="200"/>
              <w:rPr>
                <w:kern w:val="0"/>
                <w:sz w:val="24"/>
              </w:rPr>
            </w:pPr>
            <w:r>
              <w:rPr>
                <w:rFonts w:hint="eastAsia"/>
                <w:kern w:val="0"/>
                <w:sz w:val="24"/>
              </w:rPr>
              <w:t>全更新统耕植土层：灰黄色粘土，质地较疏松，含少量腐殖质，植物根系较发育。</w:t>
            </w:r>
          </w:p>
          <w:p>
            <w:pPr>
              <w:autoSpaceDE w:val="0"/>
              <w:autoSpaceDN w:val="0"/>
              <w:adjustRightInd w:val="0"/>
              <w:spacing w:line="360" w:lineRule="auto"/>
              <w:ind w:firstLine="482" w:firstLineChars="200"/>
              <w:rPr>
                <w:b/>
                <w:kern w:val="0"/>
                <w:sz w:val="24"/>
              </w:rPr>
            </w:pPr>
            <w:r>
              <w:rPr>
                <w:rFonts w:hint="eastAsia"/>
                <w:b/>
                <w:kern w:val="0"/>
                <w:sz w:val="24"/>
              </w:rPr>
              <w:t>四、地质构造</w:t>
            </w:r>
          </w:p>
          <w:p>
            <w:pPr>
              <w:autoSpaceDE w:val="0"/>
              <w:autoSpaceDN w:val="0"/>
              <w:adjustRightInd w:val="0"/>
              <w:spacing w:line="360" w:lineRule="auto"/>
              <w:ind w:firstLine="480" w:firstLineChars="200"/>
              <w:rPr>
                <w:kern w:val="0"/>
                <w:sz w:val="24"/>
              </w:rPr>
            </w:pPr>
            <w:r>
              <w:rPr>
                <w:rFonts w:hint="eastAsia"/>
                <w:kern w:val="0"/>
                <w:sz w:val="24"/>
              </w:rPr>
              <w:t>项目区域构造位置处于华北板块南部，新构造运动不发育，未见断裂构造，未出露侵入岩。根据《中国地震动参数区规划图》（GB50223-2008）第1号修改单，本区地质设防烈度为8度，地震动峰值加速度为0.15g，场地设计周期值0.35s。</w:t>
            </w:r>
          </w:p>
          <w:p>
            <w:pPr>
              <w:autoSpaceDE w:val="0"/>
              <w:autoSpaceDN w:val="0"/>
              <w:adjustRightInd w:val="0"/>
              <w:spacing w:line="360" w:lineRule="auto"/>
              <w:ind w:firstLine="482" w:firstLineChars="200"/>
              <w:rPr>
                <w:b/>
                <w:kern w:val="0"/>
                <w:sz w:val="24"/>
              </w:rPr>
            </w:pPr>
            <w:r>
              <w:rPr>
                <w:rFonts w:hint="eastAsia"/>
                <w:b/>
                <w:kern w:val="0"/>
                <w:sz w:val="24"/>
              </w:rPr>
              <w:t>五、水文地质条件</w:t>
            </w:r>
          </w:p>
          <w:p>
            <w:pPr>
              <w:autoSpaceDE w:val="0"/>
              <w:autoSpaceDN w:val="0"/>
              <w:adjustRightInd w:val="0"/>
              <w:spacing w:line="360" w:lineRule="auto"/>
              <w:ind w:firstLine="480" w:firstLineChars="200"/>
              <w:rPr>
                <w:kern w:val="0"/>
                <w:sz w:val="24"/>
              </w:rPr>
            </w:pPr>
            <w:r>
              <w:rPr>
                <w:rFonts w:hint="eastAsia"/>
                <w:kern w:val="0"/>
                <w:sz w:val="24"/>
              </w:rPr>
              <w:t>区域地下水主要为第四系松散堆积层中的黄土孔隙-裂隙水，富水性差，水位埋深一般大于30m。地下水补给来源为大气降水和河流侧渗补给，排泄方式为蒸发消耗和侧向径流。</w:t>
            </w:r>
          </w:p>
          <w:p>
            <w:pPr>
              <w:spacing w:line="360" w:lineRule="auto"/>
              <w:ind w:firstLine="482" w:firstLineChars="200"/>
              <w:rPr>
                <w:rFonts w:hAnsi="宋体"/>
                <w:b/>
                <w:sz w:val="24"/>
              </w:rPr>
            </w:pPr>
            <w:r>
              <w:rPr>
                <w:rFonts w:hint="eastAsia" w:hAnsi="宋体"/>
                <w:b/>
                <w:sz w:val="24"/>
              </w:rPr>
              <w:t>六</w:t>
            </w:r>
            <w:r>
              <w:rPr>
                <w:rFonts w:hAnsi="宋体"/>
                <w:b/>
                <w:sz w:val="24"/>
              </w:rPr>
              <w:t>、气候、气象</w:t>
            </w:r>
          </w:p>
          <w:p>
            <w:pPr>
              <w:adjustRightInd w:val="0"/>
              <w:snapToGrid w:val="0"/>
              <w:spacing w:line="360" w:lineRule="auto"/>
              <w:ind w:firstLine="480" w:firstLineChars="200"/>
              <w:rPr>
                <w:rFonts w:hAnsi="宋体"/>
                <w:kern w:val="0"/>
                <w:sz w:val="24"/>
              </w:rPr>
            </w:pPr>
            <w:r>
              <w:rPr>
                <w:rFonts w:hint="eastAsia" w:hAnsi="宋体"/>
                <w:kern w:val="0"/>
                <w:sz w:val="24"/>
              </w:rPr>
              <w:t>长安区属暖温带半干旱半湿润大陆性季风气候，雨量适中，四季分明，秋短春长。冬季受大陆性季风影响，寒冷少雨，常有寒潮产生。夏季受海洋性季风影响，炎热多雨，时有旱涝、大风发生。春秋则为过度季节，春季降水不断增加，气温逐渐回升转暖，由于北方冷空气往返活动，气旋增多，天气多变，会有低温、晚霜为害。秋季时有低温冷害，连阴雨较多，气温下降极速。境内地貌多样，气候呈垂直分布，地域差异明显。自北向南由平原到台原、山地，随海拔高度的递增和坡向的影响，年平均气温逐渐降低，年平均降水量则逐渐增加，风速也逐渐加大。年平均气温为13.2℃，最高气温为43.4℃，最低气温为-17.5℃。山区与平原温差很大。</w:t>
            </w:r>
          </w:p>
          <w:p>
            <w:pPr>
              <w:spacing w:line="360" w:lineRule="auto"/>
              <w:ind w:firstLine="480" w:firstLineChars="200"/>
              <w:rPr>
                <w:kern w:val="0"/>
                <w:sz w:val="24"/>
              </w:rPr>
            </w:pPr>
            <w:r>
              <w:rPr>
                <w:rFonts w:hint="eastAsia" w:hAnsi="宋体"/>
                <w:kern w:val="0"/>
                <w:sz w:val="24"/>
              </w:rPr>
              <w:t>区域年平均降水量为660mm，东部台原区年将水量为650mm~800mm。降雨时空分布很不均匀，冬春少雨干旱，夏季伏旱多暴雨，秋季多连阴雨，旱涝灾害交错发生。年平均日照2097小时，年无霜期平均217天，最大积雪深度18cm，冰冻深度20cm；常年主导风向为东南风和西南风，风向频率为14%，次主导风向频率为10%；静风频率为30%；多年平均风速1.5m/s，最大风速24m/s。</w:t>
            </w:r>
          </w:p>
          <w:p>
            <w:pPr>
              <w:spacing w:line="360" w:lineRule="auto"/>
              <w:ind w:firstLine="482" w:firstLineChars="200"/>
              <w:rPr>
                <w:b/>
                <w:sz w:val="24"/>
              </w:rPr>
            </w:pPr>
            <w:r>
              <w:rPr>
                <w:rFonts w:hint="eastAsia" w:hAnsi="宋体"/>
                <w:b/>
                <w:sz w:val="24"/>
              </w:rPr>
              <w:t>七、土地类型与植被</w:t>
            </w:r>
          </w:p>
          <w:p>
            <w:pPr>
              <w:spacing w:line="360" w:lineRule="auto"/>
              <w:ind w:firstLine="480" w:firstLineChars="200"/>
              <w:rPr>
                <w:kern w:val="0"/>
                <w:sz w:val="24"/>
              </w:rPr>
            </w:pPr>
            <w:r>
              <w:rPr>
                <w:rFonts w:hint="eastAsia"/>
                <w:kern w:val="0"/>
                <w:sz w:val="24"/>
              </w:rPr>
              <w:t>长安境内植物资源丰富。主要乔木树木有油松、华山松、雪松等60多种；粮食作物以小麦、玉米和水稻为主，还有谷子、豆类、薯类等；经济作物以棉、油菜、蔬菜、瓜果、花卉为主；蔬菜有70多种，如莲藕、白菜、韭菜、莴笋等；果类主要有葡萄、梨、桃、葡萄、李子和柿子等；山货特产主要有板栗、核桃、花椒、漆木、黑木耳、松香、桂皮等。</w:t>
            </w:r>
          </w:p>
          <w:p>
            <w:pPr>
              <w:spacing w:line="360" w:lineRule="auto"/>
              <w:ind w:left="105" w:leftChars="50" w:firstLine="480" w:firstLineChars="200"/>
              <w:rPr>
                <w:rFonts w:hAnsi="宋体"/>
                <w:kern w:val="0"/>
                <w:sz w:val="24"/>
              </w:rPr>
            </w:pPr>
            <w:r>
              <w:rPr>
                <w:rFonts w:hint="eastAsia" w:hAnsi="宋体"/>
                <w:kern w:val="0"/>
                <w:sz w:val="24"/>
              </w:rPr>
              <w:t>根据现场勘查，项目所在区域内未发现珍稀保护动、植物。</w:t>
            </w:r>
          </w:p>
          <w:p>
            <w:pPr>
              <w:spacing w:line="360" w:lineRule="auto"/>
              <w:ind w:left="105" w:leftChars="50" w:firstLine="480" w:firstLineChars="200"/>
              <w:rPr>
                <w:sz w:val="24"/>
              </w:rPr>
            </w:pPr>
            <w:r>
              <w:rPr>
                <w:rFonts w:hint="eastAsia" w:hAnsi="宋体"/>
                <w:sz w:val="24"/>
                <w:szCs w:val="24"/>
              </w:rPr>
              <w:t>本项目</w:t>
            </w:r>
            <w:r>
              <w:rPr>
                <w:sz w:val="24"/>
                <w:szCs w:val="24"/>
              </w:rPr>
              <w:t>位于</w:t>
            </w:r>
            <w:r>
              <w:rPr>
                <w:rFonts w:hAnsi="宋体"/>
                <w:sz w:val="24"/>
                <w:szCs w:val="24"/>
              </w:rPr>
              <w:t>西安市长安区魏寨</w:t>
            </w:r>
            <w:r>
              <w:rPr>
                <w:rFonts w:hint="eastAsia" w:hAnsi="宋体"/>
                <w:sz w:val="24"/>
                <w:szCs w:val="24"/>
              </w:rPr>
              <w:t>乡东部新型建材产业基地</w:t>
            </w:r>
            <w:r>
              <w:rPr>
                <w:sz w:val="24"/>
              </w:rPr>
              <w:t>地块</w:t>
            </w:r>
            <w:r>
              <w:rPr>
                <w:rFonts w:hint="eastAsia"/>
                <w:sz w:val="24"/>
              </w:rPr>
              <w:t>四</w:t>
            </w:r>
            <w:r>
              <w:rPr>
                <w:sz w:val="24"/>
              </w:rPr>
              <w:t>范围内</w:t>
            </w:r>
            <w:r>
              <w:rPr>
                <w:rFonts w:hint="eastAsia" w:hAnsi="宋体"/>
                <w:sz w:val="24"/>
                <w:szCs w:val="24"/>
              </w:rPr>
              <w:t>，区域主要为草地，地表植被主要为灌木和草本植物</w:t>
            </w:r>
            <w:r>
              <w:rPr>
                <w:rFonts w:hint="eastAsia"/>
                <w:sz w:val="24"/>
              </w:rPr>
              <w:t>，</w:t>
            </w:r>
            <w:r>
              <w:rPr>
                <w:kern w:val="0"/>
                <w:sz w:val="24"/>
                <w:szCs w:val="24"/>
              </w:rPr>
              <w:t>项目周边情况详见附图</w:t>
            </w:r>
            <w:r>
              <w:rPr>
                <w:rFonts w:hint="eastAsia"/>
                <w:kern w:val="0"/>
                <w:sz w:val="24"/>
                <w:szCs w:val="24"/>
              </w:rPr>
              <w:t>3</w:t>
            </w:r>
            <w:r>
              <w:rPr>
                <w:kern w:val="0"/>
                <w:sz w:val="24"/>
                <w:szCs w:val="24"/>
              </w:rPr>
              <w:t>。</w:t>
            </w:r>
          </w:p>
          <w:p>
            <w:pPr>
              <w:spacing w:line="360" w:lineRule="auto"/>
              <w:ind w:left="105" w:leftChars="50" w:firstLine="480" w:firstLineChars="200"/>
              <w:rPr>
                <w:sz w:val="24"/>
              </w:rPr>
            </w:pPr>
          </w:p>
          <w:p>
            <w:pPr>
              <w:rPr>
                <w:sz w:val="24"/>
              </w:rPr>
            </w:pPr>
          </w:p>
          <w:p>
            <w:pPr>
              <w:rPr>
                <w:sz w:val="24"/>
              </w:rPr>
            </w:pPr>
          </w:p>
          <w:p>
            <w:pPr>
              <w:rPr>
                <w:sz w:val="24"/>
              </w:rPr>
            </w:pPr>
          </w:p>
          <w:p>
            <w:pPr>
              <w:rPr>
                <w:sz w:val="24"/>
              </w:rPr>
            </w:pPr>
          </w:p>
        </w:tc>
      </w:tr>
    </w:tbl>
    <w:p>
      <w:pPr>
        <w:rPr>
          <w:rFonts w:hAnsi="宋体"/>
          <w:b/>
          <w:sz w:val="24"/>
        </w:rPr>
        <w:sectPr>
          <w:pgSz w:w="11906" w:h="16838"/>
          <w:pgMar w:top="1090" w:right="1418" w:bottom="2025" w:left="1418" w:header="851" w:footer="992" w:gutter="0"/>
          <w:cols w:space="720" w:num="1"/>
          <w:docGrid w:type="lines" w:linePitch="312" w:charSpace="0"/>
        </w:sectPr>
      </w:pPr>
    </w:p>
    <w:p>
      <w:pPr>
        <w:rPr>
          <w:b/>
          <w:sz w:val="24"/>
        </w:rPr>
      </w:pPr>
      <w:r>
        <w:rPr>
          <w:rFonts w:hAnsi="宋体"/>
          <w:b/>
          <w:sz w:val="24"/>
        </w:rPr>
        <w:t>环境质量现状</w:t>
      </w:r>
    </w:p>
    <w:tbl>
      <w:tblPr>
        <w:tblStyle w:val="2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8544"/>
        <w:gridCol w:w="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7" w:type="dxa"/>
          <w:trHeight w:val="12302" w:hRule="atLeast"/>
        </w:trPr>
        <w:tc>
          <w:tcPr>
            <w:tcW w:w="9040" w:type="dxa"/>
            <w:gridSpan w:val="2"/>
            <w:tcBorders>
              <w:top w:val="single" w:color="auto" w:sz="12" w:space="0"/>
              <w:left w:val="single" w:color="auto" w:sz="12" w:space="0"/>
              <w:bottom w:val="single" w:color="auto" w:sz="12" w:space="0"/>
              <w:right w:val="single" w:color="auto" w:sz="12" w:space="0"/>
            </w:tcBorders>
            <w:vAlign w:val="center"/>
          </w:tcPr>
          <w:p>
            <w:pPr>
              <w:pStyle w:val="10"/>
              <w:rPr>
                <w:rStyle w:val="52"/>
                <w:b/>
                <w:kern w:val="2"/>
                <w:sz w:val="24"/>
                <w:lang w:val="en-US"/>
              </w:rPr>
            </w:pPr>
            <w:r>
              <w:rPr>
                <w:rStyle w:val="52"/>
                <w:rFonts w:hAnsi="宋体"/>
                <w:b/>
                <w:kern w:val="2"/>
                <w:sz w:val="24"/>
                <w:lang w:val="en-US"/>
              </w:rPr>
              <w:t>建设项目所在地区域环境质量现状及主要环境问题（环境空气、地表水、地下水、声环境、生态环境等）</w:t>
            </w:r>
          </w:p>
          <w:p>
            <w:pPr>
              <w:tabs>
                <w:tab w:val="left" w:pos="3555"/>
              </w:tabs>
              <w:spacing w:line="360" w:lineRule="auto"/>
              <w:ind w:firstLine="482" w:firstLineChars="200"/>
              <w:rPr>
                <w:rFonts w:hAnsi="宋体"/>
                <w:b/>
                <w:sz w:val="24"/>
              </w:rPr>
            </w:pPr>
            <w:r>
              <w:rPr>
                <w:rStyle w:val="52"/>
                <w:rFonts w:hAnsi="宋体"/>
                <w:b/>
                <w:sz w:val="24"/>
              </w:rPr>
              <w:t>一、环境空气质量现状</w:t>
            </w:r>
            <w:r>
              <w:rPr>
                <w:rFonts w:hAnsi="宋体"/>
                <w:b/>
                <w:sz w:val="24"/>
              </w:rPr>
              <w:t>与评价</w:t>
            </w:r>
          </w:p>
          <w:p>
            <w:pPr>
              <w:tabs>
                <w:tab w:val="left" w:pos="3555"/>
              </w:tabs>
              <w:spacing w:line="360" w:lineRule="auto"/>
              <w:ind w:firstLine="480" w:firstLineChars="200"/>
              <w:rPr>
                <w:bCs/>
                <w:kern w:val="44"/>
                <w:sz w:val="24"/>
              </w:rPr>
            </w:pPr>
            <w:r>
              <w:rPr>
                <w:bCs/>
                <w:kern w:val="44"/>
                <w:sz w:val="24"/>
              </w:rPr>
              <w:t>根据《环境影响评价技术导则大气环境》（HJ2.2-2018）本次评价区域空气质量现状评价引用根据陕西省生态环境厅办公室《环保快报》中2018年12月及1~12月全省环境空气质量监测数据对该项目基本污染物空气质量进行评价</w:t>
            </w:r>
            <w:r>
              <w:rPr>
                <w:rFonts w:hint="eastAsia"/>
                <w:bCs/>
                <w:kern w:val="44"/>
                <w:sz w:val="24"/>
              </w:rPr>
              <w:t>。</w:t>
            </w:r>
            <w:r>
              <w:rPr>
                <w:sz w:val="24"/>
              </w:rPr>
              <w:t>其他污染物的补充监测及声环境质量现状委托陕西太阳景检测有限责任公司对项目所在地周围的环境质量状况进行了监测</w:t>
            </w:r>
            <w:r>
              <w:rPr>
                <w:rFonts w:hint="eastAsia"/>
                <w:sz w:val="24"/>
              </w:rPr>
              <w:t>。</w:t>
            </w:r>
          </w:p>
          <w:p>
            <w:pPr>
              <w:spacing w:line="440" w:lineRule="exact"/>
              <w:ind w:firstLine="480" w:firstLineChars="200"/>
              <w:rPr>
                <w:sz w:val="24"/>
              </w:rPr>
            </w:pPr>
            <w:r>
              <w:rPr>
                <w:sz w:val="24"/>
              </w:rPr>
              <w:t>（1）基本污染物空气质量现状评价</w:t>
            </w:r>
          </w:p>
          <w:p>
            <w:pPr>
              <w:tabs>
                <w:tab w:val="left" w:pos="3555"/>
              </w:tabs>
              <w:spacing w:line="360" w:lineRule="auto"/>
              <w:ind w:firstLine="480" w:firstLineChars="200"/>
              <w:rPr>
                <w:rFonts w:hAnsi="宋体"/>
                <w:sz w:val="24"/>
              </w:rPr>
            </w:pPr>
            <w:r>
              <w:rPr>
                <w:rFonts w:hint="eastAsia"/>
                <w:bCs/>
                <w:kern w:val="44"/>
                <w:sz w:val="24"/>
              </w:rPr>
              <w:t>本项目位于西安市长安区，</w:t>
            </w:r>
            <w:r>
              <w:rPr>
                <w:bCs/>
                <w:kern w:val="44"/>
                <w:sz w:val="24"/>
              </w:rPr>
              <w:t>根据陕西省生态环境厅办公室《环保快报》中2018年12月及1~12月全省环境空气质量状况分析空气常规六项污染物统计数据</w:t>
            </w:r>
            <w:r>
              <w:rPr>
                <w:rFonts w:hint="eastAsia"/>
                <w:bCs/>
                <w:kern w:val="44"/>
                <w:sz w:val="24"/>
              </w:rPr>
              <w:t>统计，长安区2018年全年优良天数185天，优良率50.7%，重度及以上污染天数39天，空气质量综合指数6.44。长安区基本污染物统计结果如下表所示。</w:t>
            </w:r>
          </w:p>
          <w:p>
            <w:pPr>
              <w:tabs>
                <w:tab w:val="left" w:pos="9345"/>
              </w:tabs>
              <w:spacing w:line="440" w:lineRule="exact"/>
              <w:ind w:right="66"/>
              <w:jc w:val="center"/>
              <w:rPr>
                <w:b/>
                <w:bCs/>
                <w:kern w:val="0"/>
                <w:szCs w:val="21"/>
              </w:rPr>
            </w:pPr>
            <w:r>
              <w:rPr>
                <w:b/>
                <w:bCs/>
                <w:kern w:val="0"/>
                <w:szCs w:val="21"/>
              </w:rPr>
              <w:t>表</w:t>
            </w:r>
            <w:r>
              <w:rPr>
                <w:rFonts w:hint="eastAsia"/>
                <w:b/>
                <w:bCs/>
                <w:kern w:val="0"/>
                <w:szCs w:val="21"/>
              </w:rPr>
              <w:t xml:space="preserve">15 </w:t>
            </w:r>
            <w:r>
              <w:rPr>
                <w:b/>
                <w:bCs/>
                <w:kern w:val="0"/>
                <w:szCs w:val="21"/>
              </w:rPr>
              <w:t xml:space="preserve"> 区域空气质量现状评价表 </w:t>
            </w:r>
          </w:p>
          <w:tbl>
            <w:tblPr>
              <w:tblStyle w:val="24"/>
              <w:tblW w:w="4994"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2357"/>
              <w:gridCol w:w="1359"/>
              <w:gridCol w:w="1357"/>
              <w:gridCol w:w="908"/>
              <w:gridCol w:w="8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138" w:type="pct"/>
                  <w:vAlign w:val="center"/>
                </w:tcPr>
                <w:p>
                  <w:pPr>
                    <w:spacing w:line="320" w:lineRule="exact"/>
                    <w:jc w:val="center"/>
                    <w:rPr>
                      <w:b/>
                      <w:szCs w:val="21"/>
                    </w:rPr>
                  </w:pPr>
                  <w:r>
                    <w:rPr>
                      <w:b/>
                      <w:szCs w:val="21"/>
                    </w:rPr>
                    <w:t>污染物</w:t>
                  </w:r>
                </w:p>
              </w:tc>
              <w:tc>
                <w:tcPr>
                  <w:tcW w:w="1337" w:type="pct"/>
                  <w:vAlign w:val="center"/>
                </w:tcPr>
                <w:p>
                  <w:pPr>
                    <w:spacing w:line="320" w:lineRule="exact"/>
                    <w:jc w:val="center"/>
                    <w:rPr>
                      <w:b/>
                      <w:szCs w:val="21"/>
                    </w:rPr>
                  </w:pPr>
                  <w:r>
                    <w:rPr>
                      <w:b/>
                      <w:szCs w:val="21"/>
                    </w:rPr>
                    <w:t>年评价指标</w:t>
                  </w:r>
                </w:p>
              </w:tc>
              <w:tc>
                <w:tcPr>
                  <w:tcW w:w="771" w:type="pct"/>
                  <w:vAlign w:val="center"/>
                </w:tcPr>
                <w:p>
                  <w:pPr>
                    <w:spacing w:line="320" w:lineRule="exact"/>
                    <w:jc w:val="center"/>
                    <w:rPr>
                      <w:b/>
                      <w:szCs w:val="21"/>
                    </w:rPr>
                  </w:pPr>
                  <w:r>
                    <w:rPr>
                      <w:b/>
                      <w:szCs w:val="21"/>
                    </w:rPr>
                    <w:t>现状浓度</w:t>
                  </w:r>
                </w:p>
                <w:p>
                  <w:pPr>
                    <w:pStyle w:val="104"/>
                    <w:rPr>
                      <w:rFonts w:ascii="Times New Roman" w:cs="Times New Roman"/>
                      <w:color w:val="auto"/>
                      <w:sz w:val="21"/>
                      <w:szCs w:val="21"/>
                    </w:rPr>
                  </w:pPr>
                  <w:r>
                    <w:rPr>
                      <w:rFonts w:ascii="Times New Roman" w:cs="Times New Roman"/>
                      <w:b/>
                      <w:color w:val="auto"/>
                      <w:sz w:val="21"/>
                      <w:szCs w:val="21"/>
                    </w:rPr>
                    <w:t>（μg/m³）</w:t>
                  </w:r>
                </w:p>
              </w:tc>
              <w:tc>
                <w:tcPr>
                  <w:tcW w:w="770" w:type="pct"/>
                  <w:vAlign w:val="center"/>
                </w:tcPr>
                <w:p>
                  <w:pPr>
                    <w:spacing w:line="320" w:lineRule="exact"/>
                    <w:jc w:val="center"/>
                    <w:rPr>
                      <w:b/>
                      <w:szCs w:val="21"/>
                    </w:rPr>
                  </w:pPr>
                  <w:r>
                    <w:rPr>
                      <w:b/>
                      <w:szCs w:val="21"/>
                    </w:rPr>
                    <w:t>标准值</w:t>
                  </w:r>
                </w:p>
                <w:p>
                  <w:pPr>
                    <w:pStyle w:val="104"/>
                    <w:jc w:val="center"/>
                    <w:rPr>
                      <w:rFonts w:ascii="Times New Roman" w:cs="Times New Roman"/>
                      <w:color w:val="auto"/>
                      <w:sz w:val="21"/>
                      <w:szCs w:val="21"/>
                    </w:rPr>
                  </w:pPr>
                  <w:r>
                    <w:rPr>
                      <w:rFonts w:ascii="Times New Roman" w:cs="Times New Roman"/>
                      <w:b/>
                      <w:color w:val="auto"/>
                      <w:sz w:val="21"/>
                      <w:szCs w:val="21"/>
                    </w:rPr>
                    <w:t>（μg/m³）</w:t>
                  </w:r>
                </w:p>
              </w:tc>
              <w:tc>
                <w:tcPr>
                  <w:tcW w:w="515" w:type="pct"/>
                  <w:vAlign w:val="center"/>
                </w:tcPr>
                <w:p>
                  <w:pPr>
                    <w:spacing w:line="320" w:lineRule="exact"/>
                    <w:jc w:val="center"/>
                    <w:rPr>
                      <w:b/>
                      <w:szCs w:val="21"/>
                    </w:rPr>
                  </w:pPr>
                  <w:r>
                    <w:rPr>
                      <w:b/>
                      <w:szCs w:val="21"/>
                    </w:rPr>
                    <w:t>占标率/%</w:t>
                  </w:r>
                </w:p>
              </w:tc>
              <w:tc>
                <w:tcPr>
                  <w:tcW w:w="469" w:type="pct"/>
                  <w:vAlign w:val="center"/>
                </w:tcPr>
                <w:p>
                  <w:pPr>
                    <w:spacing w:line="320" w:lineRule="exact"/>
                    <w:jc w:val="center"/>
                    <w:rPr>
                      <w:b/>
                      <w:szCs w:val="21"/>
                    </w:rPr>
                  </w:pPr>
                  <w:r>
                    <w:rPr>
                      <w:b/>
                      <w:szCs w:val="21"/>
                    </w:rPr>
                    <w:t>达标</w:t>
                  </w:r>
                </w:p>
                <w:p>
                  <w:pPr>
                    <w:spacing w:line="320" w:lineRule="exact"/>
                    <w:jc w:val="center"/>
                    <w:rPr>
                      <w:b/>
                      <w:szCs w:val="21"/>
                    </w:rPr>
                  </w:pPr>
                  <w:r>
                    <w:rPr>
                      <w:b/>
                      <w:szCs w:val="21"/>
                    </w:rPr>
                    <w:t>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138" w:type="pct"/>
                  <w:vAlign w:val="center"/>
                </w:tcPr>
                <w:p>
                  <w:pPr>
                    <w:spacing w:line="320" w:lineRule="exact"/>
                    <w:jc w:val="center"/>
                    <w:rPr>
                      <w:szCs w:val="21"/>
                    </w:rPr>
                  </w:pPr>
                  <w:r>
                    <w:rPr>
                      <w:szCs w:val="21"/>
                    </w:rPr>
                    <w:t>可吸入颗粒物（PM</w:t>
                  </w:r>
                  <w:r>
                    <w:rPr>
                      <w:szCs w:val="21"/>
                      <w:vertAlign w:val="subscript"/>
                    </w:rPr>
                    <w:t>10</w:t>
                  </w:r>
                  <w:r>
                    <w:rPr>
                      <w:szCs w:val="21"/>
                    </w:rPr>
                    <w:t>）</w:t>
                  </w:r>
                </w:p>
              </w:tc>
              <w:tc>
                <w:tcPr>
                  <w:tcW w:w="1337" w:type="pct"/>
                  <w:vAlign w:val="center"/>
                </w:tcPr>
                <w:p>
                  <w:pPr>
                    <w:spacing w:line="240" w:lineRule="exact"/>
                    <w:jc w:val="center"/>
                    <w:rPr>
                      <w:szCs w:val="21"/>
                    </w:rPr>
                  </w:pPr>
                  <w:r>
                    <w:rPr>
                      <w:szCs w:val="21"/>
                    </w:rPr>
                    <w:t>年平均质量浓度</w:t>
                  </w:r>
                </w:p>
              </w:tc>
              <w:tc>
                <w:tcPr>
                  <w:tcW w:w="771" w:type="pct"/>
                  <w:vAlign w:val="center"/>
                </w:tcPr>
                <w:p>
                  <w:pPr>
                    <w:adjustRightInd w:val="0"/>
                    <w:snapToGrid w:val="0"/>
                    <w:jc w:val="center"/>
                    <w:rPr>
                      <w:kern w:val="0"/>
                      <w:szCs w:val="21"/>
                    </w:rPr>
                  </w:pPr>
                  <w:r>
                    <w:rPr>
                      <w:rFonts w:hint="eastAsia"/>
                      <w:kern w:val="0"/>
                      <w:szCs w:val="21"/>
                    </w:rPr>
                    <w:t>110</w:t>
                  </w:r>
                </w:p>
              </w:tc>
              <w:tc>
                <w:tcPr>
                  <w:tcW w:w="770" w:type="pct"/>
                  <w:vAlign w:val="center"/>
                </w:tcPr>
                <w:p>
                  <w:pPr>
                    <w:adjustRightInd w:val="0"/>
                    <w:snapToGrid w:val="0"/>
                    <w:jc w:val="center"/>
                    <w:rPr>
                      <w:kern w:val="0"/>
                      <w:szCs w:val="21"/>
                    </w:rPr>
                  </w:pPr>
                  <w:r>
                    <w:rPr>
                      <w:kern w:val="0"/>
                      <w:szCs w:val="21"/>
                    </w:rPr>
                    <w:t>70</w:t>
                  </w:r>
                </w:p>
              </w:tc>
              <w:tc>
                <w:tcPr>
                  <w:tcW w:w="515" w:type="pct"/>
                  <w:vAlign w:val="center"/>
                </w:tcPr>
                <w:p>
                  <w:pPr>
                    <w:jc w:val="center"/>
                    <w:rPr>
                      <w:szCs w:val="21"/>
                    </w:rPr>
                  </w:pPr>
                  <w:r>
                    <w:rPr>
                      <w:rFonts w:hint="eastAsia"/>
                      <w:szCs w:val="21"/>
                    </w:rPr>
                    <w:t>157.14</w:t>
                  </w:r>
                </w:p>
              </w:tc>
              <w:tc>
                <w:tcPr>
                  <w:tcW w:w="469" w:type="pct"/>
                  <w:vAlign w:val="center"/>
                </w:tcPr>
                <w:p>
                  <w:pPr>
                    <w:spacing w:line="320" w:lineRule="exact"/>
                    <w:jc w:val="center"/>
                    <w:rPr>
                      <w:szCs w:val="21"/>
                    </w:rPr>
                  </w:pPr>
                  <w:r>
                    <w:rPr>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138" w:type="pct"/>
                  <w:vAlign w:val="center"/>
                </w:tcPr>
                <w:p>
                  <w:pPr>
                    <w:spacing w:line="320" w:lineRule="exact"/>
                    <w:jc w:val="center"/>
                    <w:rPr>
                      <w:szCs w:val="21"/>
                    </w:rPr>
                  </w:pPr>
                  <w:r>
                    <w:rPr>
                      <w:szCs w:val="21"/>
                    </w:rPr>
                    <w:t>细颗粒物（PM</w:t>
                  </w:r>
                  <w:r>
                    <w:rPr>
                      <w:szCs w:val="21"/>
                      <w:vertAlign w:val="subscript"/>
                    </w:rPr>
                    <w:t>2.5</w:t>
                  </w:r>
                  <w:r>
                    <w:rPr>
                      <w:szCs w:val="21"/>
                    </w:rPr>
                    <w:t>）</w:t>
                  </w:r>
                </w:p>
              </w:tc>
              <w:tc>
                <w:tcPr>
                  <w:tcW w:w="1337" w:type="pct"/>
                  <w:vAlign w:val="center"/>
                </w:tcPr>
                <w:p>
                  <w:pPr>
                    <w:spacing w:line="240" w:lineRule="exact"/>
                    <w:jc w:val="center"/>
                    <w:rPr>
                      <w:szCs w:val="21"/>
                    </w:rPr>
                  </w:pPr>
                  <w:r>
                    <w:rPr>
                      <w:szCs w:val="21"/>
                    </w:rPr>
                    <w:t>年平均质量浓度</w:t>
                  </w:r>
                </w:p>
              </w:tc>
              <w:tc>
                <w:tcPr>
                  <w:tcW w:w="771" w:type="pct"/>
                  <w:vAlign w:val="center"/>
                </w:tcPr>
                <w:p>
                  <w:pPr>
                    <w:adjustRightInd w:val="0"/>
                    <w:snapToGrid w:val="0"/>
                    <w:jc w:val="center"/>
                    <w:rPr>
                      <w:kern w:val="0"/>
                      <w:szCs w:val="21"/>
                    </w:rPr>
                  </w:pPr>
                  <w:r>
                    <w:rPr>
                      <w:rFonts w:hint="eastAsia"/>
                      <w:kern w:val="0"/>
                      <w:szCs w:val="21"/>
                    </w:rPr>
                    <w:t>62</w:t>
                  </w:r>
                </w:p>
              </w:tc>
              <w:tc>
                <w:tcPr>
                  <w:tcW w:w="770" w:type="pct"/>
                  <w:vAlign w:val="center"/>
                </w:tcPr>
                <w:p>
                  <w:pPr>
                    <w:adjustRightInd w:val="0"/>
                    <w:snapToGrid w:val="0"/>
                    <w:jc w:val="center"/>
                    <w:rPr>
                      <w:kern w:val="0"/>
                      <w:szCs w:val="21"/>
                    </w:rPr>
                  </w:pPr>
                  <w:r>
                    <w:rPr>
                      <w:kern w:val="0"/>
                      <w:szCs w:val="21"/>
                    </w:rPr>
                    <w:t>35</w:t>
                  </w:r>
                </w:p>
              </w:tc>
              <w:tc>
                <w:tcPr>
                  <w:tcW w:w="515" w:type="pct"/>
                  <w:vAlign w:val="center"/>
                </w:tcPr>
                <w:p>
                  <w:pPr>
                    <w:jc w:val="center"/>
                    <w:rPr>
                      <w:szCs w:val="21"/>
                    </w:rPr>
                  </w:pPr>
                  <w:r>
                    <w:rPr>
                      <w:rFonts w:hint="eastAsia"/>
                      <w:szCs w:val="21"/>
                    </w:rPr>
                    <w:t>177.14</w:t>
                  </w:r>
                </w:p>
              </w:tc>
              <w:tc>
                <w:tcPr>
                  <w:tcW w:w="469" w:type="pct"/>
                  <w:vAlign w:val="center"/>
                </w:tcPr>
                <w:p>
                  <w:pPr>
                    <w:spacing w:line="320" w:lineRule="exact"/>
                    <w:jc w:val="center"/>
                    <w:rPr>
                      <w:szCs w:val="21"/>
                    </w:rPr>
                  </w:pPr>
                  <w:r>
                    <w:rPr>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138" w:type="pct"/>
                  <w:vAlign w:val="center"/>
                </w:tcPr>
                <w:p>
                  <w:pPr>
                    <w:spacing w:line="320" w:lineRule="exact"/>
                    <w:jc w:val="center"/>
                    <w:rPr>
                      <w:szCs w:val="21"/>
                    </w:rPr>
                  </w:pPr>
                  <w:r>
                    <w:rPr>
                      <w:szCs w:val="21"/>
                    </w:rPr>
                    <w:t>二氧化硫（SO</w:t>
                  </w:r>
                  <w:r>
                    <w:rPr>
                      <w:szCs w:val="21"/>
                      <w:vertAlign w:val="subscript"/>
                    </w:rPr>
                    <w:t>2</w:t>
                  </w:r>
                  <w:r>
                    <w:rPr>
                      <w:szCs w:val="21"/>
                    </w:rPr>
                    <w:t>）</w:t>
                  </w:r>
                </w:p>
              </w:tc>
              <w:tc>
                <w:tcPr>
                  <w:tcW w:w="1337" w:type="pct"/>
                  <w:vAlign w:val="center"/>
                </w:tcPr>
                <w:p>
                  <w:pPr>
                    <w:spacing w:line="240" w:lineRule="exact"/>
                    <w:jc w:val="center"/>
                    <w:rPr>
                      <w:szCs w:val="21"/>
                    </w:rPr>
                  </w:pPr>
                  <w:r>
                    <w:rPr>
                      <w:szCs w:val="21"/>
                    </w:rPr>
                    <w:t>年平均质量浓度</w:t>
                  </w:r>
                </w:p>
              </w:tc>
              <w:tc>
                <w:tcPr>
                  <w:tcW w:w="771" w:type="pct"/>
                  <w:vAlign w:val="center"/>
                </w:tcPr>
                <w:p>
                  <w:pPr>
                    <w:adjustRightInd w:val="0"/>
                    <w:snapToGrid w:val="0"/>
                    <w:jc w:val="center"/>
                    <w:rPr>
                      <w:kern w:val="0"/>
                      <w:szCs w:val="21"/>
                    </w:rPr>
                  </w:pPr>
                  <w:r>
                    <w:rPr>
                      <w:rFonts w:hint="eastAsia"/>
                      <w:kern w:val="0"/>
                      <w:szCs w:val="21"/>
                    </w:rPr>
                    <w:t>10</w:t>
                  </w:r>
                </w:p>
              </w:tc>
              <w:tc>
                <w:tcPr>
                  <w:tcW w:w="770" w:type="pct"/>
                  <w:vAlign w:val="center"/>
                </w:tcPr>
                <w:p>
                  <w:pPr>
                    <w:adjustRightInd w:val="0"/>
                    <w:snapToGrid w:val="0"/>
                    <w:jc w:val="center"/>
                    <w:rPr>
                      <w:kern w:val="0"/>
                      <w:szCs w:val="21"/>
                    </w:rPr>
                  </w:pPr>
                  <w:r>
                    <w:rPr>
                      <w:kern w:val="0"/>
                      <w:szCs w:val="21"/>
                    </w:rPr>
                    <w:t>60</w:t>
                  </w:r>
                </w:p>
              </w:tc>
              <w:tc>
                <w:tcPr>
                  <w:tcW w:w="515" w:type="pct"/>
                  <w:vAlign w:val="center"/>
                </w:tcPr>
                <w:p>
                  <w:pPr>
                    <w:jc w:val="center"/>
                    <w:rPr>
                      <w:szCs w:val="21"/>
                    </w:rPr>
                  </w:pPr>
                  <w:r>
                    <w:rPr>
                      <w:rFonts w:hint="eastAsia"/>
                      <w:szCs w:val="21"/>
                    </w:rPr>
                    <w:t>16.67</w:t>
                  </w:r>
                </w:p>
              </w:tc>
              <w:tc>
                <w:tcPr>
                  <w:tcW w:w="469" w:type="pct"/>
                  <w:vAlign w:val="center"/>
                </w:tcPr>
                <w:p>
                  <w:pPr>
                    <w:spacing w:line="320" w:lineRule="exact"/>
                    <w:jc w:val="center"/>
                    <w:rPr>
                      <w:szCs w:val="21"/>
                    </w:rPr>
                  </w:pPr>
                  <w:r>
                    <w:rPr>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138" w:type="pct"/>
                  <w:vAlign w:val="center"/>
                </w:tcPr>
                <w:p>
                  <w:pPr>
                    <w:spacing w:line="320" w:lineRule="exact"/>
                    <w:jc w:val="center"/>
                    <w:rPr>
                      <w:szCs w:val="21"/>
                    </w:rPr>
                  </w:pPr>
                  <w:r>
                    <w:rPr>
                      <w:szCs w:val="21"/>
                    </w:rPr>
                    <w:t>二氧化氮（NO</w:t>
                  </w:r>
                  <w:r>
                    <w:rPr>
                      <w:szCs w:val="21"/>
                      <w:vertAlign w:val="subscript"/>
                    </w:rPr>
                    <w:t>2</w:t>
                  </w:r>
                  <w:r>
                    <w:rPr>
                      <w:szCs w:val="21"/>
                    </w:rPr>
                    <w:t>）</w:t>
                  </w:r>
                </w:p>
              </w:tc>
              <w:tc>
                <w:tcPr>
                  <w:tcW w:w="1337" w:type="pct"/>
                  <w:vAlign w:val="center"/>
                </w:tcPr>
                <w:p>
                  <w:pPr>
                    <w:spacing w:line="240" w:lineRule="exact"/>
                    <w:jc w:val="center"/>
                    <w:rPr>
                      <w:szCs w:val="21"/>
                    </w:rPr>
                  </w:pPr>
                  <w:r>
                    <w:rPr>
                      <w:szCs w:val="21"/>
                    </w:rPr>
                    <w:t>年平均质量浓度</w:t>
                  </w:r>
                </w:p>
              </w:tc>
              <w:tc>
                <w:tcPr>
                  <w:tcW w:w="771" w:type="pct"/>
                  <w:vAlign w:val="center"/>
                </w:tcPr>
                <w:p>
                  <w:pPr>
                    <w:adjustRightInd w:val="0"/>
                    <w:snapToGrid w:val="0"/>
                    <w:jc w:val="center"/>
                    <w:rPr>
                      <w:kern w:val="0"/>
                      <w:szCs w:val="21"/>
                    </w:rPr>
                  </w:pPr>
                  <w:r>
                    <w:rPr>
                      <w:rFonts w:hint="eastAsia"/>
                      <w:kern w:val="0"/>
                      <w:szCs w:val="21"/>
                    </w:rPr>
                    <w:t>52</w:t>
                  </w:r>
                </w:p>
              </w:tc>
              <w:tc>
                <w:tcPr>
                  <w:tcW w:w="770" w:type="pct"/>
                  <w:vAlign w:val="center"/>
                </w:tcPr>
                <w:p>
                  <w:pPr>
                    <w:adjustRightInd w:val="0"/>
                    <w:snapToGrid w:val="0"/>
                    <w:jc w:val="center"/>
                    <w:rPr>
                      <w:kern w:val="0"/>
                      <w:szCs w:val="21"/>
                    </w:rPr>
                  </w:pPr>
                  <w:r>
                    <w:rPr>
                      <w:kern w:val="0"/>
                      <w:szCs w:val="21"/>
                    </w:rPr>
                    <w:t>40</w:t>
                  </w:r>
                </w:p>
              </w:tc>
              <w:tc>
                <w:tcPr>
                  <w:tcW w:w="515" w:type="pct"/>
                  <w:vAlign w:val="center"/>
                </w:tcPr>
                <w:p>
                  <w:pPr>
                    <w:jc w:val="center"/>
                    <w:rPr>
                      <w:szCs w:val="21"/>
                    </w:rPr>
                  </w:pPr>
                  <w:r>
                    <w:rPr>
                      <w:rFonts w:hint="eastAsia"/>
                      <w:szCs w:val="21"/>
                    </w:rPr>
                    <w:t>130.0</w:t>
                  </w:r>
                </w:p>
              </w:tc>
              <w:tc>
                <w:tcPr>
                  <w:tcW w:w="469" w:type="pct"/>
                  <w:vAlign w:val="center"/>
                </w:tcPr>
                <w:p>
                  <w:pPr>
                    <w:spacing w:line="320" w:lineRule="exact"/>
                    <w:jc w:val="center"/>
                    <w:rPr>
                      <w:szCs w:val="21"/>
                    </w:rPr>
                  </w:pPr>
                  <w:r>
                    <w:rPr>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138" w:type="pct"/>
                  <w:vAlign w:val="center"/>
                </w:tcPr>
                <w:p>
                  <w:pPr>
                    <w:spacing w:line="320" w:lineRule="exact"/>
                    <w:jc w:val="center"/>
                    <w:rPr>
                      <w:szCs w:val="21"/>
                    </w:rPr>
                  </w:pPr>
                  <w:r>
                    <w:rPr>
                      <w:szCs w:val="21"/>
                    </w:rPr>
                    <w:t>一氧化碳（CO）</w:t>
                  </w:r>
                </w:p>
              </w:tc>
              <w:tc>
                <w:tcPr>
                  <w:tcW w:w="1337" w:type="pct"/>
                  <w:vAlign w:val="center"/>
                </w:tcPr>
                <w:p>
                  <w:pPr>
                    <w:spacing w:line="240" w:lineRule="exact"/>
                    <w:jc w:val="center"/>
                    <w:rPr>
                      <w:szCs w:val="21"/>
                    </w:rPr>
                  </w:pPr>
                  <w:r>
                    <w:rPr>
                      <w:szCs w:val="21"/>
                    </w:rPr>
                    <w:t>24小时平均质量浓度</w:t>
                  </w:r>
                </w:p>
              </w:tc>
              <w:tc>
                <w:tcPr>
                  <w:tcW w:w="771" w:type="pct"/>
                  <w:vAlign w:val="center"/>
                </w:tcPr>
                <w:p>
                  <w:pPr>
                    <w:adjustRightInd w:val="0"/>
                    <w:snapToGrid w:val="0"/>
                    <w:jc w:val="center"/>
                    <w:rPr>
                      <w:kern w:val="0"/>
                      <w:szCs w:val="21"/>
                    </w:rPr>
                  </w:pPr>
                  <w:r>
                    <w:rPr>
                      <w:rFonts w:hint="eastAsia"/>
                      <w:kern w:val="0"/>
                      <w:szCs w:val="21"/>
                    </w:rPr>
                    <w:t>2100</w:t>
                  </w:r>
                </w:p>
              </w:tc>
              <w:tc>
                <w:tcPr>
                  <w:tcW w:w="770" w:type="pct"/>
                  <w:vAlign w:val="center"/>
                </w:tcPr>
                <w:p>
                  <w:pPr>
                    <w:adjustRightInd w:val="0"/>
                    <w:snapToGrid w:val="0"/>
                    <w:jc w:val="center"/>
                    <w:rPr>
                      <w:kern w:val="0"/>
                      <w:szCs w:val="21"/>
                    </w:rPr>
                  </w:pPr>
                  <w:r>
                    <w:rPr>
                      <w:kern w:val="0"/>
                      <w:szCs w:val="21"/>
                    </w:rPr>
                    <w:t>4000</w:t>
                  </w:r>
                </w:p>
              </w:tc>
              <w:tc>
                <w:tcPr>
                  <w:tcW w:w="515" w:type="pct"/>
                  <w:vAlign w:val="center"/>
                </w:tcPr>
                <w:p>
                  <w:pPr>
                    <w:jc w:val="center"/>
                    <w:rPr>
                      <w:szCs w:val="21"/>
                    </w:rPr>
                  </w:pPr>
                  <w:r>
                    <w:rPr>
                      <w:rFonts w:hint="eastAsia"/>
                      <w:szCs w:val="21"/>
                    </w:rPr>
                    <w:t>52.5</w:t>
                  </w:r>
                </w:p>
              </w:tc>
              <w:tc>
                <w:tcPr>
                  <w:tcW w:w="469" w:type="pct"/>
                  <w:vAlign w:val="center"/>
                </w:tcPr>
                <w:p>
                  <w:pPr>
                    <w:spacing w:line="320" w:lineRule="exact"/>
                    <w:jc w:val="center"/>
                    <w:rPr>
                      <w:szCs w:val="21"/>
                    </w:rPr>
                  </w:pPr>
                  <w:r>
                    <w:rPr>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138" w:type="pct"/>
                  <w:vAlign w:val="center"/>
                </w:tcPr>
                <w:p>
                  <w:pPr>
                    <w:spacing w:line="320" w:lineRule="exact"/>
                    <w:jc w:val="center"/>
                    <w:rPr>
                      <w:szCs w:val="21"/>
                    </w:rPr>
                  </w:pPr>
                  <w:r>
                    <w:rPr>
                      <w:szCs w:val="21"/>
                    </w:rPr>
                    <w:t>臭氧（O</w:t>
                  </w:r>
                  <w:r>
                    <w:rPr>
                      <w:szCs w:val="21"/>
                      <w:vertAlign w:val="subscript"/>
                    </w:rPr>
                    <w:t>3</w:t>
                  </w:r>
                  <w:r>
                    <w:rPr>
                      <w:szCs w:val="21"/>
                    </w:rPr>
                    <w:t>）</w:t>
                  </w:r>
                </w:p>
              </w:tc>
              <w:tc>
                <w:tcPr>
                  <w:tcW w:w="1337" w:type="pct"/>
                  <w:vAlign w:val="center"/>
                </w:tcPr>
                <w:p>
                  <w:pPr>
                    <w:spacing w:line="240" w:lineRule="exact"/>
                    <w:jc w:val="center"/>
                    <w:rPr>
                      <w:szCs w:val="21"/>
                    </w:rPr>
                  </w:pPr>
                  <w:r>
                    <w:rPr>
                      <w:szCs w:val="21"/>
                    </w:rPr>
                    <w:t>8小时平均质量浓度</w:t>
                  </w:r>
                </w:p>
              </w:tc>
              <w:tc>
                <w:tcPr>
                  <w:tcW w:w="771" w:type="pct"/>
                  <w:vAlign w:val="center"/>
                </w:tcPr>
                <w:p>
                  <w:pPr>
                    <w:adjustRightInd w:val="0"/>
                    <w:snapToGrid w:val="0"/>
                    <w:jc w:val="center"/>
                    <w:rPr>
                      <w:kern w:val="0"/>
                      <w:szCs w:val="21"/>
                    </w:rPr>
                  </w:pPr>
                  <w:r>
                    <w:rPr>
                      <w:rFonts w:hint="eastAsia"/>
                      <w:kern w:val="0"/>
                      <w:szCs w:val="21"/>
                    </w:rPr>
                    <w:t>177</w:t>
                  </w:r>
                </w:p>
              </w:tc>
              <w:tc>
                <w:tcPr>
                  <w:tcW w:w="770" w:type="pct"/>
                  <w:vAlign w:val="center"/>
                </w:tcPr>
                <w:p>
                  <w:pPr>
                    <w:adjustRightInd w:val="0"/>
                    <w:snapToGrid w:val="0"/>
                    <w:jc w:val="center"/>
                    <w:rPr>
                      <w:kern w:val="0"/>
                      <w:szCs w:val="21"/>
                    </w:rPr>
                  </w:pPr>
                  <w:r>
                    <w:rPr>
                      <w:kern w:val="0"/>
                      <w:szCs w:val="21"/>
                    </w:rPr>
                    <w:t>160</w:t>
                  </w:r>
                </w:p>
              </w:tc>
              <w:tc>
                <w:tcPr>
                  <w:tcW w:w="515" w:type="pct"/>
                  <w:vAlign w:val="center"/>
                </w:tcPr>
                <w:p>
                  <w:pPr>
                    <w:jc w:val="center"/>
                    <w:rPr>
                      <w:szCs w:val="21"/>
                    </w:rPr>
                  </w:pPr>
                  <w:r>
                    <w:rPr>
                      <w:rFonts w:hint="eastAsia"/>
                      <w:szCs w:val="21"/>
                    </w:rPr>
                    <w:t>110.63</w:t>
                  </w:r>
                </w:p>
              </w:tc>
              <w:tc>
                <w:tcPr>
                  <w:tcW w:w="469" w:type="pct"/>
                  <w:vAlign w:val="center"/>
                </w:tcPr>
                <w:p>
                  <w:pPr>
                    <w:spacing w:line="320" w:lineRule="exact"/>
                    <w:jc w:val="center"/>
                    <w:rPr>
                      <w:szCs w:val="21"/>
                    </w:rPr>
                  </w:pPr>
                  <w:r>
                    <w:rPr>
                      <w:szCs w:val="21"/>
                    </w:rPr>
                    <w:t>超标</w:t>
                  </w:r>
                </w:p>
              </w:tc>
            </w:tr>
          </w:tbl>
          <w:p>
            <w:pPr>
              <w:spacing w:line="440" w:lineRule="exact"/>
              <w:ind w:firstLine="480" w:firstLineChars="200"/>
              <w:rPr>
                <w:sz w:val="24"/>
                <w:szCs w:val="24"/>
              </w:rPr>
            </w:pPr>
            <w:r>
              <w:rPr>
                <w:rFonts w:hint="eastAsia"/>
                <w:sz w:val="24"/>
                <w:szCs w:val="24"/>
              </w:rPr>
              <w:t>根据上表，长安区NO</w:t>
            </w:r>
            <w:r>
              <w:rPr>
                <w:rFonts w:hint="eastAsia"/>
                <w:sz w:val="24"/>
                <w:szCs w:val="24"/>
                <w:vertAlign w:val="subscript"/>
              </w:rPr>
              <w:t>2</w:t>
            </w:r>
            <w:r>
              <w:rPr>
                <w:rFonts w:hint="eastAsia"/>
                <w:sz w:val="24"/>
                <w:szCs w:val="24"/>
              </w:rPr>
              <w:t>、PM</w:t>
            </w:r>
            <w:r>
              <w:rPr>
                <w:rFonts w:hint="eastAsia"/>
                <w:sz w:val="24"/>
                <w:szCs w:val="24"/>
                <w:vertAlign w:val="subscript"/>
              </w:rPr>
              <w:t>10</w:t>
            </w:r>
            <w:r>
              <w:rPr>
                <w:rFonts w:hint="eastAsia"/>
                <w:sz w:val="24"/>
                <w:szCs w:val="24"/>
              </w:rPr>
              <w:t>、PM</w:t>
            </w:r>
            <w:r>
              <w:rPr>
                <w:rFonts w:hint="eastAsia"/>
                <w:sz w:val="24"/>
                <w:szCs w:val="24"/>
                <w:vertAlign w:val="subscript"/>
              </w:rPr>
              <w:t>2.5</w:t>
            </w:r>
            <w:r>
              <w:rPr>
                <w:rFonts w:hint="eastAsia"/>
                <w:sz w:val="24"/>
                <w:szCs w:val="24"/>
              </w:rPr>
              <w:t>年均浓度及O</w:t>
            </w:r>
            <w:r>
              <w:rPr>
                <w:rFonts w:hint="eastAsia"/>
                <w:sz w:val="24"/>
                <w:szCs w:val="24"/>
                <w:vertAlign w:val="subscript"/>
              </w:rPr>
              <w:t>3</w:t>
            </w:r>
            <w:r>
              <w:rPr>
                <w:rFonts w:hint="eastAsia"/>
                <w:sz w:val="24"/>
                <w:szCs w:val="24"/>
              </w:rPr>
              <w:t>年平均浓度均值均超标</w:t>
            </w:r>
            <w:r>
              <w:rPr>
                <w:sz w:val="24"/>
                <w:szCs w:val="24"/>
              </w:rPr>
              <w:t>。其余</w:t>
            </w:r>
            <w:r>
              <w:rPr>
                <w:rFonts w:hint="eastAsia"/>
                <w:sz w:val="24"/>
                <w:szCs w:val="24"/>
              </w:rPr>
              <w:t>SO</w:t>
            </w:r>
            <w:r>
              <w:rPr>
                <w:rFonts w:hint="eastAsia"/>
                <w:sz w:val="24"/>
                <w:szCs w:val="24"/>
                <w:vertAlign w:val="subscript"/>
              </w:rPr>
              <w:t>2</w:t>
            </w:r>
            <w:r>
              <w:rPr>
                <w:rFonts w:hint="eastAsia"/>
                <w:sz w:val="24"/>
                <w:szCs w:val="24"/>
              </w:rPr>
              <w:t>及</w:t>
            </w:r>
            <w:r>
              <w:t xml:space="preserve"> </w:t>
            </w:r>
            <w:r>
              <w:rPr>
                <w:sz w:val="24"/>
                <w:szCs w:val="24"/>
              </w:rPr>
              <w:t>CO</w:t>
            </w:r>
            <w:r>
              <w:rPr>
                <w:rFonts w:hint="eastAsia"/>
                <w:sz w:val="24"/>
                <w:szCs w:val="24"/>
              </w:rPr>
              <w:t>及</w:t>
            </w:r>
            <w:r>
              <w:rPr>
                <w:sz w:val="24"/>
                <w:szCs w:val="24"/>
              </w:rPr>
              <w:t>指标满足《环境空气质量标准》（GB3095-2012）（修改单）中的二级标准。因此</w:t>
            </w:r>
            <w:r>
              <w:rPr>
                <w:rFonts w:hint="eastAsia"/>
                <w:sz w:val="24"/>
                <w:szCs w:val="24"/>
              </w:rPr>
              <w:t>长安区</w:t>
            </w:r>
            <w:r>
              <w:rPr>
                <w:sz w:val="24"/>
                <w:szCs w:val="24"/>
              </w:rPr>
              <w:t>区域环境空气质量现状为不达标区。</w:t>
            </w:r>
          </w:p>
          <w:p>
            <w:pPr>
              <w:tabs>
                <w:tab w:val="left" w:pos="3555"/>
              </w:tabs>
              <w:spacing w:line="360" w:lineRule="auto"/>
              <w:ind w:firstLine="480" w:firstLineChars="200"/>
              <w:rPr>
                <w:sz w:val="24"/>
              </w:rPr>
            </w:pPr>
            <w:r>
              <w:rPr>
                <w:sz w:val="24"/>
              </w:rPr>
              <w:t>（2）其他污染物空气质量现状评价</w:t>
            </w:r>
          </w:p>
          <w:p>
            <w:pPr>
              <w:tabs>
                <w:tab w:val="left" w:pos="3555"/>
              </w:tabs>
              <w:spacing w:line="360" w:lineRule="auto"/>
              <w:ind w:firstLine="480" w:firstLineChars="200"/>
              <w:rPr>
                <w:kern w:val="0"/>
              </w:rPr>
            </w:pPr>
            <w:r>
              <w:rPr>
                <w:rFonts w:hint="eastAsia"/>
                <w:sz w:val="24"/>
              </w:rPr>
              <w:t>项目特征污染物氟化物</w:t>
            </w:r>
            <w:r>
              <w:rPr>
                <w:sz w:val="24"/>
              </w:rPr>
              <w:t>质量现状</w:t>
            </w:r>
            <w:r>
              <w:rPr>
                <w:rFonts w:hint="eastAsia"/>
                <w:sz w:val="24"/>
              </w:rPr>
              <w:t>监测</w:t>
            </w:r>
            <w:r>
              <w:rPr>
                <w:sz w:val="24"/>
              </w:rPr>
              <w:t>由</w:t>
            </w:r>
            <w:r>
              <w:rPr>
                <w:rFonts w:hint="eastAsia"/>
                <w:sz w:val="24"/>
              </w:rPr>
              <w:t>陕西太阳景检测有限公司进行实测，报告编号</w:t>
            </w:r>
            <w:r>
              <w:rPr>
                <w:rFonts w:hAnsi="宋体"/>
                <w:sz w:val="24"/>
              </w:rPr>
              <w:t>为</w:t>
            </w:r>
            <w:r>
              <w:rPr>
                <w:rFonts w:hint="eastAsia" w:hAnsi="宋体"/>
                <w:sz w:val="24"/>
              </w:rPr>
              <w:t>HJ18040032</w:t>
            </w:r>
            <w:r>
              <w:rPr>
                <w:rFonts w:hAnsi="宋体"/>
                <w:sz w:val="24"/>
              </w:rPr>
              <w:t>号</w:t>
            </w:r>
            <w:r>
              <w:rPr>
                <w:rFonts w:hint="eastAsia" w:hAnsi="宋体"/>
                <w:sz w:val="24"/>
              </w:rPr>
              <w:t>，</w:t>
            </w:r>
            <w:r>
              <w:rPr>
                <w:rFonts w:hint="eastAsia"/>
                <w:sz w:val="24"/>
              </w:rPr>
              <w:t>监测时间为</w:t>
            </w:r>
            <w:r>
              <w:rPr>
                <w:sz w:val="24"/>
              </w:rPr>
              <w:t>2018</w:t>
            </w:r>
            <w:r>
              <w:rPr>
                <w:rFonts w:hint="eastAsia"/>
                <w:sz w:val="24"/>
              </w:rPr>
              <w:t>.4</w:t>
            </w:r>
            <w:r>
              <w:rPr>
                <w:rFonts w:hint="eastAsia"/>
                <w:kern w:val="0"/>
                <w:sz w:val="24"/>
              </w:rPr>
              <w:t>.17～</w:t>
            </w:r>
            <w:r>
              <w:rPr>
                <w:sz w:val="24"/>
              </w:rPr>
              <w:t>20</w:t>
            </w:r>
            <w:r>
              <w:rPr>
                <w:kern w:val="0"/>
                <w:sz w:val="24"/>
              </w:rPr>
              <w:t>18</w:t>
            </w:r>
            <w:r>
              <w:rPr>
                <w:rFonts w:hint="eastAsia"/>
                <w:kern w:val="0"/>
                <w:sz w:val="24"/>
              </w:rPr>
              <w:t>.4.23。</w:t>
            </w:r>
            <w:r>
              <w:rPr>
                <w:kern w:val="0"/>
                <w:sz w:val="24"/>
              </w:rPr>
              <w:t>在项目所在地设置1个监测点位。</w:t>
            </w:r>
            <w:r>
              <w:rPr>
                <w:rFonts w:hint="eastAsia"/>
                <w:kern w:val="0"/>
                <w:sz w:val="24"/>
              </w:rPr>
              <w:t>监测结果见下表：</w:t>
            </w:r>
          </w:p>
          <w:p>
            <w:pPr>
              <w:tabs>
                <w:tab w:val="left" w:pos="3555"/>
              </w:tabs>
              <w:spacing w:line="360" w:lineRule="auto"/>
              <w:ind w:firstLine="422" w:firstLineChars="200"/>
              <w:jc w:val="center"/>
              <w:rPr>
                <w:rFonts w:hAnsi="宋体"/>
                <w:sz w:val="24"/>
              </w:rPr>
            </w:pPr>
            <w:r>
              <w:rPr>
                <w:rFonts w:hAnsi="宋体"/>
                <w:b/>
              </w:rPr>
              <w:t>表</w:t>
            </w:r>
            <w:r>
              <w:rPr>
                <w:rFonts w:hint="eastAsia" w:hAnsi="宋体"/>
                <w:b/>
              </w:rPr>
              <w:t>16</w:t>
            </w:r>
            <w:r>
              <w:rPr>
                <w:b/>
              </w:rPr>
              <w:t xml:space="preserve">    </w:t>
            </w:r>
            <w:r>
              <w:rPr>
                <w:rFonts w:hint="eastAsia"/>
                <w:b/>
              </w:rPr>
              <w:t>项目所在地</w:t>
            </w:r>
            <w:r>
              <w:rPr>
                <w:rFonts w:hint="eastAsia" w:hAnsi="宋体"/>
                <w:b/>
              </w:rPr>
              <w:t>特征污染物氟化物</w:t>
            </w:r>
            <w:r>
              <w:rPr>
                <w:rFonts w:hAnsi="宋体"/>
                <w:b/>
              </w:rPr>
              <w:t>监测结果统计表</w:t>
            </w:r>
            <w:r>
              <w:rPr>
                <w:b/>
              </w:rPr>
              <w:t xml:space="preserve">  </w:t>
            </w:r>
            <w:r>
              <w:rPr>
                <w:rFonts w:hint="eastAsia"/>
                <w:b/>
              </w:rPr>
              <w:t xml:space="preserve"> </w:t>
            </w:r>
            <w:r>
              <w:rPr>
                <w:b/>
              </w:rPr>
              <w:t xml:space="preserve"> </w:t>
            </w:r>
            <w:r>
              <w:rPr>
                <w:rFonts w:hAnsi="宋体"/>
                <w:b/>
              </w:rPr>
              <w:t>单位：</w:t>
            </w:r>
            <w:r>
              <w:rPr>
                <w:b/>
              </w:rPr>
              <w:t>μg/m</w:t>
            </w:r>
            <w:r>
              <w:rPr>
                <w:b/>
                <w:vertAlign w:val="superscript"/>
              </w:rPr>
              <w:t>3</w:t>
            </w:r>
          </w:p>
          <w:tbl>
            <w:tblPr>
              <w:tblStyle w:val="24"/>
              <w:tblW w:w="882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2622"/>
              <w:gridCol w:w="2362"/>
              <w:gridCol w:w="23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25" w:type="dxa"/>
                  <w:vAlign w:val="center"/>
                </w:tcPr>
                <w:p>
                  <w:pPr>
                    <w:autoSpaceDE w:val="0"/>
                    <w:autoSpaceDN w:val="0"/>
                    <w:adjustRightInd w:val="0"/>
                    <w:snapToGrid w:val="0"/>
                    <w:jc w:val="center"/>
                    <w:rPr>
                      <w:rFonts w:hAnsi="宋体"/>
                      <w:kern w:val="0"/>
                      <w:szCs w:val="21"/>
                    </w:rPr>
                  </w:pPr>
                  <w:r>
                    <w:rPr>
                      <w:rFonts w:hAnsi="宋体"/>
                      <w:kern w:val="0"/>
                      <w:szCs w:val="21"/>
                    </w:rPr>
                    <w:t>监测点位</w:t>
                  </w:r>
                </w:p>
              </w:tc>
              <w:tc>
                <w:tcPr>
                  <w:tcW w:w="2622" w:type="dxa"/>
                  <w:vAlign w:val="center"/>
                </w:tcPr>
                <w:p>
                  <w:pPr>
                    <w:autoSpaceDE w:val="0"/>
                    <w:autoSpaceDN w:val="0"/>
                    <w:adjustRightInd w:val="0"/>
                    <w:snapToGrid w:val="0"/>
                    <w:jc w:val="center"/>
                    <w:rPr>
                      <w:kern w:val="0"/>
                      <w:szCs w:val="21"/>
                    </w:rPr>
                  </w:pPr>
                  <w:r>
                    <w:rPr>
                      <w:rFonts w:hAnsi="宋体"/>
                      <w:kern w:val="0"/>
                      <w:szCs w:val="21"/>
                    </w:rPr>
                    <w:t>监测日期</w:t>
                  </w:r>
                </w:p>
              </w:tc>
              <w:tc>
                <w:tcPr>
                  <w:tcW w:w="2362" w:type="dxa"/>
                  <w:vAlign w:val="center"/>
                </w:tcPr>
                <w:p>
                  <w:pPr>
                    <w:autoSpaceDE w:val="0"/>
                    <w:autoSpaceDN w:val="0"/>
                    <w:adjustRightInd w:val="0"/>
                    <w:snapToGrid w:val="0"/>
                    <w:jc w:val="center"/>
                    <w:rPr>
                      <w:kern w:val="0"/>
                      <w:szCs w:val="21"/>
                    </w:rPr>
                  </w:pPr>
                  <w:r>
                    <w:rPr>
                      <w:rFonts w:hint="eastAsia"/>
                      <w:kern w:val="0"/>
                      <w:szCs w:val="21"/>
                    </w:rPr>
                    <w:t>1小时平均值</w:t>
                  </w:r>
                </w:p>
              </w:tc>
              <w:tc>
                <w:tcPr>
                  <w:tcW w:w="2315" w:type="dxa"/>
                  <w:vAlign w:val="center"/>
                </w:tcPr>
                <w:p>
                  <w:pPr>
                    <w:autoSpaceDE w:val="0"/>
                    <w:autoSpaceDN w:val="0"/>
                    <w:adjustRightInd w:val="0"/>
                    <w:snapToGrid w:val="0"/>
                    <w:jc w:val="center"/>
                    <w:rPr>
                      <w:szCs w:val="21"/>
                    </w:rPr>
                  </w:pPr>
                  <w:r>
                    <w:rPr>
                      <w:rFonts w:hint="eastAsia"/>
                      <w:szCs w:val="21"/>
                    </w:rP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25" w:type="dxa"/>
                  <w:vMerge w:val="restart"/>
                  <w:vAlign w:val="center"/>
                </w:tcPr>
                <w:p>
                  <w:pPr>
                    <w:autoSpaceDE w:val="0"/>
                    <w:autoSpaceDN w:val="0"/>
                    <w:adjustRightInd w:val="0"/>
                    <w:snapToGrid w:val="0"/>
                    <w:jc w:val="center"/>
                    <w:rPr>
                      <w:szCs w:val="21"/>
                    </w:rPr>
                  </w:pPr>
                  <w:r>
                    <w:rPr>
                      <w:rFonts w:hint="eastAsia"/>
                      <w:szCs w:val="21"/>
                    </w:rPr>
                    <w:t>项目所在地</w:t>
                  </w:r>
                </w:p>
              </w:tc>
              <w:tc>
                <w:tcPr>
                  <w:tcW w:w="2622" w:type="dxa"/>
                  <w:vAlign w:val="center"/>
                </w:tcPr>
                <w:p>
                  <w:pPr>
                    <w:adjustRightInd w:val="0"/>
                    <w:snapToGrid w:val="0"/>
                    <w:jc w:val="center"/>
                    <w:rPr>
                      <w:szCs w:val="21"/>
                    </w:rPr>
                  </w:pPr>
                  <w:r>
                    <w:rPr>
                      <w:rFonts w:hint="eastAsia"/>
                      <w:szCs w:val="21"/>
                    </w:rPr>
                    <w:t>4月17日</w:t>
                  </w:r>
                </w:p>
              </w:tc>
              <w:tc>
                <w:tcPr>
                  <w:tcW w:w="2362" w:type="dxa"/>
                  <w:vAlign w:val="center"/>
                </w:tcPr>
                <w:p>
                  <w:pPr>
                    <w:adjustRightInd w:val="0"/>
                    <w:snapToGrid w:val="0"/>
                    <w:jc w:val="center"/>
                    <w:rPr>
                      <w:szCs w:val="21"/>
                    </w:rPr>
                  </w:pPr>
                  <w:r>
                    <w:rPr>
                      <w:rFonts w:hint="eastAsia"/>
                      <w:szCs w:val="21"/>
                    </w:rPr>
                    <w:t>2.14</w:t>
                  </w:r>
                </w:p>
              </w:tc>
              <w:tc>
                <w:tcPr>
                  <w:tcW w:w="2315" w:type="dxa"/>
                  <w:vAlign w:val="center"/>
                </w:tcPr>
                <w:p>
                  <w:pPr>
                    <w:adjustRightInd w:val="0"/>
                    <w:snapToGrid w:val="0"/>
                    <w:jc w:val="center"/>
                    <w:rPr>
                      <w:szCs w:val="21"/>
                    </w:rPr>
                  </w:pPr>
                  <w:r>
                    <w:rPr>
                      <w:rFonts w:hint="eastAsia"/>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25" w:type="dxa"/>
                  <w:vMerge w:val="continue"/>
                  <w:vAlign w:val="center"/>
                </w:tcPr>
                <w:p>
                  <w:pPr>
                    <w:autoSpaceDE w:val="0"/>
                    <w:autoSpaceDN w:val="0"/>
                    <w:adjustRightInd w:val="0"/>
                    <w:snapToGrid w:val="0"/>
                    <w:jc w:val="center"/>
                    <w:rPr>
                      <w:kern w:val="0"/>
                      <w:szCs w:val="21"/>
                    </w:rPr>
                  </w:pPr>
                </w:p>
              </w:tc>
              <w:tc>
                <w:tcPr>
                  <w:tcW w:w="2622" w:type="dxa"/>
                </w:tcPr>
                <w:p>
                  <w:pPr>
                    <w:jc w:val="center"/>
                  </w:pPr>
                  <w:r>
                    <w:rPr>
                      <w:rFonts w:hint="eastAsia"/>
                      <w:szCs w:val="21"/>
                    </w:rPr>
                    <w:t>4月18日</w:t>
                  </w:r>
                </w:p>
              </w:tc>
              <w:tc>
                <w:tcPr>
                  <w:tcW w:w="2362" w:type="dxa"/>
                </w:tcPr>
                <w:p>
                  <w:pPr>
                    <w:jc w:val="center"/>
                  </w:pPr>
                  <w:r>
                    <w:rPr>
                      <w:rFonts w:hint="eastAsia"/>
                    </w:rPr>
                    <w:t>1.58</w:t>
                  </w:r>
                </w:p>
              </w:tc>
              <w:tc>
                <w:tcPr>
                  <w:tcW w:w="2315" w:type="dxa"/>
                  <w:vAlign w:val="center"/>
                </w:tcPr>
                <w:p>
                  <w:pPr>
                    <w:adjustRightInd w:val="0"/>
                    <w:snapToGrid w:val="0"/>
                    <w:jc w:val="center"/>
                    <w:rPr>
                      <w:szCs w:val="21"/>
                    </w:rPr>
                  </w:pPr>
                  <w:r>
                    <w:rPr>
                      <w:rFonts w:hint="eastAsia"/>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525" w:type="dxa"/>
                  <w:vMerge w:val="continue"/>
                  <w:vAlign w:val="center"/>
                </w:tcPr>
                <w:p>
                  <w:pPr>
                    <w:autoSpaceDE w:val="0"/>
                    <w:autoSpaceDN w:val="0"/>
                    <w:adjustRightInd w:val="0"/>
                    <w:snapToGrid w:val="0"/>
                    <w:jc w:val="center"/>
                    <w:rPr>
                      <w:kern w:val="0"/>
                      <w:szCs w:val="21"/>
                    </w:rPr>
                  </w:pPr>
                </w:p>
              </w:tc>
              <w:tc>
                <w:tcPr>
                  <w:tcW w:w="2622" w:type="dxa"/>
                </w:tcPr>
                <w:p>
                  <w:pPr>
                    <w:jc w:val="center"/>
                  </w:pPr>
                  <w:r>
                    <w:rPr>
                      <w:rFonts w:hint="eastAsia"/>
                      <w:szCs w:val="21"/>
                    </w:rPr>
                    <w:t>4月19日</w:t>
                  </w:r>
                </w:p>
              </w:tc>
              <w:tc>
                <w:tcPr>
                  <w:tcW w:w="2362" w:type="dxa"/>
                </w:tcPr>
                <w:p>
                  <w:pPr>
                    <w:jc w:val="center"/>
                  </w:pPr>
                  <w:r>
                    <w:rPr>
                      <w:rFonts w:hint="eastAsia"/>
                    </w:rPr>
                    <w:t>1.85</w:t>
                  </w:r>
                </w:p>
              </w:tc>
              <w:tc>
                <w:tcPr>
                  <w:tcW w:w="2315" w:type="dxa"/>
                  <w:vAlign w:val="center"/>
                </w:tcPr>
                <w:p>
                  <w:pPr>
                    <w:adjustRightInd w:val="0"/>
                    <w:snapToGrid w:val="0"/>
                    <w:jc w:val="center"/>
                    <w:rPr>
                      <w:szCs w:val="21"/>
                    </w:rPr>
                  </w:pPr>
                  <w:r>
                    <w:rPr>
                      <w:rFonts w:hint="eastAsia"/>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525" w:type="dxa"/>
                  <w:vMerge w:val="continue"/>
                  <w:vAlign w:val="center"/>
                </w:tcPr>
                <w:p>
                  <w:pPr>
                    <w:autoSpaceDE w:val="0"/>
                    <w:autoSpaceDN w:val="0"/>
                    <w:adjustRightInd w:val="0"/>
                    <w:snapToGrid w:val="0"/>
                    <w:jc w:val="center"/>
                    <w:rPr>
                      <w:kern w:val="0"/>
                      <w:szCs w:val="21"/>
                    </w:rPr>
                  </w:pPr>
                </w:p>
              </w:tc>
              <w:tc>
                <w:tcPr>
                  <w:tcW w:w="2622" w:type="dxa"/>
                </w:tcPr>
                <w:p>
                  <w:pPr>
                    <w:jc w:val="center"/>
                  </w:pPr>
                  <w:r>
                    <w:rPr>
                      <w:rFonts w:hint="eastAsia"/>
                      <w:szCs w:val="21"/>
                    </w:rPr>
                    <w:t>4月20日</w:t>
                  </w:r>
                </w:p>
              </w:tc>
              <w:tc>
                <w:tcPr>
                  <w:tcW w:w="2362" w:type="dxa"/>
                </w:tcPr>
                <w:p>
                  <w:pPr>
                    <w:jc w:val="center"/>
                    <w:rPr>
                      <w:szCs w:val="21"/>
                    </w:rPr>
                  </w:pPr>
                  <w:r>
                    <w:rPr>
                      <w:rFonts w:hint="eastAsia"/>
                      <w:szCs w:val="21"/>
                    </w:rPr>
                    <w:t>1.73</w:t>
                  </w:r>
                </w:p>
              </w:tc>
              <w:tc>
                <w:tcPr>
                  <w:tcW w:w="2315" w:type="dxa"/>
                  <w:vAlign w:val="center"/>
                </w:tcPr>
                <w:p>
                  <w:pPr>
                    <w:adjustRightInd w:val="0"/>
                    <w:snapToGrid w:val="0"/>
                    <w:jc w:val="center"/>
                    <w:rPr>
                      <w:szCs w:val="21"/>
                    </w:rPr>
                  </w:pPr>
                  <w:r>
                    <w:rPr>
                      <w:rFonts w:hint="eastAsia"/>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525" w:type="dxa"/>
                  <w:vMerge w:val="continue"/>
                  <w:vAlign w:val="center"/>
                </w:tcPr>
                <w:p>
                  <w:pPr>
                    <w:autoSpaceDE w:val="0"/>
                    <w:autoSpaceDN w:val="0"/>
                    <w:adjustRightInd w:val="0"/>
                    <w:snapToGrid w:val="0"/>
                    <w:jc w:val="center"/>
                    <w:rPr>
                      <w:kern w:val="0"/>
                      <w:szCs w:val="21"/>
                    </w:rPr>
                  </w:pPr>
                </w:p>
              </w:tc>
              <w:tc>
                <w:tcPr>
                  <w:tcW w:w="2622" w:type="dxa"/>
                </w:tcPr>
                <w:p>
                  <w:pPr>
                    <w:jc w:val="center"/>
                  </w:pPr>
                  <w:r>
                    <w:rPr>
                      <w:rFonts w:hint="eastAsia"/>
                      <w:szCs w:val="21"/>
                    </w:rPr>
                    <w:t>4月21日</w:t>
                  </w:r>
                </w:p>
              </w:tc>
              <w:tc>
                <w:tcPr>
                  <w:tcW w:w="2362" w:type="dxa"/>
                </w:tcPr>
                <w:p>
                  <w:pPr>
                    <w:jc w:val="center"/>
                    <w:rPr>
                      <w:szCs w:val="21"/>
                    </w:rPr>
                  </w:pPr>
                  <w:r>
                    <w:rPr>
                      <w:rFonts w:hint="eastAsia"/>
                      <w:szCs w:val="21"/>
                    </w:rPr>
                    <w:t>2.44</w:t>
                  </w:r>
                </w:p>
              </w:tc>
              <w:tc>
                <w:tcPr>
                  <w:tcW w:w="2315" w:type="dxa"/>
                  <w:vAlign w:val="center"/>
                </w:tcPr>
                <w:p>
                  <w:pPr>
                    <w:adjustRightInd w:val="0"/>
                    <w:snapToGrid w:val="0"/>
                    <w:jc w:val="center"/>
                    <w:rPr>
                      <w:szCs w:val="21"/>
                    </w:rPr>
                  </w:pPr>
                  <w:r>
                    <w:rPr>
                      <w:rFonts w:hint="eastAsia"/>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525" w:type="dxa"/>
                  <w:vMerge w:val="continue"/>
                  <w:vAlign w:val="center"/>
                </w:tcPr>
                <w:p>
                  <w:pPr>
                    <w:autoSpaceDE w:val="0"/>
                    <w:autoSpaceDN w:val="0"/>
                    <w:adjustRightInd w:val="0"/>
                    <w:snapToGrid w:val="0"/>
                    <w:jc w:val="center"/>
                    <w:rPr>
                      <w:kern w:val="0"/>
                      <w:szCs w:val="21"/>
                    </w:rPr>
                  </w:pPr>
                </w:p>
              </w:tc>
              <w:tc>
                <w:tcPr>
                  <w:tcW w:w="2622" w:type="dxa"/>
                </w:tcPr>
                <w:p>
                  <w:pPr>
                    <w:jc w:val="center"/>
                  </w:pPr>
                  <w:r>
                    <w:rPr>
                      <w:rFonts w:hint="eastAsia"/>
                      <w:szCs w:val="21"/>
                    </w:rPr>
                    <w:t>4月22日</w:t>
                  </w:r>
                </w:p>
              </w:tc>
              <w:tc>
                <w:tcPr>
                  <w:tcW w:w="2362" w:type="dxa"/>
                </w:tcPr>
                <w:p>
                  <w:pPr>
                    <w:jc w:val="center"/>
                    <w:rPr>
                      <w:szCs w:val="21"/>
                    </w:rPr>
                  </w:pPr>
                  <w:r>
                    <w:rPr>
                      <w:rFonts w:hint="eastAsia"/>
                      <w:szCs w:val="21"/>
                    </w:rPr>
                    <w:t>2.55</w:t>
                  </w:r>
                </w:p>
              </w:tc>
              <w:tc>
                <w:tcPr>
                  <w:tcW w:w="2315" w:type="dxa"/>
                  <w:vAlign w:val="center"/>
                </w:tcPr>
                <w:p>
                  <w:pPr>
                    <w:adjustRightInd w:val="0"/>
                    <w:snapToGrid w:val="0"/>
                    <w:jc w:val="center"/>
                    <w:rPr>
                      <w:szCs w:val="21"/>
                    </w:rPr>
                  </w:pPr>
                  <w:r>
                    <w:rPr>
                      <w:rFonts w:hint="eastAsia"/>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525" w:type="dxa"/>
                  <w:vMerge w:val="continue"/>
                  <w:vAlign w:val="center"/>
                </w:tcPr>
                <w:p>
                  <w:pPr>
                    <w:autoSpaceDE w:val="0"/>
                    <w:autoSpaceDN w:val="0"/>
                    <w:adjustRightInd w:val="0"/>
                    <w:snapToGrid w:val="0"/>
                    <w:jc w:val="center"/>
                    <w:rPr>
                      <w:kern w:val="0"/>
                      <w:szCs w:val="21"/>
                    </w:rPr>
                  </w:pPr>
                </w:p>
              </w:tc>
              <w:tc>
                <w:tcPr>
                  <w:tcW w:w="2622" w:type="dxa"/>
                </w:tcPr>
                <w:p>
                  <w:pPr>
                    <w:jc w:val="center"/>
                  </w:pPr>
                  <w:r>
                    <w:rPr>
                      <w:rFonts w:hint="eastAsia"/>
                      <w:szCs w:val="21"/>
                    </w:rPr>
                    <w:t>4月23日</w:t>
                  </w:r>
                </w:p>
              </w:tc>
              <w:tc>
                <w:tcPr>
                  <w:tcW w:w="2362" w:type="dxa"/>
                </w:tcPr>
                <w:p>
                  <w:pPr>
                    <w:jc w:val="center"/>
                    <w:rPr>
                      <w:szCs w:val="21"/>
                    </w:rPr>
                  </w:pPr>
                  <w:r>
                    <w:rPr>
                      <w:rFonts w:hint="eastAsia"/>
                      <w:szCs w:val="21"/>
                    </w:rPr>
                    <w:t>1.74</w:t>
                  </w:r>
                </w:p>
              </w:tc>
              <w:tc>
                <w:tcPr>
                  <w:tcW w:w="2315" w:type="dxa"/>
                  <w:vAlign w:val="center"/>
                </w:tcPr>
                <w:p>
                  <w:pPr>
                    <w:adjustRightInd w:val="0"/>
                    <w:snapToGrid w:val="0"/>
                    <w:jc w:val="center"/>
                    <w:rPr>
                      <w:szCs w:val="21"/>
                    </w:rPr>
                  </w:pPr>
                  <w:r>
                    <w:rPr>
                      <w:rFonts w:hint="eastAsia"/>
                      <w:szCs w:val="21"/>
                    </w:rPr>
                    <w:t>20</w:t>
                  </w:r>
                </w:p>
              </w:tc>
            </w:tr>
          </w:tbl>
          <w:p>
            <w:pPr>
              <w:tabs>
                <w:tab w:val="left" w:pos="3555"/>
              </w:tabs>
              <w:spacing w:line="360" w:lineRule="auto"/>
              <w:ind w:firstLine="480" w:firstLineChars="200"/>
              <w:rPr>
                <w:rFonts w:hAnsi="宋体"/>
                <w:bCs/>
                <w:color w:val="7030A0"/>
                <w:sz w:val="24"/>
              </w:rPr>
            </w:pPr>
            <w:r>
              <w:rPr>
                <w:rFonts w:hint="eastAsia"/>
                <w:sz w:val="24"/>
              </w:rPr>
              <w:t>由表16</w:t>
            </w:r>
            <w:r>
              <w:rPr>
                <w:rFonts w:hAnsi="宋体"/>
                <w:sz w:val="24"/>
              </w:rPr>
              <w:t>可知，</w:t>
            </w:r>
            <w:r>
              <w:rPr>
                <w:rFonts w:hint="eastAsia"/>
                <w:sz w:val="24"/>
              </w:rPr>
              <w:t>监测点位项目所在地的</w:t>
            </w:r>
            <w:r>
              <w:rPr>
                <w:rFonts w:hint="eastAsia" w:hAnsi="宋体"/>
                <w:sz w:val="24"/>
              </w:rPr>
              <w:t>特征污染物氟化物浓度值低于</w:t>
            </w:r>
            <w:r>
              <w:rPr>
                <w:rFonts w:hint="eastAsia" w:hAnsi="宋体"/>
                <w:color w:val="7030A0"/>
                <w:sz w:val="24"/>
              </w:rPr>
              <w:t>《环境空气质量标准》（GB3095-2012）中1小时平均值</w:t>
            </w:r>
            <w:r>
              <w:rPr>
                <w:rFonts w:hint="eastAsia" w:hAnsi="宋体"/>
                <w:bCs/>
                <w:color w:val="7030A0"/>
                <w:sz w:val="24"/>
              </w:rPr>
              <w:t>。</w:t>
            </w:r>
          </w:p>
          <w:p>
            <w:pPr>
              <w:tabs>
                <w:tab w:val="left" w:pos="3555"/>
              </w:tabs>
              <w:spacing w:line="360" w:lineRule="auto"/>
              <w:ind w:firstLine="482" w:firstLineChars="200"/>
              <w:rPr>
                <w:b/>
                <w:sz w:val="24"/>
              </w:rPr>
            </w:pPr>
            <w:r>
              <w:rPr>
                <w:rFonts w:hint="eastAsia" w:hAnsi="宋体"/>
                <w:b/>
                <w:sz w:val="24"/>
              </w:rPr>
              <w:t>二、</w:t>
            </w:r>
            <w:r>
              <w:rPr>
                <w:rFonts w:hAnsi="宋体"/>
                <w:b/>
                <w:sz w:val="24"/>
              </w:rPr>
              <w:t>声环境质量现状与评价</w:t>
            </w:r>
          </w:p>
          <w:p>
            <w:pPr>
              <w:spacing w:line="360" w:lineRule="auto"/>
              <w:ind w:firstLine="480" w:firstLineChars="200"/>
              <w:rPr>
                <w:sz w:val="24"/>
              </w:rPr>
            </w:pPr>
            <w:r>
              <w:rPr>
                <w:sz w:val="24"/>
                <w:szCs w:val="24"/>
              </w:rPr>
              <w:t>项目</w:t>
            </w:r>
            <w:r>
              <w:rPr>
                <w:sz w:val="24"/>
              </w:rPr>
              <w:t>委托陕西太阳景检测有限责任公司</w:t>
            </w:r>
            <w:r>
              <w:rPr>
                <w:sz w:val="24"/>
                <w:szCs w:val="24"/>
              </w:rPr>
              <w:t>对区域声环境现状进行了监测</w:t>
            </w:r>
            <w:r>
              <w:rPr>
                <w:rFonts w:hint="eastAsia"/>
                <w:sz w:val="24"/>
              </w:rPr>
              <w:t>，监测报告编号</w:t>
            </w:r>
            <w:r>
              <w:rPr>
                <w:rFonts w:hAnsi="宋体"/>
                <w:sz w:val="24"/>
              </w:rPr>
              <w:t>为</w:t>
            </w:r>
            <w:r>
              <w:rPr>
                <w:rFonts w:hint="eastAsia" w:hAnsi="宋体"/>
                <w:sz w:val="24"/>
              </w:rPr>
              <w:t>HJ18040032</w:t>
            </w:r>
            <w:r>
              <w:rPr>
                <w:rFonts w:hAnsi="宋体"/>
                <w:sz w:val="24"/>
              </w:rPr>
              <w:t>号</w:t>
            </w:r>
            <w:r>
              <w:rPr>
                <w:rFonts w:hint="eastAsia" w:hAnsi="宋体"/>
                <w:sz w:val="24"/>
              </w:rPr>
              <w:t>，</w:t>
            </w:r>
            <w:r>
              <w:rPr>
                <w:rFonts w:hint="eastAsia"/>
                <w:sz w:val="24"/>
              </w:rPr>
              <w:t>监测时间为</w:t>
            </w:r>
            <w:r>
              <w:rPr>
                <w:sz w:val="24"/>
              </w:rPr>
              <w:t>2018</w:t>
            </w:r>
            <w:r>
              <w:rPr>
                <w:rFonts w:hint="eastAsia"/>
                <w:sz w:val="24"/>
              </w:rPr>
              <w:t>年4月</w:t>
            </w:r>
            <w:r>
              <w:rPr>
                <w:rFonts w:hint="eastAsia"/>
                <w:kern w:val="0"/>
                <w:sz w:val="24"/>
              </w:rPr>
              <w:t>17日～</w:t>
            </w:r>
            <w:r>
              <w:rPr>
                <w:sz w:val="24"/>
              </w:rPr>
              <w:t>2018</w:t>
            </w:r>
            <w:r>
              <w:rPr>
                <w:rFonts w:hint="eastAsia"/>
                <w:sz w:val="24"/>
              </w:rPr>
              <w:t>年4月</w:t>
            </w:r>
            <w:r>
              <w:rPr>
                <w:rFonts w:hint="eastAsia"/>
                <w:kern w:val="0"/>
                <w:sz w:val="24"/>
              </w:rPr>
              <w:t>18日</w:t>
            </w:r>
            <w:r>
              <w:rPr>
                <w:rFonts w:hAnsi="宋体"/>
                <w:sz w:val="24"/>
              </w:rPr>
              <w:t>，监测点位分别为项目场界四周</w:t>
            </w:r>
            <w:r>
              <w:rPr>
                <w:rFonts w:hint="eastAsia" w:hAnsi="宋体"/>
                <w:sz w:val="24"/>
              </w:rPr>
              <w:t>；2019年7月19日~2019年7月20日，对附近敏感点蚕姑沟村声环境现状进行监测，</w:t>
            </w:r>
            <w:r>
              <w:rPr>
                <w:rFonts w:hAnsi="宋体"/>
                <w:sz w:val="24"/>
              </w:rPr>
              <w:t>监测结果见表</w:t>
            </w:r>
            <w:r>
              <w:rPr>
                <w:rFonts w:hint="eastAsia" w:hAnsi="宋体"/>
                <w:sz w:val="24"/>
              </w:rPr>
              <w:t>17</w:t>
            </w:r>
            <w:r>
              <w:rPr>
                <w:rFonts w:hint="eastAsia"/>
                <w:sz w:val="24"/>
              </w:rPr>
              <w:t>所示</w:t>
            </w:r>
            <w:r>
              <w:rPr>
                <w:rFonts w:hAnsi="宋体"/>
                <w:sz w:val="24"/>
              </w:rPr>
              <w:t>，监测点位见附图</w:t>
            </w:r>
            <w:r>
              <w:rPr>
                <w:rFonts w:hint="eastAsia" w:hAnsi="宋体"/>
                <w:sz w:val="24"/>
              </w:rPr>
              <w:t>6</w:t>
            </w:r>
            <w:r>
              <w:rPr>
                <w:rFonts w:hAnsi="宋体"/>
                <w:sz w:val="24"/>
              </w:rPr>
              <w:t>。</w:t>
            </w:r>
          </w:p>
          <w:p>
            <w:pPr>
              <w:jc w:val="center"/>
              <w:rPr>
                <w:b/>
              </w:rPr>
            </w:pPr>
            <w:r>
              <w:rPr>
                <w:rFonts w:hAnsi="宋体"/>
                <w:b/>
              </w:rPr>
              <w:t>表</w:t>
            </w:r>
            <w:r>
              <w:rPr>
                <w:rFonts w:hint="eastAsia" w:hAnsi="宋体"/>
                <w:b/>
              </w:rPr>
              <w:t>17</w:t>
            </w:r>
            <w:r>
              <w:rPr>
                <w:b/>
              </w:rPr>
              <w:t xml:space="preserve">   </w:t>
            </w:r>
            <w:r>
              <w:rPr>
                <w:rFonts w:hAnsi="宋体"/>
                <w:b/>
              </w:rPr>
              <w:t>环境噪声监测结果</w:t>
            </w:r>
            <w:r>
              <w:rPr>
                <w:rFonts w:hint="eastAsia" w:hAnsi="宋体"/>
                <w:b/>
              </w:rPr>
              <w:t>表</w:t>
            </w:r>
            <w:r>
              <w:rPr>
                <w:b/>
              </w:rPr>
              <w:t xml:space="preserve">    </w:t>
            </w:r>
            <w:r>
              <w:rPr>
                <w:rFonts w:hAnsi="宋体"/>
                <w:b/>
              </w:rPr>
              <w:t>单位：</w:t>
            </w:r>
            <w:r>
              <w:rPr>
                <w:b/>
              </w:rPr>
              <w:t>Leq[dB(A)]</w:t>
            </w:r>
          </w:p>
          <w:tbl>
            <w:tblPr>
              <w:tblStyle w:val="24"/>
              <w:tblW w:w="882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766"/>
              <w:gridCol w:w="1546"/>
              <w:gridCol w:w="1755"/>
              <w:gridCol w:w="1190"/>
              <w:gridCol w:w="11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5" w:type="dxa"/>
                  <w:vMerge w:val="restart"/>
                  <w:vAlign w:val="center"/>
                </w:tcPr>
                <w:p>
                  <w:pPr>
                    <w:spacing w:line="360" w:lineRule="auto"/>
                    <w:jc w:val="center"/>
                    <w:rPr>
                      <w:szCs w:val="21"/>
                    </w:rPr>
                  </w:pPr>
                  <w:r>
                    <w:rPr>
                      <w:szCs w:val="21"/>
                    </w:rPr>
                    <w:t>监测日期</w:t>
                  </w:r>
                </w:p>
              </w:tc>
              <w:tc>
                <w:tcPr>
                  <w:tcW w:w="1766" w:type="dxa"/>
                  <w:vMerge w:val="restart"/>
                  <w:vAlign w:val="center"/>
                </w:tcPr>
                <w:p>
                  <w:pPr>
                    <w:jc w:val="center"/>
                  </w:pPr>
                  <w:r>
                    <w:t>监测点号</w:t>
                  </w:r>
                </w:p>
              </w:tc>
              <w:tc>
                <w:tcPr>
                  <w:tcW w:w="3301" w:type="dxa"/>
                  <w:gridSpan w:val="2"/>
                  <w:vAlign w:val="center"/>
                </w:tcPr>
                <w:p>
                  <w:pPr>
                    <w:spacing w:line="360" w:lineRule="auto"/>
                    <w:jc w:val="center"/>
                    <w:rPr>
                      <w:szCs w:val="21"/>
                    </w:rPr>
                  </w:pPr>
                  <w:r>
                    <w:rPr>
                      <w:szCs w:val="21"/>
                    </w:rPr>
                    <w:t>测量值</w:t>
                  </w:r>
                </w:p>
              </w:tc>
              <w:tc>
                <w:tcPr>
                  <w:tcW w:w="2382" w:type="dxa"/>
                  <w:gridSpan w:val="2"/>
                  <w:vAlign w:val="center"/>
                </w:tcPr>
                <w:p>
                  <w:pPr>
                    <w:spacing w:line="360" w:lineRule="auto"/>
                    <w:jc w:val="center"/>
                    <w:rPr>
                      <w:szCs w:val="21"/>
                    </w:rPr>
                  </w:pPr>
                  <w:r>
                    <w:rPr>
                      <w:szCs w:val="21"/>
                    </w:rPr>
                    <w:t>声环境质量标准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5" w:type="dxa"/>
                  <w:vMerge w:val="continue"/>
                  <w:vAlign w:val="center"/>
                </w:tcPr>
                <w:p>
                  <w:pPr>
                    <w:spacing w:line="240" w:lineRule="atLeast"/>
                    <w:jc w:val="center"/>
                    <w:rPr>
                      <w:szCs w:val="21"/>
                    </w:rPr>
                  </w:pPr>
                </w:p>
              </w:tc>
              <w:tc>
                <w:tcPr>
                  <w:tcW w:w="1766" w:type="dxa"/>
                  <w:vMerge w:val="continue"/>
                  <w:vAlign w:val="center"/>
                </w:tcPr>
                <w:p>
                  <w:pPr>
                    <w:spacing w:line="240" w:lineRule="atLeast"/>
                    <w:jc w:val="center"/>
                    <w:rPr>
                      <w:szCs w:val="21"/>
                    </w:rPr>
                  </w:pPr>
                </w:p>
              </w:tc>
              <w:tc>
                <w:tcPr>
                  <w:tcW w:w="1546" w:type="dxa"/>
                  <w:vAlign w:val="center"/>
                </w:tcPr>
                <w:p>
                  <w:pPr>
                    <w:spacing w:line="240" w:lineRule="atLeast"/>
                    <w:jc w:val="center"/>
                    <w:rPr>
                      <w:szCs w:val="21"/>
                    </w:rPr>
                  </w:pPr>
                  <w:r>
                    <w:rPr>
                      <w:szCs w:val="21"/>
                    </w:rPr>
                    <w:t>昼间</w:t>
                  </w:r>
                </w:p>
              </w:tc>
              <w:tc>
                <w:tcPr>
                  <w:tcW w:w="1755" w:type="dxa"/>
                  <w:vAlign w:val="center"/>
                </w:tcPr>
                <w:p>
                  <w:pPr>
                    <w:spacing w:line="240" w:lineRule="atLeast"/>
                    <w:jc w:val="center"/>
                    <w:rPr>
                      <w:szCs w:val="21"/>
                    </w:rPr>
                  </w:pPr>
                  <w:r>
                    <w:rPr>
                      <w:szCs w:val="21"/>
                    </w:rPr>
                    <w:t>夜间</w:t>
                  </w:r>
                </w:p>
              </w:tc>
              <w:tc>
                <w:tcPr>
                  <w:tcW w:w="1190" w:type="dxa"/>
                  <w:vAlign w:val="center"/>
                </w:tcPr>
                <w:p>
                  <w:pPr>
                    <w:spacing w:line="240" w:lineRule="atLeast"/>
                    <w:jc w:val="center"/>
                    <w:rPr>
                      <w:szCs w:val="21"/>
                    </w:rPr>
                  </w:pPr>
                  <w:r>
                    <w:rPr>
                      <w:szCs w:val="21"/>
                    </w:rPr>
                    <w:t>昼间</w:t>
                  </w:r>
                </w:p>
              </w:tc>
              <w:tc>
                <w:tcPr>
                  <w:tcW w:w="1192" w:type="dxa"/>
                  <w:vAlign w:val="center"/>
                </w:tcPr>
                <w:p>
                  <w:pPr>
                    <w:spacing w:line="240" w:lineRule="atLeast"/>
                    <w:jc w:val="center"/>
                    <w:rPr>
                      <w:szCs w:val="21"/>
                    </w:rPr>
                  </w:pPr>
                  <w:r>
                    <w:rPr>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5" w:type="dxa"/>
                  <w:vMerge w:val="restart"/>
                  <w:vAlign w:val="center"/>
                </w:tcPr>
                <w:p>
                  <w:pPr>
                    <w:spacing w:line="240" w:lineRule="atLeast"/>
                    <w:jc w:val="center"/>
                    <w:rPr>
                      <w:szCs w:val="21"/>
                    </w:rPr>
                  </w:pPr>
                  <w:r>
                    <w:rPr>
                      <w:rFonts w:hint="eastAsia"/>
                      <w:szCs w:val="21"/>
                    </w:rPr>
                    <w:t>4</w:t>
                  </w:r>
                  <w:r>
                    <w:rPr>
                      <w:szCs w:val="21"/>
                    </w:rPr>
                    <w:t>月</w:t>
                  </w:r>
                  <w:r>
                    <w:rPr>
                      <w:rFonts w:hint="eastAsia"/>
                      <w:szCs w:val="21"/>
                    </w:rPr>
                    <w:t>17</w:t>
                  </w:r>
                  <w:r>
                    <w:rPr>
                      <w:szCs w:val="21"/>
                    </w:rPr>
                    <w:t>日</w:t>
                  </w:r>
                </w:p>
              </w:tc>
              <w:tc>
                <w:tcPr>
                  <w:tcW w:w="1766" w:type="dxa"/>
                  <w:vAlign w:val="center"/>
                </w:tcPr>
                <w:p>
                  <w:r>
                    <w:t>1#（</w:t>
                  </w:r>
                  <w:r>
                    <w:rPr>
                      <w:rFonts w:hint="eastAsia"/>
                    </w:rPr>
                    <w:t>项目地东北</w:t>
                  </w:r>
                  <w:r>
                    <w:t>）</w:t>
                  </w:r>
                </w:p>
              </w:tc>
              <w:tc>
                <w:tcPr>
                  <w:tcW w:w="1546" w:type="dxa"/>
                  <w:vAlign w:val="center"/>
                </w:tcPr>
                <w:p>
                  <w:pPr>
                    <w:spacing w:line="240" w:lineRule="atLeast"/>
                    <w:jc w:val="center"/>
                    <w:rPr>
                      <w:szCs w:val="21"/>
                    </w:rPr>
                  </w:pPr>
                  <w:r>
                    <w:rPr>
                      <w:rFonts w:hint="eastAsia"/>
                      <w:szCs w:val="21"/>
                    </w:rPr>
                    <w:t>45.4</w:t>
                  </w:r>
                </w:p>
              </w:tc>
              <w:tc>
                <w:tcPr>
                  <w:tcW w:w="1755" w:type="dxa"/>
                  <w:vAlign w:val="center"/>
                </w:tcPr>
                <w:p>
                  <w:pPr>
                    <w:spacing w:line="240" w:lineRule="atLeast"/>
                    <w:jc w:val="center"/>
                    <w:rPr>
                      <w:szCs w:val="21"/>
                    </w:rPr>
                  </w:pPr>
                  <w:r>
                    <w:rPr>
                      <w:rFonts w:hint="eastAsia"/>
                      <w:szCs w:val="21"/>
                    </w:rPr>
                    <w:t>42.3</w:t>
                  </w:r>
                </w:p>
              </w:tc>
              <w:tc>
                <w:tcPr>
                  <w:tcW w:w="1190" w:type="dxa"/>
                  <w:vMerge w:val="restart"/>
                  <w:vAlign w:val="center"/>
                </w:tcPr>
                <w:p>
                  <w:pPr>
                    <w:spacing w:line="240" w:lineRule="atLeast"/>
                    <w:jc w:val="center"/>
                    <w:rPr>
                      <w:szCs w:val="21"/>
                    </w:rPr>
                  </w:pPr>
                  <w:r>
                    <w:rPr>
                      <w:szCs w:val="21"/>
                    </w:rPr>
                    <w:t>60</w:t>
                  </w:r>
                </w:p>
              </w:tc>
              <w:tc>
                <w:tcPr>
                  <w:tcW w:w="1192" w:type="dxa"/>
                  <w:vMerge w:val="restart"/>
                  <w:vAlign w:val="center"/>
                </w:tcPr>
                <w:p>
                  <w:pPr>
                    <w:spacing w:line="240" w:lineRule="atLeast"/>
                    <w:jc w:val="center"/>
                    <w:rPr>
                      <w:szCs w:val="21"/>
                    </w:rPr>
                  </w:pPr>
                  <w:r>
                    <w:rPr>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5" w:type="dxa"/>
                  <w:vMerge w:val="continue"/>
                  <w:vAlign w:val="center"/>
                </w:tcPr>
                <w:p>
                  <w:pPr>
                    <w:spacing w:line="240" w:lineRule="atLeast"/>
                    <w:jc w:val="center"/>
                    <w:rPr>
                      <w:szCs w:val="21"/>
                    </w:rPr>
                  </w:pPr>
                </w:p>
              </w:tc>
              <w:tc>
                <w:tcPr>
                  <w:tcW w:w="1766" w:type="dxa"/>
                  <w:vAlign w:val="center"/>
                </w:tcPr>
                <w:p>
                  <w:r>
                    <w:t>2#（</w:t>
                  </w:r>
                  <w:r>
                    <w:rPr>
                      <w:rFonts w:hint="eastAsia"/>
                    </w:rPr>
                    <w:t>项目地西北</w:t>
                  </w:r>
                  <w:r>
                    <w:t>）</w:t>
                  </w:r>
                </w:p>
              </w:tc>
              <w:tc>
                <w:tcPr>
                  <w:tcW w:w="1546" w:type="dxa"/>
                  <w:vAlign w:val="center"/>
                </w:tcPr>
                <w:p>
                  <w:pPr>
                    <w:spacing w:line="240" w:lineRule="atLeast"/>
                    <w:jc w:val="center"/>
                    <w:rPr>
                      <w:szCs w:val="21"/>
                    </w:rPr>
                  </w:pPr>
                  <w:r>
                    <w:rPr>
                      <w:rFonts w:hint="eastAsia"/>
                      <w:szCs w:val="21"/>
                    </w:rPr>
                    <w:t>45.0</w:t>
                  </w:r>
                </w:p>
              </w:tc>
              <w:tc>
                <w:tcPr>
                  <w:tcW w:w="1755" w:type="dxa"/>
                  <w:vAlign w:val="center"/>
                </w:tcPr>
                <w:p>
                  <w:pPr>
                    <w:spacing w:line="240" w:lineRule="atLeast"/>
                    <w:jc w:val="center"/>
                    <w:rPr>
                      <w:szCs w:val="21"/>
                    </w:rPr>
                  </w:pPr>
                  <w:r>
                    <w:rPr>
                      <w:rFonts w:hint="eastAsia"/>
                      <w:szCs w:val="21"/>
                    </w:rPr>
                    <w:t>42.7</w:t>
                  </w:r>
                </w:p>
              </w:tc>
              <w:tc>
                <w:tcPr>
                  <w:tcW w:w="1190" w:type="dxa"/>
                  <w:vMerge w:val="continue"/>
                  <w:vAlign w:val="center"/>
                </w:tcPr>
                <w:p>
                  <w:pPr>
                    <w:spacing w:line="240" w:lineRule="atLeast"/>
                    <w:jc w:val="center"/>
                    <w:rPr>
                      <w:szCs w:val="21"/>
                    </w:rPr>
                  </w:pPr>
                </w:p>
              </w:tc>
              <w:tc>
                <w:tcPr>
                  <w:tcW w:w="1192" w:type="dxa"/>
                  <w:vMerge w:val="continue"/>
                  <w:vAlign w:val="center"/>
                </w:tcPr>
                <w:p>
                  <w:pPr>
                    <w:spacing w:line="24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5" w:type="dxa"/>
                  <w:vMerge w:val="continue"/>
                  <w:vAlign w:val="center"/>
                </w:tcPr>
                <w:p>
                  <w:pPr>
                    <w:spacing w:line="240" w:lineRule="atLeast"/>
                    <w:jc w:val="center"/>
                    <w:rPr>
                      <w:szCs w:val="21"/>
                    </w:rPr>
                  </w:pPr>
                </w:p>
              </w:tc>
              <w:tc>
                <w:tcPr>
                  <w:tcW w:w="1766" w:type="dxa"/>
                  <w:vAlign w:val="center"/>
                </w:tcPr>
                <w:p>
                  <w:r>
                    <w:t>3#（</w:t>
                  </w:r>
                  <w:r>
                    <w:rPr>
                      <w:rFonts w:hint="eastAsia"/>
                    </w:rPr>
                    <w:t>项目地西南</w:t>
                  </w:r>
                  <w:r>
                    <w:t>）</w:t>
                  </w:r>
                </w:p>
              </w:tc>
              <w:tc>
                <w:tcPr>
                  <w:tcW w:w="1546" w:type="dxa"/>
                  <w:vAlign w:val="center"/>
                </w:tcPr>
                <w:p>
                  <w:pPr>
                    <w:spacing w:line="240" w:lineRule="atLeast"/>
                    <w:jc w:val="center"/>
                    <w:rPr>
                      <w:szCs w:val="21"/>
                    </w:rPr>
                  </w:pPr>
                  <w:r>
                    <w:rPr>
                      <w:rFonts w:hint="eastAsia"/>
                      <w:szCs w:val="21"/>
                    </w:rPr>
                    <w:t>45.9</w:t>
                  </w:r>
                </w:p>
              </w:tc>
              <w:tc>
                <w:tcPr>
                  <w:tcW w:w="1755" w:type="dxa"/>
                  <w:vAlign w:val="center"/>
                </w:tcPr>
                <w:p>
                  <w:pPr>
                    <w:spacing w:line="240" w:lineRule="atLeast"/>
                    <w:jc w:val="center"/>
                    <w:rPr>
                      <w:szCs w:val="21"/>
                    </w:rPr>
                  </w:pPr>
                  <w:r>
                    <w:rPr>
                      <w:rFonts w:hint="eastAsia"/>
                      <w:szCs w:val="21"/>
                    </w:rPr>
                    <w:t>42.7</w:t>
                  </w:r>
                </w:p>
              </w:tc>
              <w:tc>
                <w:tcPr>
                  <w:tcW w:w="1190" w:type="dxa"/>
                  <w:vMerge w:val="continue"/>
                  <w:vAlign w:val="center"/>
                </w:tcPr>
                <w:p>
                  <w:pPr>
                    <w:spacing w:line="240" w:lineRule="atLeast"/>
                    <w:jc w:val="center"/>
                    <w:rPr>
                      <w:szCs w:val="21"/>
                    </w:rPr>
                  </w:pPr>
                </w:p>
              </w:tc>
              <w:tc>
                <w:tcPr>
                  <w:tcW w:w="1192" w:type="dxa"/>
                  <w:vMerge w:val="continue"/>
                  <w:vAlign w:val="center"/>
                </w:tcPr>
                <w:p>
                  <w:pPr>
                    <w:spacing w:line="24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5" w:type="dxa"/>
                  <w:vMerge w:val="continue"/>
                  <w:vAlign w:val="center"/>
                </w:tcPr>
                <w:p>
                  <w:pPr>
                    <w:spacing w:line="240" w:lineRule="atLeast"/>
                    <w:jc w:val="center"/>
                    <w:rPr>
                      <w:szCs w:val="21"/>
                    </w:rPr>
                  </w:pPr>
                </w:p>
              </w:tc>
              <w:tc>
                <w:tcPr>
                  <w:tcW w:w="1766" w:type="dxa"/>
                  <w:vAlign w:val="center"/>
                </w:tcPr>
                <w:p>
                  <w:r>
                    <w:t>4#（</w:t>
                  </w:r>
                  <w:r>
                    <w:rPr>
                      <w:rFonts w:hint="eastAsia"/>
                    </w:rPr>
                    <w:t>项目地东南</w:t>
                  </w:r>
                  <w:r>
                    <w:t>）</w:t>
                  </w:r>
                </w:p>
              </w:tc>
              <w:tc>
                <w:tcPr>
                  <w:tcW w:w="1546" w:type="dxa"/>
                  <w:vAlign w:val="center"/>
                </w:tcPr>
                <w:p>
                  <w:pPr>
                    <w:spacing w:line="240" w:lineRule="atLeast"/>
                    <w:jc w:val="center"/>
                    <w:rPr>
                      <w:szCs w:val="21"/>
                    </w:rPr>
                  </w:pPr>
                  <w:r>
                    <w:rPr>
                      <w:rFonts w:hint="eastAsia"/>
                      <w:szCs w:val="21"/>
                    </w:rPr>
                    <w:t>45.0</w:t>
                  </w:r>
                </w:p>
              </w:tc>
              <w:tc>
                <w:tcPr>
                  <w:tcW w:w="1755" w:type="dxa"/>
                  <w:vAlign w:val="center"/>
                </w:tcPr>
                <w:p>
                  <w:pPr>
                    <w:spacing w:line="240" w:lineRule="atLeast"/>
                    <w:jc w:val="center"/>
                    <w:rPr>
                      <w:szCs w:val="21"/>
                    </w:rPr>
                  </w:pPr>
                  <w:r>
                    <w:rPr>
                      <w:rFonts w:hint="eastAsia"/>
                      <w:szCs w:val="21"/>
                    </w:rPr>
                    <w:t>42.8</w:t>
                  </w:r>
                </w:p>
              </w:tc>
              <w:tc>
                <w:tcPr>
                  <w:tcW w:w="1190" w:type="dxa"/>
                  <w:vMerge w:val="continue"/>
                  <w:vAlign w:val="center"/>
                </w:tcPr>
                <w:p>
                  <w:pPr>
                    <w:spacing w:line="240" w:lineRule="atLeast"/>
                    <w:jc w:val="center"/>
                    <w:rPr>
                      <w:szCs w:val="21"/>
                    </w:rPr>
                  </w:pPr>
                </w:p>
              </w:tc>
              <w:tc>
                <w:tcPr>
                  <w:tcW w:w="1192" w:type="dxa"/>
                  <w:vMerge w:val="continue"/>
                  <w:vAlign w:val="center"/>
                </w:tcPr>
                <w:p>
                  <w:pPr>
                    <w:spacing w:line="24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5" w:type="dxa"/>
                  <w:vMerge w:val="restart"/>
                  <w:vAlign w:val="center"/>
                </w:tcPr>
                <w:p>
                  <w:pPr>
                    <w:spacing w:line="240" w:lineRule="atLeast"/>
                    <w:jc w:val="center"/>
                    <w:rPr>
                      <w:szCs w:val="21"/>
                    </w:rPr>
                  </w:pPr>
                  <w:r>
                    <w:rPr>
                      <w:rFonts w:hint="eastAsia"/>
                      <w:szCs w:val="21"/>
                    </w:rPr>
                    <w:t>4</w:t>
                  </w:r>
                  <w:r>
                    <w:rPr>
                      <w:szCs w:val="21"/>
                    </w:rPr>
                    <w:t>月</w:t>
                  </w:r>
                  <w:r>
                    <w:rPr>
                      <w:rFonts w:hint="eastAsia"/>
                      <w:szCs w:val="21"/>
                    </w:rPr>
                    <w:t>18</w:t>
                  </w:r>
                  <w:r>
                    <w:rPr>
                      <w:szCs w:val="21"/>
                    </w:rPr>
                    <w:t>日</w:t>
                  </w:r>
                </w:p>
              </w:tc>
              <w:tc>
                <w:tcPr>
                  <w:tcW w:w="1766" w:type="dxa"/>
                  <w:vAlign w:val="center"/>
                </w:tcPr>
                <w:p>
                  <w:r>
                    <w:t>1#（</w:t>
                  </w:r>
                  <w:r>
                    <w:rPr>
                      <w:rFonts w:hint="eastAsia"/>
                    </w:rPr>
                    <w:t>项目地东北</w:t>
                  </w:r>
                  <w:r>
                    <w:t>）</w:t>
                  </w:r>
                </w:p>
              </w:tc>
              <w:tc>
                <w:tcPr>
                  <w:tcW w:w="1546" w:type="dxa"/>
                  <w:vAlign w:val="center"/>
                </w:tcPr>
                <w:p>
                  <w:pPr>
                    <w:spacing w:line="240" w:lineRule="atLeast"/>
                    <w:jc w:val="center"/>
                    <w:rPr>
                      <w:szCs w:val="21"/>
                    </w:rPr>
                  </w:pPr>
                  <w:r>
                    <w:rPr>
                      <w:rFonts w:hint="eastAsia"/>
                      <w:szCs w:val="21"/>
                    </w:rPr>
                    <w:t>47.7</w:t>
                  </w:r>
                </w:p>
              </w:tc>
              <w:tc>
                <w:tcPr>
                  <w:tcW w:w="1755" w:type="dxa"/>
                  <w:vAlign w:val="center"/>
                </w:tcPr>
                <w:p>
                  <w:pPr>
                    <w:spacing w:line="240" w:lineRule="atLeast"/>
                    <w:jc w:val="center"/>
                    <w:rPr>
                      <w:szCs w:val="21"/>
                    </w:rPr>
                  </w:pPr>
                  <w:r>
                    <w:rPr>
                      <w:rFonts w:hint="eastAsia"/>
                      <w:szCs w:val="21"/>
                    </w:rPr>
                    <w:t>44.5</w:t>
                  </w:r>
                </w:p>
              </w:tc>
              <w:tc>
                <w:tcPr>
                  <w:tcW w:w="1190" w:type="dxa"/>
                  <w:vMerge w:val="continue"/>
                  <w:vAlign w:val="center"/>
                </w:tcPr>
                <w:p>
                  <w:pPr>
                    <w:spacing w:line="240" w:lineRule="atLeast"/>
                    <w:jc w:val="center"/>
                    <w:rPr>
                      <w:szCs w:val="21"/>
                    </w:rPr>
                  </w:pPr>
                </w:p>
              </w:tc>
              <w:tc>
                <w:tcPr>
                  <w:tcW w:w="1192" w:type="dxa"/>
                  <w:vMerge w:val="continue"/>
                  <w:vAlign w:val="center"/>
                </w:tcPr>
                <w:p>
                  <w:pPr>
                    <w:spacing w:line="24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5" w:type="dxa"/>
                  <w:vMerge w:val="continue"/>
                  <w:vAlign w:val="center"/>
                </w:tcPr>
                <w:p>
                  <w:pPr>
                    <w:spacing w:line="240" w:lineRule="atLeast"/>
                    <w:jc w:val="center"/>
                    <w:rPr>
                      <w:szCs w:val="21"/>
                    </w:rPr>
                  </w:pPr>
                </w:p>
              </w:tc>
              <w:tc>
                <w:tcPr>
                  <w:tcW w:w="1766" w:type="dxa"/>
                  <w:vAlign w:val="center"/>
                </w:tcPr>
                <w:p>
                  <w:r>
                    <w:t>2#（</w:t>
                  </w:r>
                  <w:r>
                    <w:rPr>
                      <w:rFonts w:hint="eastAsia"/>
                    </w:rPr>
                    <w:t>项目地西北</w:t>
                  </w:r>
                  <w:r>
                    <w:t>）</w:t>
                  </w:r>
                </w:p>
              </w:tc>
              <w:tc>
                <w:tcPr>
                  <w:tcW w:w="1546" w:type="dxa"/>
                  <w:vAlign w:val="center"/>
                </w:tcPr>
                <w:p>
                  <w:pPr>
                    <w:spacing w:line="240" w:lineRule="atLeast"/>
                    <w:jc w:val="center"/>
                    <w:rPr>
                      <w:szCs w:val="21"/>
                    </w:rPr>
                  </w:pPr>
                  <w:r>
                    <w:rPr>
                      <w:rFonts w:hint="eastAsia"/>
                      <w:szCs w:val="21"/>
                    </w:rPr>
                    <w:t>47.2</w:t>
                  </w:r>
                </w:p>
              </w:tc>
              <w:tc>
                <w:tcPr>
                  <w:tcW w:w="1755" w:type="dxa"/>
                  <w:vAlign w:val="center"/>
                </w:tcPr>
                <w:p>
                  <w:pPr>
                    <w:spacing w:line="240" w:lineRule="atLeast"/>
                    <w:jc w:val="center"/>
                    <w:rPr>
                      <w:szCs w:val="21"/>
                    </w:rPr>
                  </w:pPr>
                  <w:r>
                    <w:rPr>
                      <w:rFonts w:hint="eastAsia"/>
                      <w:szCs w:val="21"/>
                    </w:rPr>
                    <w:t>44.2</w:t>
                  </w:r>
                </w:p>
              </w:tc>
              <w:tc>
                <w:tcPr>
                  <w:tcW w:w="1190" w:type="dxa"/>
                  <w:vMerge w:val="continue"/>
                  <w:vAlign w:val="center"/>
                </w:tcPr>
                <w:p>
                  <w:pPr>
                    <w:spacing w:line="240" w:lineRule="atLeast"/>
                    <w:jc w:val="center"/>
                    <w:rPr>
                      <w:szCs w:val="21"/>
                    </w:rPr>
                  </w:pPr>
                </w:p>
              </w:tc>
              <w:tc>
                <w:tcPr>
                  <w:tcW w:w="1192" w:type="dxa"/>
                  <w:vMerge w:val="continue"/>
                  <w:vAlign w:val="center"/>
                </w:tcPr>
                <w:p>
                  <w:pPr>
                    <w:spacing w:line="24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5" w:type="dxa"/>
                  <w:vMerge w:val="continue"/>
                  <w:vAlign w:val="center"/>
                </w:tcPr>
                <w:p>
                  <w:pPr>
                    <w:spacing w:line="240" w:lineRule="atLeast"/>
                    <w:jc w:val="center"/>
                    <w:rPr>
                      <w:szCs w:val="21"/>
                    </w:rPr>
                  </w:pPr>
                </w:p>
              </w:tc>
              <w:tc>
                <w:tcPr>
                  <w:tcW w:w="1766" w:type="dxa"/>
                  <w:vAlign w:val="center"/>
                </w:tcPr>
                <w:p>
                  <w:r>
                    <w:t>3#（</w:t>
                  </w:r>
                  <w:r>
                    <w:rPr>
                      <w:rFonts w:hint="eastAsia"/>
                    </w:rPr>
                    <w:t>项目地西南</w:t>
                  </w:r>
                  <w:r>
                    <w:t>）</w:t>
                  </w:r>
                </w:p>
              </w:tc>
              <w:tc>
                <w:tcPr>
                  <w:tcW w:w="1546" w:type="dxa"/>
                  <w:vAlign w:val="center"/>
                </w:tcPr>
                <w:p>
                  <w:pPr>
                    <w:spacing w:line="240" w:lineRule="atLeast"/>
                    <w:jc w:val="center"/>
                    <w:rPr>
                      <w:szCs w:val="21"/>
                    </w:rPr>
                  </w:pPr>
                  <w:r>
                    <w:rPr>
                      <w:rFonts w:hint="eastAsia"/>
                      <w:szCs w:val="21"/>
                    </w:rPr>
                    <w:t>47.6</w:t>
                  </w:r>
                </w:p>
              </w:tc>
              <w:tc>
                <w:tcPr>
                  <w:tcW w:w="1755" w:type="dxa"/>
                  <w:vAlign w:val="center"/>
                </w:tcPr>
                <w:p>
                  <w:pPr>
                    <w:spacing w:line="240" w:lineRule="atLeast"/>
                    <w:jc w:val="center"/>
                    <w:rPr>
                      <w:szCs w:val="21"/>
                    </w:rPr>
                  </w:pPr>
                  <w:r>
                    <w:rPr>
                      <w:rFonts w:hint="eastAsia"/>
                      <w:szCs w:val="21"/>
                    </w:rPr>
                    <w:t>43.8</w:t>
                  </w:r>
                </w:p>
              </w:tc>
              <w:tc>
                <w:tcPr>
                  <w:tcW w:w="1190" w:type="dxa"/>
                  <w:vMerge w:val="continue"/>
                  <w:vAlign w:val="center"/>
                </w:tcPr>
                <w:p>
                  <w:pPr>
                    <w:spacing w:line="240" w:lineRule="atLeast"/>
                    <w:jc w:val="center"/>
                    <w:rPr>
                      <w:szCs w:val="21"/>
                    </w:rPr>
                  </w:pPr>
                </w:p>
              </w:tc>
              <w:tc>
                <w:tcPr>
                  <w:tcW w:w="1192" w:type="dxa"/>
                  <w:vMerge w:val="continue"/>
                  <w:vAlign w:val="center"/>
                </w:tcPr>
                <w:p>
                  <w:pPr>
                    <w:spacing w:line="24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5" w:type="dxa"/>
                  <w:vMerge w:val="continue"/>
                  <w:vAlign w:val="center"/>
                </w:tcPr>
                <w:p>
                  <w:pPr>
                    <w:spacing w:line="240" w:lineRule="atLeast"/>
                    <w:jc w:val="center"/>
                    <w:rPr>
                      <w:szCs w:val="21"/>
                    </w:rPr>
                  </w:pPr>
                </w:p>
              </w:tc>
              <w:tc>
                <w:tcPr>
                  <w:tcW w:w="1766" w:type="dxa"/>
                  <w:vAlign w:val="center"/>
                </w:tcPr>
                <w:p>
                  <w:r>
                    <w:t>4#（</w:t>
                  </w:r>
                  <w:r>
                    <w:rPr>
                      <w:rFonts w:hint="eastAsia"/>
                    </w:rPr>
                    <w:t>项目地东南</w:t>
                  </w:r>
                  <w:r>
                    <w:t>）</w:t>
                  </w:r>
                </w:p>
              </w:tc>
              <w:tc>
                <w:tcPr>
                  <w:tcW w:w="1546" w:type="dxa"/>
                  <w:vAlign w:val="center"/>
                </w:tcPr>
                <w:p>
                  <w:pPr>
                    <w:spacing w:line="240" w:lineRule="atLeast"/>
                    <w:jc w:val="center"/>
                    <w:rPr>
                      <w:szCs w:val="21"/>
                    </w:rPr>
                  </w:pPr>
                  <w:r>
                    <w:rPr>
                      <w:rFonts w:hint="eastAsia"/>
                      <w:szCs w:val="21"/>
                    </w:rPr>
                    <w:t>48.3</w:t>
                  </w:r>
                </w:p>
              </w:tc>
              <w:tc>
                <w:tcPr>
                  <w:tcW w:w="1755" w:type="dxa"/>
                  <w:vAlign w:val="center"/>
                </w:tcPr>
                <w:p>
                  <w:pPr>
                    <w:spacing w:line="240" w:lineRule="atLeast"/>
                    <w:jc w:val="center"/>
                    <w:rPr>
                      <w:szCs w:val="21"/>
                    </w:rPr>
                  </w:pPr>
                  <w:r>
                    <w:rPr>
                      <w:rFonts w:hint="eastAsia"/>
                      <w:szCs w:val="21"/>
                    </w:rPr>
                    <w:t>44.1</w:t>
                  </w:r>
                </w:p>
              </w:tc>
              <w:tc>
                <w:tcPr>
                  <w:tcW w:w="1190" w:type="dxa"/>
                  <w:vMerge w:val="continue"/>
                  <w:vAlign w:val="center"/>
                </w:tcPr>
                <w:p>
                  <w:pPr>
                    <w:spacing w:line="240" w:lineRule="atLeast"/>
                    <w:jc w:val="center"/>
                    <w:rPr>
                      <w:szCs w:val="21"/>
                    </w:rPr>
                  </w:pPr>
                </w:p>
              </w:tc>
              <w:tc>
                <w:tcPr>
                  <w:tcW w:w="1192" w:type="dxa"/>
                  <w:vMerge w:val="continue"/>
                  <w:vAlign w:val="center"/>
                </w:tcPr>
                <w:p>
                  <w:pPr>
                    <w:spacing w:line="24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5" w:type="dxa"/>
                  <w:vAlign w:val="center"/>
                </w:tcPr>
                <w:p>
                  <w:pPr>
                    <w:spacing w:line="240" w:lineRule="atLeast"/>
                    <w:jc w:val="center"/>
                    <w:rPr>
                      <w:color w:val="FF0000"/>
                      <w:szCs w:val="21"/>
                    </w:rPr>
                  </w:pPr>
                  <w:r>
                    <w:rPr>
                      <w:rFonts w:hint="eastAsia"/>
                      <w:color w:val="FF0000"/>
                      <w:szCs w:val="21"/>
                    </w:rPr>
                    <w:t>7月19日</w:t>
                  </w:r>
                </w:p>
              </w:tc>
              <w:tc>
                <w:tcPr>
                  <w:tcW w:w="1766" w:type="dxa"/>
                  <w:vAlign w:val="center"/>
                </w:tcPr>
                <w:p>
                  <w:pPr>
                    <w:rPr>
                      <w:color w:val="FF0000"/>
                    </w:rPr>
                  </w:pPr>
                  <w:r>
                    <w:rPr>
                      <w:rFonts w:hint="eastAsia"/>
                      <w:color w:val="FF0000"/>
                    </w:rPr>
                    <w:t>蚕姑沟村</w:t>
                  </w:r>
                </w:p>
              </w:tc>
              <w:tc>
                <w:tcPr>
                  <w:tcW w:w="1546" w:type="dxa"/>
                  <w:vAlign w:val="center"/>
                </w:tcPr>
                <w:p>
                  <w:pPr>
                    <w:spacing w:line="240" w:lineRule="atLeast"/>
                    <w:jc w:val="center"/>
                    <w:rPr>
                      <w:color w:val="FF0000"/>
                      <w:szCs w:val="21"/>
                    </w:rPr>
                  </w:pPr>
                  <w:r>
                    <w:rPr>
                      <w:rFonts w:hint="eastAsia"/>
                      <w:color w:val="FF0000"/>
                      <w:szCs w:val="21"/>
                    </w:rPr>
                    <w:t>54.4</w:t>
                  </w:r>
                </w:p>
              </w:tc>
              <w:tc>
                <w:tcPr>
                  <w:tcW w:w="1755" w:type="dxa"/>
                  <w:vAlign w:val="center"/>
                </w:tcPr>
                <w:p>
                  <w:pPr>
                    <w:spacing w:line="240" w:lineRule="atLeast"/>
                    <w:jc w:val="center"/>
                    <w:rPr>
                      <w:color w:val="FF0000"/>
                      <w:szCs w:val="21"/>
                    </w:rPr>
                  </w:pPr>
                  <w:r>
                    <w:rPr>
                      <w:rFonts w:hint="eastAsia"/>
                      <w:color w:val="FF0000"/>
                      <w:szCs w:val="21"/>
                    </w:rPr>
                    <w:t>47.4</w:t>
                  </w:r>
                </w:p>
              </w:tc>
              <w:tc>
                <w:tcPr>
                  <w:tcW w:w="1190" w:type="dxa"/>
                  <w:vMerge w:val="continue"/>
                  <w:vAlign w:val="center"/>
                </w:tcPr>
                <w:p>
                  <w:pPr>
                    <w:spacing w:line="240" w:lineRule="atLeast"/>
                    <w:jc w:val="center"/>
                    <w:rPr>
                      <w:szCs w:val="21"/>
                    </w:rPr>
                  </w:pPr>
                </w:p>
              </w:tc>
              <w:tc>
                <w:tcPr>
                  <w:tcW w:w="1192" w:type="dxa"/>
                  <w:vMerge w:val="continue"/>
                  <w:vAlign w:val="center"/>
                </w:tcPr>
                <w:p>
                  <w:pPr>
                    <w:spacing w:line="240" w:lineRule="atLeas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5" w:type="dxa"/>
                  <w:vAlign w:val="center"/>
                </w:tcPr>
                <w:p>
                  <w:pPr>
                    <w:spacing w:line="240" w:lineRule="atLeast"/>
                    <w:jc w:val="center"/>
                    <w:rPr>
                      <w:color w:val="FF0000"/>
                      <w:szCs w:val="21"/>
                    </w:rPr>
                  </w:pPr>
                  <w:r>
                    <w:rPr>
                      <w:rFonts w:hint="eastAsia"/>
                      <w:color w:val="FF0000"/>
                      <w:szCs w:val="21"/>
                    </w:rPr>
                    <w:t>7月20日</w:t>
                  </w:r>
                </w:p>
              </w:tc>
              <w:tc>
                <w:tcPr>
                  <w:tcW w:w="1766" w:type="dxa"/>
                  <w:vAlign w:val="center"/>
                </w:tcPr>
                <w:p>
                  <w:pPr>
                    <w:rPr>
                      <w:color w:val="FF0000"/>
                    </w:rPr>
                  </w:pPr>
                  <w:r>
                    <w:rPr>
                      <w:rFonts w:hint="eastAsia"/>
                      <w:color w:val="FF0000"/>
                    </w:rPr>
                    <w:t>蚕姑沟村</w:t>
                  </w:r>
                </w:p>
              </w:tc>
              <w:tc>
                <w:tcPr>
                  <w:tcW w:w="1546" w:type="dxa"/>
                  <w:vAlign w:val="center"/>
                </w:tcPr>
                <w:p>
                  <w:pPr>
                    <w:spacing w:line="240" w:lineRule="atLeast"/>
                    <w:jc w:val="center"/>
                    <w:rPr>
                      <w:color w:val="FF0000"/>
                      <w:szCs w:val="21"/>
                    </w:rPr>
                  </w:pPr>
                  <w:r>
                    <w:rPr>
                      <w:rFonts w:hint="eastAsia"/>
                      <w:color w:val="FF0000"/>
                      <w:szCs w:val="21"/>
                    </w:rPr>
                    <w:t>56.7</w:t>
                  </w:r>
                </w:p>
              </w:tc>
              <w:tc>
                <w:tcPr>
                  <w:tcW w:w="1755" w:type="dxa"/>
                  <w:vAlign w:val="center"/>
                </w:tcPr>
                <w:p>
                  <w:pPr>
                    <w:spacing w:line="240" w:lineRule="atLeast"/>
                    <w:jc w:val="center"/>
                    <w:rPr>
                      <w:color w:val="FF0000"/>
                      <w:szCs w:val="21"/>
                    </w:rPr>
                  </w:pPr>
                  <w:r>
                    <w:rPr>
                      <w:rFonts w:hint="eastAsia"/>
                      <w:color w:val="FF0000"/>
                      <w:szCs w:val="21"/>
                    </w:rPr>
                    <w:t>48.8</w:t>
                  </w:r>
                </w:p>
              </w:tc>
              <w:tc>
                <w:tcPr>
                  <w:tcW w:w="1190" w:type="dxa"/>
                  <w:vMerge w:val="continue"/>
                  <w:vAlign w:val="center"/>
                </w:tcPr>
                <w:p>
                  <w:pPr>
                    <w:spacing w:line="240" w:lineRule="atLeast"/>
                    <w:jc w:val="center"/>
                    <w:rPr>
                      <w:szCs w:val="21"/>
                    </w:rPr>
                  </w:pPr>
                </w:p>
              </w:tc>
              <w:tc>
                <w:tcPr>
                  <w:tcW w:w="1192" w:type="dxa"/>
                  <w:vMerge w:val="continue"/>
                  <w:vAlign w:val="center"/>
                </w:tcPr>
                <w:p>
                  <w:pPr>
                    <w:spacing w:line="240" w:lineRule="atLeast"/>
                    <w:jc w:val="center"/>
                    <w:rPr>
                      <w:szCs w:val="21"/>
                    </w:rPr>
                  </w:pPr>
                </w:p>
              </w:tc>
            </w:tr>
          </w:tbl>
          <w:p>
            <w:pPr>
              <w:spacing w:line="360" w:lineRule="auto"/>
              <w:ind w:firstLine="480" w:firstLineChars="200"/>
              <w:rPr>
                <w:sz w:val="24"/>
              </w:rPr>
            </w:pPr>
            <w:r>
              <w:rPr>
                <w:sz w:val="24"/>
              </w:rPr>
              <w:t>由上表可知，</w:t>
            </w:r>
            <w:bookmarkStart w:id="0" w:name="_Hlk536557210"/>
            <w:r>
              <w:rPr>
                <w:sz w:val="24"/>
              </w:rPr>
              <w:t>厂界四周</w:t>
            </w:r>
            <w:r>
              <w:rPr>
                <w:rFonts w:hint="eastAsia"/>
                <w:sz w:val="24"/>
              </w:rPr>
              <w:t>及敏感点</w:t>
            </w:r>
            <w:r>
              <w:rPr>
                <w:rFonts w:hint="eastAsia" w:hAnsi="宋体"/>
                <w:sz w:val="24"/>
              </w:rPr>
              <w:t>蚕姑沟村</w:t>
            </w:r>
            <w:r>
              <w:rPr>
                <w:sz w:val="24"/>
              </w:rPr>
              <w:t>声环境质量可以满足</w:t>
            </w:r>
            <w:bookmarkStart w:id="1" w:name="OLE_LINK10"/>
            <w:r>
              <w:rPr>
                <w:sz w:val="24"/>
              </w:rPr>
              <w:t>《声环境质量标准》（GB3096-2008）中2类标准</w:t>
            </w:r>
            <w:bookmarkEnd w:id="1"/>
            <w:r>
              <w:rPr>
                <w:sz w:val="24"/>
              </w:rPr>
              <w:t>，表明项目所在区域声环境质量良好。</w:t>
            </w:r>
            <w:bookmarkEnd w:id="0"/>
          </w:p>
          <w:p>
            <w:pPr>
              <w:spacing w:line="360" w:lineRule="auto"/>
              <w:ind w:firstLine="482" w:firstLineChars="200"/>
              <w:rPr>
                <w:b/>
                <w:sz w:val="24"/>
              </w:rPr>
            </w:pPr>
            <w:r>
              <w:rPr>
                <w:rFonts w:hint="eastAsia"/>
                <w:b/>
                <w:sz w:val="24"/>
              </w:rPr>
              <w:t>三、土壤环境现状</w:t>
            </w:r>
          </w:p>
          <w:p>
            <w:pPr>
              <w:spacing w:line="360" w:lineRule="auto"/>
              <w:ind w:firstLine="480" w:firstLineChars="200"/>
              <w:rPr>
                <w:sz w:val="24"/>
              </w:rPr>
            </w:pPr>
            <w:r>
              <w:rPr>
                <w:rFonts w:hint="eastAsia"/>
                <w:sz w:val="24"/>
              </w:rPr>
              <w:t>2019年9月3日，西安圆方环境卫生监测技术有限公司对项目区域土壤环境现状进行监测，监测结果见下表。</w:t>
            </w:r>
          </w:p>
          <w:p>
            <w:pPr>
              <w:tabs>
                <w:tab w:val="left" w:pos="9345"/>
              </w:tabs>
              <w:spacing w:line="440" w:lineRule="exact"/>
              <w:ind w:right="66"/>
              <w:jc w:val="center"/>
              <w:rPr>
                <w:b/>
                <w:bCs/>
                <w:kern w:val="0"/>
                <w:sz w:val="24"/>
              </w:rPr>
            </w:pPr>
            <w:r>
              <w:rPr>
                <w:b/>
                <w:bCs/>
                <w:kern w:val="0"/>
                <w:sz w:val="24"/>
              </w:rPr>
              <w:t>表</w:t>
            </w:r>
            <w:r>
              <w:rPr>
                <w:rFonts w:hint="eastAsia"/>
                <w:b/>
                <w:bCs/>
                <w:kern w:val="0"/>
                <w:sz w:val="24"/>
              </w:rPr>
              <w:t xml:space="preserve">18 </w:t>
            </w:r>
            <w:r>
              <w:rPr>
                <w:b/>
                <w:bCs/>
                <w:kern w:val="0"/>
                <w:sz w:val="24"/>
              </w:rPr>
              <w:t xml:space="preserve"> </w:t>
            </w:r>
            <w:r>
              <w:rPr>
                <w:rFonts w:hint="eastAsia"/>
                <w:b/>
                <w:bCs/>
                <w:kern w:val="0"/>
                <w:sz w:val="24"/>
              </w:rPr>
              <w:t>土壤环境</w:t>
            </w:r>
            <w:r>
              <w:rPr>
                <w:b/>
                <w:bCs/>
                <w:kern w:val="0"/>
                <w:sz w:val="24"/>
              </w:rPr>
              <w:t>质量现状</w:t>
            </w:r>
            <w:r>
              <w:rPr>
                <w:rFonts w:hint="eastAsia"/>
                <w:b/>
                <w:bCs/>
                <w:kern w:val="0"/>
                <w:sz w:val="24"/>
              </w:rPr>
              <w:t>监测结果</w:t>
            </w:r>
            <w:r>
              <w:rPr>
                <w:b/>
                <w:bCs/>
                <w:kern w:val="0"/>
                <w:sz w:val="24"/>
              </w:rPr>
              <w:t xml:space="preserve">表 </w:t>
            </w:r>
          </w:p>
          <w:tbl>
            <w:tblPr>
              <w:tblStyle w:val="24"/>
              <w:tblW w:w="4994"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53"/>
              <w:gridCol w:w="2126"/>
              <w:gridCol w:w="1701"/>
              <w:gridCol w:w="1844"/>
              <w:gridCol w:w="15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Merge w:val="restart"/>
                  <w:vAlign w:val="center"/>
                </w:tcPr>
                <w:p>
                  <w:pPr>
                    <w:spacing w:line="320" w:lineRule="exact"/>
                    <w:jc w:val="center"/>
                    <w:rPr>
                      <w:b/>
                      <w:szCs w:val="21"/>
                    </w:rPr>
                  </w:pPr>
                  <w:r>
                    <w:rPr>
                      <w:rFonts w:hint="eastAsia"/>
                      <w:b/>
                      <w:szCs w:val="21"/>
                    </w:rPr>
                    <w:t>序号</w:t>
                  </w:r>
                </w:p>
              </w:tc>
              <w:tc>
                <w:tcPr>
                  <w:tcW w:w="1690" w:type="pct"/>
                  <w:gridSpan w:val="2"/>
                  <w:vMerge w:val="restart"/>
                  <w:vAlign w:val="center"/>
                </w:tcPr>
                <w:p>
                  <w:pPr>
                    <w:pStyle w:val="104"/>
                    <w:jc w:val="center"/>
                    <w:rPr>
                      <w:rFonts w:ascii="Times New Roman" w:cs="Times New Roman"/>
                      <w:color w:val="auto"/>
                      <w:sz w:val="21"/>
                      <w:szCs w:val="21"/>
                    </w:rPr>
                  </w:pPr>
                  <w:r>
                    <w:rPr>
                      <w:rFonts w:hint="eastAsia" w:ascii="Times New Roman" w:cs="Times New Roman"/>
                      <w:color w:val="auto"/>
                      <w:sz w:val="21"/>
                      <w:szCs w:val="21"/>
                    </w:rPr>
                    <w:t>项目</w:t>
                  </w:r>
                </w:p>
              </w:tc>
              <w:tc>
                <w:tcPr>
                  <w:tcW w:w="2912" w:type="pct"/>
                  <w:gridSpan w:val="3"/>
                  <w:vAlign w:val="center"/>
                </w:tcPr>
                <w:p>
                  <w:pPr>
                    <w:spacing w:line="320" w:lineRule="exact"/>
                    <w:jc w:val="center"/>
                    <w:rPr>
                      <w:b/>
                      <w:szCs w:val="21"/>
                    </w:rPr>
                  </w:pPr>
                  <w:r>
                    <w:rPr>
                      <w:rFonts w:hint="eastAsia"/>
                      <w:b/>
                      <w:szCs w:val="21"/>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Merge w:val="continue"/>
                  <w:vAlign w:val="center"/>
                </w:tcPr>
                <w:p>
                  <w:pPr>
                    <w:spacing w:line="320" w:lineRule="exact"/>
                    <w:jc w:val="center"/>
                    <w:rPr>
                      <w:szCs w:val="21"/>
                    </w:rPr>
                  </w:pPr>
                </w:p>
              </w:tc>
              <w:tc>
                <w:tcPr>
                  <w:tcW w:w="1690" w:type="pct"/>
                  <w:gridSpan w:val="2"/>
                  <w:vMerge w:val="continue"/>
                  <w:vAlign w:val="center"/>
                </w:tcPr>
                <w:p>
                  <w:pPr>
                    <w:adjustRightInd w:val="0"/>
                    <w:snapToGrid w:val="0"/>
                    <w:jc w:val="center"/>
                    <w:rPr>
                      <w:kern w:val="0"/>
                      <w:szCs w:val="21"/>
                    </w:rPr>
                  </w:pPr>
                </w:p>
              </w:tc>
              <w:tc>
                <w:tcPr>
                  <w:tcW w:w="965" w:type="pct"/>
                  <w:vAlign w:val="center"/>
                </w:tcPr>
                <w:p>
                  <w:pPr>
                    <w:adjustRightInd w:val="0"/>
                    <w:snapToGrid w:val="0"/>
                    <w:jc w:val="center"/>
                    <w:rPr>
                      <w:kern w:val="0"/>
                      <w:szCs w:val="21"/>
                    </w:rPr>
                  </w:pPr>
                  <w:r>
                    <w:rPr>
                      <w:rFonts w:hint="eastAsia"/>
                      <w:kern w:val="0"/>
                      <w:szCs w:val="21"/>
                    </w:rPr>
                    <w:t>1#</w:t>
                  </w:r>
                </w:p>
              </w:tc>
              <w:tc>
                <w:tcPr>
                  <w:tcW w:w="1046" w:type="pct"/>
                  <w:vAlign w:val="center"/>
                </w:tcPr>
                <w:p>
                  <w:pPr>
                    <w:jc w:val="center"/>
                    <w:rPr>
                      <w:szCs w:val="21"/>
                    </w:rPr>
                  </w:pPr>
                  <w:r>
                    <w:rPr>
                      <w:rFonts w:hint="eastAsia"/>
                      <w:szCs w:val="21"/>
                    </w:rPr>
                    <w:t>2#</w:t>
                  </w:r>
                </w:p>
              </w:tc>
              <w:tc>
                <w:tcPr>
                  <w:tcW w:w="901" w:type="pct"/>
                  <w:vAlign w:val="center"/>
                </w:tcPr>
                <w:p>
                  <w:pPr>
                    <w:spacing w:line="320" w:lineRule="exact"/>
                    <w:jc w:val="center"/>
                    <w:rPr>
                      <w:szCs w:val="21"/>
                    </w:rPr>
                  </w:pPr>
                  <w:r>
                    <w:rPr>
                      <w:rFonts w:hint="eastAsia"/>
                      <w:szCs w:val="21"/>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Merge w:val="continue"/>
                  <w:vAlign w:val="center"/>
                </w:tcPr>
                <w:p>
                  <w:pPr>
                    <w:spacing w:line="320" w:lineRule="exact"/>
                    <w:jc w:val="center"/>
                    <w:rPr>
                      <w:szCs w:val="21"/>
                    </w:rPr>
                  </w:pPr>
                </w:p>
              </w:tc>
              <w:tc>
                <w:tcPr>
                  <w:tcW w:w="1690" w:type="pct"/>
                  <w:gridSpan w:val="2"/>
                  <w:vMerge w:val="continue"/>
                  <w:vAlign w:val="center"/>
                </w:tcPr>
                <w:p>
                  <w:pPr>
                    <w:adjustRightInd w:val="0"/>
                    <w:snapToGrid w:val="0"/>
                    <w:jc w:val="center"/>
                    <w:rPr>
                      <w:kern w:val="0"/>
                      <w:szCs w:val="21"/>
                    </w:rPr>
                  </w:pPr>
                </w:p>
              </w:tc>
              <w:tc>
                <w:tcPr>
                  <w:tcW w:w="965" w:type="pct"/>
                  <w:vAlign w:val="center"/>
                </w:tcPr>
                <w:p>
                  <w:pPr>
                    <w:adjustRightInd w:val="0"/>
                    <w:snapToGrid w:val="0"/>
                    <w:jc w:val="center"/>
                    <w:rPr>
                      <w:kern w:val="0"/>
                      <w:szCs w:val="21"/>
                    </w:rPr>
                  </w:pPr>
                  <w:r>
                    <w:rPr>
                      <w:rFonts w:hint="eastAsia"/>
                      <w:kern w:val="0"/>
                      <w:szCs w:val="21"/>
                    </w:rPr>
                    <w:t>0~0.2m</w:t>
                  </w:r>
                </w:p>
              </w:tc>
              <w:tc>
                <w:tcPr>
                  <w:tcW w:w="1046" w:type="pct"/>
                  <w:vAlign w:val="center"/>
                </w:tcPr>
                <w:p>
                  <w:pPr>
                    <w:jc w:val="center"/>
                    <w:rPr>
                      <w:szCs w:val="21"/>
                    </w:rPr>
                  </w:pPr>
                  <w:r>
                    <w:rPr>
                      <w:rFonts w:hint="eastAsia"/>
                      <w:kern w:val="0"/>
                      <w:szCs w:val="21"/>
                    </w:rPr>
                    <w:t>0~0.2m</w:t>
                  </w:r>
                </w:p>
              </w:tc>
              <w:tc>
                <w:tcPr>
                  <w:tcW w:w="901" w:type="pct"/>
                  <w:vAlign w:val="center"/>
                </w:tcPr>
                <w:p>
                  <w:pPr>
                    <w:spacing w:line="320" w:lineRule="exact"/>
                    <w:jc w:val="center"/>
                    <w:rPr>
                      <w:szCs w:val="21"/>
                    </w:rPr>
                  </w:pPr>
                  <w:r>
                    <w:rPr>
                      <w:rFonts w:hint="eastAsia"/>
                      <w:kern w:val="0"/>
                      <w:szCs w:val="21"/>
                    </w:rPr>
                    <w:t>0~0.2m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1</w:t>
                  </w:r>
                </w:p>
              </w:tc>
              <w:tc>
                <w:tcPr>
                  <w:tcW w:w="484" w:type="pct"/>
                  <w:vMerge w:val="restart"/>
                  <w:vAlign w:val="center"/>
                </w:tcPr>
                <w:p>
                  <w:pPr>
                    <w:spacing w:line="240" w:lineRule="exact"/>
                    <w:jc w:val="center"/>
                    <w:rPr>
                      <w:szCs w:val="21"/>
                    </w:rPr>
                  </w:pPr>
                  <w:r>
                    <w:rPr>
                      <w:rFonts w:hint="eastAsia"/>
                    </w:rPr>
                    <w:t>重金属和无机物</w:t>
                  </w:r>
                </w:p>
              </w:tc>
              <w:tc>
                <w:tcPr>
                  <w:tcW w:w="1206" w:type="pct"/>
                  <w:vAlign w:val="center"/>
                </w:tcPr>
                <w:p>
                  <w:pPr>
                    <w:adjustRightInd w:val="0"/>
                    <w:snapToGrid w:val="0"/>
                    <w:jc w:val="center"/>
                    <w:rPr>
                      <w:kern w:val="0"/>
                      <w:szCs w:val="21"/>
                    </w:rPr>
                  </w:pPr>
                  <w:r>
                    <w:rPr>
                      <w:rFonts w:hint="eastAsia"/>
                      <w:kern w:val="0"/>
                      <w:szCs w:val="21"/>
                    </w:rPr>
                    <w:t>pH值（无量纲）</w:t>
                  </w:r>
                </w:p>
              </w:tc>
              <w:tc>
                <w:tcPr>
                  <w:tcW w:w="965" w:type="pct"/>
                  <w:vAlign w:val="center"/>
                </w:tcPr>
                <w:p>
                  <w:pPr>
                    <w:adjustRightInd w:val="0"/>
                    <w:snapToGrid w:val="0"/>
                    <w:jc w:val="center"/>
                    <w:rPr>
                      <w:kern w:val="0"/>
                      <w:szCs w:val="21"/>
                    </w:rPr>
                  </w:pPr>
                  <w:r>
                    <w:rPr>
                      <w:rFonts w:hint="eastAsia"/>
                      <w:kern w:val="0"/>
                      <w:szCs w:val="21"/>
                    </w:rPr>
                    <w:t>9.56</w:t>
                  </w:r>
                </w:p>
              </w:tc>
              <w:tc>
                <w:tcPr>
                  <w:tcW w:w="1046" w:type="pct"/>
                  <w:vAlign w:val="center"/>
                </w:tcPr>
                <w:p>
                  <w:pPr>
                    <w:jc w:val="center"/>
                    <w:rPr>
                      <w:szCs w:val="21"/>
                    </w:rPr>
                  </w:pPr>
                  <w:r>
                    <w:rPr>
                      <w:rFonts w:hint="eastAsia"/>
                      <w:szCs w:val="21"/>
                    </w:rPr>
                    <w:t>9.50</w:t>
                  </w:r>
                </w:p>
              </w:tc>
              <w:tc>
                <w:tcPr>
                  <w:tcW w:w="901" w:type="pct"/>
                  <w:vAlign w:val="center"/>
                </w:tcPr>
                <w:p>
                  <w:pPr>
                    <w:spacing w:line="320" w:lineRule="exact"/>
                    <w:jc w:val="center"/>
                    <w:rPr>
                      <w:szCs w:val="21"/>
                    </w:rPr>
                  </w:pPr>
                  <w:r>
                    <w:rPr>
                      <w:rFonts w:hint="eastAsia"/>
                      <w:szCs w:val="21"/>
                    </w:rPr>
                    <w:t>9.35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2</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kern w:val="0"/>
                      <w:szCs w:val="21"/>
                    </w:rPr>
                    <w:t>镉</w:t>
                  </w:r>
                </w:p>
              </w:tc>
              <w:tc>
                <w:tcPr>
                  <w:tcW w:w="965" w:type="pct"/>
                  <w:vAlign w:val="center"/>
                </w:tcPr>
                <w:p>
                  <w:pPr>
                    <w:adjustRightInd w:val="0"/>
                    <w:snapToGrid w:val="0"/>
                    <w:jc w:val="center"/>
                    <w:rPr>
                      <w:kern w:val="0"/>
                      <w:szCs w:val="21"/>
                    </w:rPr>
                  </w:pPr>
                  <w:r>
                    <w:rPr>
                      <w:rFonts w:hint="eastAsia"/>
                      <w:kern w:val="0"/>
                      <w:szCs w:val="21"/>
                    </w:rPr>
                    <w:t>0.092</w:t>
                  </w:r>
                </w:p>
              </w:tc>
              <w:tc>
                <w:tcPr>
                  <w:tcW w:w="1046" w:type="pct"/>
                  <w:vAlign w:val="center"/>
                </w:tcPr>
                <w:p>
                  <w:pPr>
                    <w:jc w:val="center"/>
                    <w:rPr>
                      <w:szCs w:val="21"/>
                    </w:rPr>
                  </w:pPr>
                  <w:r>
                    <w:rPr>
                      <w:rFonts w:hint="eastAsia"/>
                      <w:szCs w:val="21"/>
                    </w:rPr>
                    <w:t>0.108</w:t>
                  </w:r>
                </w:p>
              </w:tc>
              <w:tc>
                <w:tcPr>
                  <w:tcW w:w="901" w:type="pct"/>
                  <w:vAlign w:val="center"/>
                </w:tcPr>
                <w:p>
                  <w:pPr>
                    <w:spacing w:line="320" w:lineRule="exact"/>
                    <w:jc w:val="center"/>
                    <w:rPr>
                      <w:szCs w:val="21"/>
                    </w:rPr>
                  </w:pPr>
                  <w:r>
                    <w:rPr>
                      <w:rFonts w:hint="eastAsia"/>
                      <w:szCs w:val="21"/>
                    </w:rPr>
                    <w:t>0.099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3</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kern w:val="0"/>
                      <w:szCs w:val="21"/>
                    </w:rPr>
                    <w:t>铅</w:t>
                  </w:r>
                </w:p>
              </w:tc>
              <w:tc>
                <w:tcPr>
                  <w:tcW w:w="965" w:type="pct"/>
                  <w:vAlign w:val="center"/>
                </w:tcPr>
                <w:p>
                  <w:pPr>
                    <w:adjustRightInd w:val="0"/>
                    <w:snapToGrid w:val="0"/>
                    <w:jc w:val="center"/>
                    <w:rPr>
                      <w:kern w:val="0"/>
                      <w:szCs w:val="21"/>
                    </w:rPr>
                  </w:pPr>
                  <w:r>
                    <w:rPr>
                      <w:rFonts w:hint="eastAsia"/>
                      <w:kern w:val="0"/>
                      <w:szCs w:val="21"/>
                    </w:rPr>
                    <w:t>29.7</w:t>
                  </w:r>
                </w:p>
              </w:tc>
              <w:tc>
                <w:tcPr>
                  <w:tcW w:w="1046" w:type="pct"/>
                  <w:vAlign w:val="center"/>
                </w:tcPr>
                <w:p>
                  <w:pPr>
                    <w:jc w:val="center"/>
                    <w:rPr>
                      <w:szCs w:val="21"/>
                    </w:rPr>
                  </w:pPr>
                  <w:r>
                    <w:rPr>
                      <w:rFonts w:hint="eastAsia"/>
                      <w:szCs w:val="21"/>
                    </w:rPr>
                    <w:t>24.5</w:t>
                  </w:r>
                </w:p>
              </w:tc>
              <w:tc>
                <w:tcPr>
                  <w:tcW w:w="901" w:type="pct"/>
                  <w:vAlign w:val="center"/>
                </w:tcPr>
                <w:p>
                  <w:pPr>
                    <w:spacing w:line="320" w:lineRule="exact"/>
                    <w:jc w:val="center"/>
                    <w:rPr>
                      <w:szCs w:val="21"/>
                    </w:rPr>
                  </w:pPr>
                  <w:r>
                    <w:rPr>
                      <w:rFonts w:hint="eastAsia"/>
                      <w:szCs w:val="21"/>
                    </w:rPr>
                    <w:t>37.4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4</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kern w:val="0"/>
                      <w:szCs w:val="21"/>
                    </w:rPr>
                    <w:t>铜</w:t>
                  </w:r>
                </w:p>
              </w:tc>
              <w:tc>
                <w:tcPr>
                  <w:tcW w:w="965" w:type="pct"/>
                  <w:vAlign w:val="center"/>
                </w:tcPr>
                <w:p>
                  <w:pPr>
                    <w:adjustRightInd w:val="0"/>
                    <w:snapToGrid w:val="0"/>
                    <w:jc w:val="center"/>
                    <w:rPr>
                      <w:kern w:val="0"/>
                      <w:szCs w:val="21"/>
                    </w:rPr>
                  </w:pPr>
                  <w:r>
                    <w:rPr>
                      <w:rFonts w:hint="eastAsia"/>
                      <w:kern w:val="0"/>
                      <w:szCs w:val="21"/>
                    </w:rPr>
                    <w:t>25.8</w:t>
                  </w:r>
                </w:p>
              </w:tc>
              <w:tc>
                <w:tcPr>
                  <w:tcW w:w="1046" w:type="pct"/>
                  <w:vAlign w:val="center"/>
                </w:tcPr>
                <w:p>
                  <w:pPr>
                    <w:jc w:val="center"/>
                    <w:rPr>
                      <w:szCs w:val="21"/>
                    </w:rPr>
                  </w:pPr>
                  <w:r>
                    <w:rPr>
                      <w:rFonts w:hint="eastAsia"/>
                      <w:szCs w:val="21"/>
                    </w:rPr>
                    <w:t>25.1</w:t>
                  </w:r>
                </w:p>
              </w:tc>
              <w:tc>
                <w:tcPr>
                  <w:tcW w:w="901" w:type="pct"/>
                  <w:vAlign w:val="center"/>
                </w:tcPr>
                <w:p>
                  <w:pPr>
                    <w:spacing w:line="320" w:lineRule="exact"/>
                    <w:jc w:val="center"/>
                    <w:rPr>
                      <w:szCs w:val="21"/>
                    </w:rPr>
                  </w:pPr>
                  <w:r>
                    <w:rPr>
                      <w:rFonts w:hint="eastAsia"/>
                      <w:szCs w:val="21"/>
                    </w:rPr>
                    <w:t>24.8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5</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kern w:val="0"/>
                      <w:szCs w:val="21"/>
                    </w:rPr>
                    <w:t>镍</w:t>
                  </w:r>
                </w:p>
              </w:tc>
              <w:tc>
                <w:tcPr>
                  <w:tcW w:w="965" w:type="pct"/>
                  <w:vAlign w:val="center"/>
                </w:tcPr>
                <w:p>
                  <w:pPr>
                    <w:adjustRightInd w:val="0"/>
                    <w:snapToGrid w:val="0"/>
                    <w:jc w:val="center"/>
                    <w:rPr>
                      <w:kern w:val="0"/>
                      <w:szCs w:val="21"/>
                    </w:rPr>
                  </w:pPr>
                  <w:r>
                    <w:rPr>
                      <w:rFonts w:hint="eastAsia"/>
                      <w:kern w:val="0"/>
                      <w:szCs w:val="21"/>
                    </w:rPr>
                    <w:t>41.4</w:t>
                  </w:r>
                </w:p>
              </w:tc>
              <w:tc>
                <w:tcPr>
                  <w:tcW w:w="1046" w:type="pct"/>
                  <w:vAlign w:val="center"/>
                </w:tcPr>
                <w:p>
                  <w:pPr>
                    <w:jc w:val="center"/>
                    <w:rPr>
                      <w:szCs w:val="21"/>
                    </w:rPr>
                  </w:pPr>
                  <w:r>
                    <w:rPr>
                      <w:rFonts w:hint="eastAsia"/>
                      <w:szCs w:val="21"/>
                    </w:rPr>
                    <w:t>38.3</w:t>
                  </w:r>
                </w:p>
              </w:tc>
              <w:tc>
                <w:tcPr>
                  <w:tcW w:w="901" w:type="pct"/>
                  <w:vAlign w:val="center"/>
                </w:tcPr>
                <w:p>
                  <w:pPr>
                    <w:spacing w:line="320" w:lineRule="exact"/>
                    <w:jc w:val="center"/>
                    <w:rPr>
                      <w:szCs w:val="21"/>
                    </w:rPr>
                  </w:pPr>
                  <w:r>
                    <w:rPr>
                      <w:rFonts w:hint="eastAsia"/>
                      <w:szCs w:val="21"/>
                    </w:rPr>
                    <w:t>35.1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6</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kern w:val="0"/>
                      <w:szCs w:val="21"/>
                    </w:rPr>
                    <w:t>汞</w:t>
                  </w:r>
                </w:p>
              </w:tc>
              <w:tc>
                <w:tcPr>
                  <w:tcW w:w="965" w:type="pct"/>
                  <w:vAlign w:val="center"/>
                </w:tcPr>
                <w:p>
                  <w:pPr>
                    <w:adjustRightInd w:val="0"/>
                    <w:snapToGrid w:val="0"/>
                    <w:jc w:val="center"/>
                    <w:rPr>
                      <w:kern w:val="0"/>
                      <w:szCs w:val="21"/>
                    </w:rPr>
                  </w:pPr>
                  <w:r>
                    <w:rPr>
                      <w:rFonts w:hint="eastAsia"/>
                      <w:kern w:val="0"/>
                      <w:szCs w:val="21"/>
                    </w:rPr>
                    <w:t>0.052</w:t>
                  </w:r>
                </w:p>
              </w:tc>
              <w:tc>
                <w:tcPr>
                  <w:tcW w:w="1046" w:type="pct"/>
                  <w:vAlign w:val="center"/>
                </w:tcPr>
                <w:p>
                  <w:pPr>
                    <w:jc w:val="center"/>
                    <w:rPr>
                      <w:szCs w:val="21"/>
                    </w:rPr>
                  </w:pPr>
                  <w:r>
                    <w:rPr>
                      <w:rFonts w:hint="eastAsia"/>
                      <w:szCs w:val="21"/>
                    </w:rPr>
                    <w:t>0.063</w:t>
                  </w:r>
                </w:p>
              </w:tc>
              <w:tc>
                <w:tcPr>
                  <w:tcW w:w="901" w:type="pct"/>
                  <w:vAlign w:val="center"/>
                </w:tcPr>
                <w:p>
                  <w:pPr>
                    <w:spacing w:line="320" w:lineRule="exact"/>
                    <w:jc w:val="center"/>
                    <w:rPr>
                      <w:szCs w:val="21"/>
                    </w:rPr>
                  </w:pPr>
                  <w:r>
                    <w:rPr>
                      <w:rFonts w:hint="eastAsia"/>
                      <w:szCs w:val="21"/>
                    </w:rPr>
                    <w:t>0.065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7</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kern w:val="0"/>
                      <w:szCs w:val="21"/>
                    </w:rPr>
                    <w:t>砷</w:t>
                  </w:r>
                </w:p>
              </w:tc>
              <w:tc>
                <w:tcPr>
                  <w:tcW w:w="965" w:type="pct"/>
                  <w:vAlign w:val="center"/>
                </w:tcPr>
                <w:p>
                  <w:pPr>
                    <w:adjustRightInd w:val="0"/>
                    <w:snapToGrid w:val="0"/>
                    <w:jc w:val="center"/>
                    <w:rPr>
                      <w:kern w:val="0"/>
                      <w:szCs w:val="21"/>
                    </w:rPr>
                  </w:pPr>
                  <w:r>
                    <w:rPr>
                      <w:rFonts w:hint="eastAsia"/>
                      <w:kern w:val="0"/>
                      <w:szCs w:val="21"/>
                    </w:rPr>
                    <w:t>10.3</w:t>
                  </w:r>
                </w:p>
              </w:tc>
              <w:tc>
                <w:tcPr>
                  <w:tcW w:w="1046" w:type="pct"/>
                  <w:vAlign w:val="center"/>
                </w:tcPr>
                <w:p>
                  <w:pPr>
                    <w:jc w:val="center"/>
                    <w:rPr>
                      <w:szCs w:val="21"/>
                    </w:rPr>
                  </w:pPr>
                  <w:r>
                    <w:rPr>
                      <w:rFonts w:hint="eastAsia"/>
                      <w:szCs w:val="21"/>
                    </w:rPr>
                    <w:t>11.4</w:t>
                  </w:r>
                </w:p>
              </w:tc>
              <w:tc>
                <w:tcPr>
                  <w:tcW w:w="901" w:type="pct"/>
                  <w:vAlign w:val="center"/>
                </w:tcPr>
                <w:p>
                  <w:pPr>
                    <w:spacing w:line="320" w:lineRule="exact"/>
                    <w:jc w:val="center"/>
                    <w:rPr>
                      <w:szCs w:val="21"/>
                    </w:rPr>
                  </w:pPr>
                  <w:r>
                    <w:rPr>
                      <w:rFonts w:hint="eastAsia"/>
                      <w:szCs w:val="21"/>
                    </w:rPr>
                    <w:t>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8</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kern w:val="0"/>
                      <w:szCs w:val="21"/>
                    </w:rPr>
                    <w:t>六价铬</w:t>
                  </w:r>
                </w:p>
              </w:tc>
              <w:tc>
                <w:tcPr>
                  <w:tcW w:w="965" w:type="pct"/>
                  <w:vAlign w:val="center"/>
                </w:tcPr>
                <w:p>
                  <w:pPr>
                    <w:adjustRightInd w:val="0"/>
                    <w:snapToGrid w:val="0"/>
                    <w:jc w:val="center"/>
                    <w:rPr>
                      <w:kern w:val="0"/>
                      <w:szCs w:val="21"/>
                    </w:rPr>
                  </w:pPr>
                  <w:r>
                    <w:rPr>
                      <w:rFonts w:hint="eastAsia"/>
                      <w:kern w:val="0"/>
                      <w:szCs w:val="21"/>
                    </w:rPr>
                    <w:t>2ND</w:t>
                  </w:r>
                </w:p>
              </w:tc>
              <w:tc>
                <w:tcPr>
                  <w:tcW w:w="1046" w:type="pct"/>
                  <w:vAlign w:val="center"/>
                </w:tcPr>
                <w:p>
                  <w:pPr>
                    <w:jc w:val="center"/>
                    <w:rPr>
                      <w:szCs w:val="21"/>
                    </w:rPr>
                  </w:pPr>
                  <w:r>
                    <w:rPr>
                      <w:rFonts w:hint="eastAsia"/>
                      <w:kern w:val="0"/>
                      <w:szCs w:val="21"/>
                    </w:rPr>
                    <w:t>2ND</w:t>
                  </w:r>
                </w:p>
              </w:tc>
              <w:tc>
                <w:tcPr>
                  <w:tcW w:w="901" w:type="pct"/>
                  <w:vAlign w:val="center"/>
                </w:tcPr>
                <w:p>
                  <w:pPr>
                    <w:spacing w:line="320" w:lineRule="exact"/>
                    <w:jc w:val="center"/>
                    <w:rPr>
                      <w:szCs w:val="21"/>
                    </w:rPr>
                  </w:pPr>
                  <w:r>
                    <w:rPr>
                      <w:rFonts w:hint="eastAsia"/>
                      <w:kern w:val="0"/>
                      <w:szCs w:val="21"/>
                    </w:rPr>
                    <w:t>2ND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9</w:t>
                  </w:r>
                </w:p>
              </w:tc>
              <w:tc>
                <w:tcPr>
                  <w:tcW w:w="484" w:type="pct"/>
                  <w:vMerge w:val="restart"/>
                  <w:vAlign w:val="center"/>
                </w:tcPr>
                <w:p>
                  <w:pPr>
                    <w:spacing w:line="240" w:lineRule="exact"/>
                    <w:jc w:val="center"/>
                    <w:rPr>
                      <w:szCs w:val="21"/>
                    </w:rPr>
                  </w:pPr>
                  <w:r>
                    <w:rPr>
                      <w:szCs w:val="24"/>
                    </w:rPr>
                    <w:t>挥发性有机物</w:t>
                  </w:r>
                </w:p>
              </w:tc>
              <w:tc>
                <w:tcPr>
                  <w:tcW w:w="1206" w:type="pct"/>
                  <w:vAlign w:val="center"/>
                </w:tcPr>
                <w:p>
                  <w:pPr>
                    <w:adjustRightInd w:val="0"/>
                    <w:snapToGrid w:val="0"/>
                    <w:jc w:val="center"/>
                    <w:rPr>
                      <w:kern w:val="0"/>
                      <w:szCs w:val="21"/>
                    </w:rPr>
                  </w:pPr>
                  <w:r>
                    <w:rPr>
                      <w:szCs w:val="24"/>
                    </w:rPr>
                    <w:t>四氯化碳</w:t>
                  </w:r>
                </w:p>
              </w:tc>
              <w:tc>
                <w:tcPr>
                  <w:tcW w:w="965" w:type="pct"/>
                  <w:vAlign w:val="center"/>
                </w:tcPr>
                <w:p>
                  <w:pPr>
                    <w:adjustRightInd w:val="0"/>
                    <w:snapToGrid w:val="0"/>
                    <w:jc w:val="center"/>
                    <w:rPr>
                      <w:kern w:val="0"/>
                      <w:szCs w:val="21"/>
                    </w:rPr>
                  </w:pPr>
                  <w:r>
                    <w:rPr>
                      <w:rFonts w:hint="eastAsia"/>
                      <w:kern w:val="0"/>
                      <w:szCs w:val="21"/>
                    </w:rPr>
                    <w:t>1.3×10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1.3×10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1.3×10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10</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szCs w:val="24"/>
                    </w:rPr>
                    <w:t>氯仿</w:t>
                  </w:r>
                </w:p>
              </w:tc>
              <w:tc>
                <w:tcPr>
                  <w:tcW w:w="965" w:type="pct"/>
                  <w:vAlign w:val="center"/>
                </w:tcPr>
                <w:p>
                  <w:pPr>
                    <w:adjustRightInd w:val="0"/>
                    <w:snapToGrid w:val="0"/>
                    <w:jc w:val="center"/>
                    <w:rPr>
                      <w:kern w:val="0"/>
                      <w:szCs w:val="21"/>
                    </w:rPr>
                  </w:pPr>
                  <w:r>
                    <w:rPr>
                      <w:rFonts w:hint="eastAsia"/>
                      <w:kern w:val="0"/>
                      <w:szCs w:val="21"/>
                    </w:rPr>
                    <w:t>1.1×10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1.1×10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1.1×10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11</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szCs w:val="24"/>
                    </w:rPr>
                  </w:pPr>
                  <w:r>
                    <w:rPr>
                      <w:szCs w:val="24"/>
                    </w:rPr>
                    <w:t>氯甲烷</w:t>
                  </w:r>
                </w:p>
              </w:tc>
              <w:tc>
                <w:tcPr>
                  <w:tcW w:w="965" w:type="pct"/>
                  <w:vAlign w:val="center"/>
                </w:tcPr>
                <w:p>
                  <w:pPr>
                    <w:adjustRightInd w:val="0"/>
                    <w:snapToGrid w:val="0"/>
                    <w:jc w:val="center"/>
                    <w:rPr>
                      <w:kern w:val="0"/>
                      <w:szCs w:val="21"/>
                    </w:rPr>
                  </w:pPr>
                  <w:r>
                    <w:rPr>
                      <w:rFonts w:hint="eastAsia"/>
                      <w:kern w:val="0"/>
                      <w:szCs w:val="21"/>
                    </w:rPr>
                    <w:t>1.0×10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1.0×10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1.0×10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12</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szCs w:val="24"/>
                    </w:rPr>
                  </w:pPr>
                  <w:r>
                    <w:rPr>
                      <w:rFonts w:eastAsia="Times New Roman"/>
                      <w:szCs w:val="24"/>
                    </w:rPr>
                    <w:t>1,1-</w:t>
                  </w:r>
                  <w:r>
                    <w:rPr>
                      <w:szCs w:val="24"/>
                    </w:rPr>
                    <w:t>二氯乙烷</w:t>
                  </w:r>
                </w:p>
              </w:tc>
              <w:tc>
                <w:tcPr>
                  <w:tcW w:w="965" w:type="pct"/>
                  <w:vAlign w:val="center"/>
                </w:tcPr>
                <w:p>
                  <w:pPr>
                    <w:adjustRightInd w:val="0"/>
                    <w:snapToGrid w:val="0"/>
                    <w:jc w:val="center"/>
                    <w:rPr>
                      <w:kern w:val="0"/>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13</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szCs w:val="24"/>
                    </w:rPr>
                  </w:pPr>
                  <w:r>
                    <w:rPr>
                      <w:rFonts w:eastAsia="Times New Roman"/>
                      <w:szCs w:val="24"/>
                    </w:rPr>
                    <w:t>1,2-</w:t>
                  </w:r>
                  <w:r>
                    <w:rPr>
                      <w:szCs w:val="24"/>
                    </w:rPr>
                    <w:t>二氯乙烷</w:t>
                  </w:r>
                </w:p>
              </w:tc>
              <w:tc>
                <w:tcPr>
                  <w:tcW w:w="965" w:type="pct"/>
                  <w:vAlign w:val="center"/>
                </w:tcPr>
                <w:p>
                  <w:pPr>
                    <w:adjustRightInd w:val="0"/>
                    <w:snapToGrid w:val="0"/>
                    <w:jc w:val="center"/>
                    <w:rPr>
                      <w:kern w:val="0"/>
                      <w:szCs w:val="21"/>
                    </w:rPr>
                  </w:pPr>
                  <w:r>
                    <w:rPr>
                      <w:rFonts w:hint="eastAsia"/>
                      <w:kern w:val="0"/>
                      <w:szCs w:val="21"/>
                    </w:rPr>
                    <w:t>1.3×10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1.3×10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1.3×10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14</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szCs w:val="24"/>
                    </w:rPr>
                  </w:pPr>
                  <w:r>
                    <w:rPr>
                      <w:rFonts w:eastAsia="Times New Roman"/>
                      <w:szCs w:val="24"/>
                    </w:rPr>
                    <w:t>1,1-</w:t>
                  </w:r>
                  <w:r>
                    <w:rPr>
                      <w:szCs w:val="24"/>
                    </w:rPr>
                    <w:t>二氯乙烯</w:t>
                  </w:r>
                </w:p>
              </w:tc>
              <w:tc>
                <w:tcPr>
                  <w:tcW w:w="965" w:type="pct"/>
                  <w:vAlign w:val="center"/>
                </w:tcPr>
                <w:p>
                  <w:pPr>
                    <w:adjustRightInd w:val="0"/>
                    <w:snapToGrid w:val="0"/>
                    <w:jc w:val="center"/>
                    <w:rPr>
                      <w:b/>
                      <w:kern w:val="0"/>
                      <w:szCs w:val="21"/>
                    </w:rPr>
                  </w:pPr>
                  <w:r>
                    <w:rPr>
                      <w:rFonts w:hint="eastAsia"/>
                      <w:kern w:val="0"/>
                      <w:szCs w:val="21"/>
                    </w:rPr>
                    <w:t>1.0×10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1.0×10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1.0×10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15</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szCs w:val="24"/>
                    </w:rPr>
                  </w:pPr>
                  <w:r>
                    <w:rPr>
                      <w:szCs w:val="24"/>
                    </w:rPr>
                    <w:t>顺</w:t>
                  </w:r>
                  <w:r>
                    <w:rPr>
                      <w:rFonts w:eastAsia="Times New Roman"/>
                      <w:szCs w:val="24"/>
                    </w:rPr>
                    <w:t>-1,2-</w:t>
                  </w:r>
                  <w:r>
                    <w:rPr>
                      <w:szCs w:val="24"/>
                    </w:rPr>
                    <w:t>二氯乙烯</w:t>
                  </w:r>
                </w:p>
              </w:tc>
              <w:tc>
                <w:tcPr>
                  <w:tcW w:w="965" w:type="pct"/>
                  <w:vAlign w:val="center"/>
                </w:tcPr>
                <w:p>
                  <w:pPr>
                    <w:adjustRightInd w:val="0"/>
                    <w:snapToGrid w:val="0"/>
                    <w:jc w:val="center"/>
                    <w:rPr>
                      <w:b/>
                      <w:kern w:val="0"/>
                      <w:szCs w:val="21"/>
                    </w:rPr>
                  </w:pPr>
                  <w:r>
                    <w:rPr>
                      <w:rFonts w:hint="eastAsia"/>
                      <w:kern w:val="0"/>
                      <w:szCs w:val="21"/>
                    </w:rPr>
                    <w:t>1.3×10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1.3×10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1.3×10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16</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szCs w:val="24"/>
                    </w:rPr>
                  </w:pPr>
                  <w:r>
                    <w:rPr>
                      <w:szCs w:val="24"/>
                    </w:rPr>
                    <w:t>反</w:t>
                  </w:r>
                  <w:r>
                    <w:rPr>
                      <w:rFonts w:eastAsia="Times New Roman"/>
                      <w:szCs w:val="24"/>
                    </w:rPr>
                    <w:t>-1,2-</w:t>
                  </w:r>
                  <w:r>
                    <w:rPr>
                      <w:szCs w:val="24"/>
                    </w:rPr>
                    <w:t>二氯乙烯</w:t>
                  </w:r>
                </w:p>
              </w:tc>
              <w:tc>
                <w:tcPr>
                  <w:tcW w:w="965" w:type="pct"/>
                  <w:vAlign w:val="center"/>
                </w:tcPr>
                <w:p>
                  <w:pPr>
                    <w:adjustRightInd w:val="0"/>
                    <w:snapToGrid w:val="0"/>
                    <w:jc w:val="center"/>
                    <w:rPr>
                      <w:kern w:val="0"/>
                      <w:szCs w:val="21"/>
                    </w:rPr>
                  </w:pPr>
                  <w:r>
                    <w:rPr>
                      <w:rFonts w:hint="eastAsia"/>
                      <w:kern w:val="0"/>
                      <w:szCs w:val="21"/>
                    </w:rPr>
                    <w:t>1.4×10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1.4×10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1.4×10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17</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szCs w:val="24"/>
                    </w:rPr>
                    <w:t>二氯甲烷</w:t>
                  </w:r>
                </w:p>
              </w:tc>
              <w:tc>
                <w:tcPr>
                  <w:tcW w:w="965" w:type="pct"/>
                  <w:vAlign w:val="center"/>
                </w:tcPr>
                <w:p>
                  <w:pPr>
                    <w:adjustRightInd w:val="0"/>
                    <w:snapToGrid w:val="0"/>
                    <w:jc w:val="center"/>
                    <w:rPr>
                      <w:b/>
                      <w:kern w:val="0"/>
                      <w:szCs w:val="21"/>
                    </w:rPr>
                  </w:pPr>
                  <w:r>
                    <w:rPr>
                      <w:rFonts w:hint="eastAsia"/>
                      <w:kern w:val="0"/>
                      <w:szCs w:val="21"/>
                    </w:rPr>
                    <w:t>1.5×10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1.5×10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1.5×10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18</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1,2-二氯丙烷</w:t>
                  </w:r>
                </w:p>
              </w:tc>
              <w:tc>
                <w:tcPr>
                  <w:tcW w:w="965" w:type="pct"/>
                  <w:vAlign w:val="center"/>
                </w:tcPr>
                <w:p>
                  <w:pPr>
                    <w:adjustRightInd w:val="0"/>
                    <w:snapToGrid w:val="0"/>
                    <w:jc w:val="center"/>
                    <w:rPr>
                      <w:b/>
                      <w:kern w:val="0"/>
                      <w:szCs w:val="21"/>
                    </w:rPr>
                  </w:pPr>
                  <w:r>
                    <w:rPr>
                      <w:rFonts w:hint="eastAsia"/>
                      <w:kern w:val="0"/>
                      <w:szCs w:val="21"/>
                    </w:rPr>
                    <w:t>1.1×10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1.1×10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1.1×10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19</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1,1,1,2-四氯乙烷</w:t>
                  </w:r>
                </w:p>
              </w:tc>
              <w:tc>
                <w:tcPr>
                  <w:tcW w:w="965" w:type="pct"/>
                  <w:vAlign w:val="center"/>
                </w:tcPr>
                <w:p>
                  <w:pPr>
                    <w:adjustRightInd w:val="0"/>
                    <w:snapToGrid w:val="0"/>
                    <w:jc w:val="center"/>
                    <w:rPr>
                      <w:kern w:val="0"/>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20</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1,1,2,2-四氯乙烷</w:t>
                  </w:r>
                </w:p>
              </w:tc>
              <w:tc>
                <w:tcPr>
                  <w:tcW w:w="965" w:type="pct"/>
                  <w:vAlign w:val="center"/>
                </w:tcPr>
                <w:p>
                  <w:pPr>
                    <w:adjustRightInd w:val="0"/>
                    <w:snapToGrid w:val="0"/>
                    <w:jc w:val="center"/>
                    <w:rPr>
                      <w:kern w:val="0"/>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21</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四氯乙烯</w:t>
                  </w:r>
                </w:p>
              </w:tc>
              <w:tc>
                <w:tcPr>
                  <w:tcW w:w="965" w:type="pct"/>
                  <w:vAlign w:val="center"/>
                </w:tcPr>
                <w:p>
                  <w:pPr>
                    <w:adjustRightInd w:val="0"/>
                    <w:snapToGrid w:val="0"/>
                    <w:jc w:val="center"/>
                    <w:rPr>
                      <w:kern w:val="0"/>
                      <w:szCs w:val="21"/>
                    </w:rPr>
                  </w:pPr>
                  <w:r>
                    <w:rPr>
                      <w:rFonts w:hint="eastAsia"/>
                      <w:kern w:val="0"/>
                      <w:szCs w:val="21"/>
                    </w:rPr>
                    <w:t>1.4×10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1.4×10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1.4×10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22</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1,1,1-三氯乙烷</w:t>
                  </w:r>
                </w:p>
              </w:tc>
              <w:tc>
                <w:tcPr>
                  <w:tcW w:w="965" w:type="pct"/>
                  <w:vAlign w:val="center"/>
                </w:tcPr>
                <w:p>
                  <w:pPr>
                    <w:adjustRightInd w:val="0"/>
                    <w:snapToGrid w:val="0"/>
                    <w:jc w:val="center"/>
                    <w:rPr>
                      <w:kern w:val="0"/>
                      <w:szCs w:val="21"/>
                    </w:rPr>
                  </w:pPr>
                  <w:r>
                    <w:rPr>
                      <w:rFonts w:hint="eastAsia"/>
                      <w:kern w:val="0"/>
                      <w:szCs w:val="21"/>
                    </w:rPr>
                    <w:t>1.3×10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1.3×10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1.3×10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23</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1,1,2-三氯乙烷</w:t>
                  </w:r>
                </w:p>
              </w:tc>
              <w:tc>
                <w:tcPr>
                  <w:tcW w:w="965" w:type="pct"/>
                  <w:vAlign w:val="center"/>
                </w:tcPr>
                <w:p>
                  <w:pPr>
                    <w:adjustRightInd w:val="0"/>
                    <w:snapToGrid w:val="0"/>
                    <w:jc w:val="center"/>
                    <w:rPr>
                      <w:kern w:val="0"/>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24</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三氯乙烯</w:t>
                  </w:r>
                </w:p>
              </w:tc>
              <w:tc>
                <w:tcPr>
                  <w:tcW w:w="965" w:type="pct"/>
                  <w:vAlign w:val="center"/>
                </w:tcPr>
                <w:p>
                  <w:pPr>
                    <w:adjustRightInd w:val="0"/>
                    <w:snapToGrid w:val="0"/>
                    <w:jc w:val="center"/>
                    <w:rPr>
                      <w:b/>
                      <w:kern w:val="0"/>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25</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1,2,3-三氯丙烷</w:t>
                  </w:r>
                </w:p>
              </w:tc>
              <w:tc>
                <w:tcPr>
                  <w:tcW w:w="965" w:type="pct"/>
                  <w:vAlign w:val="center"/>
                </w:tcPr>
                <w:p>
                  <w:pPr>
                    <w:adjustRightInd w:val="0"/>
                    <w:snapToGrid w:val="0"/>
                    <w:jc w:val="center"/>
                    <w:rPr>
                      <w:b/>
                      <w:kern w:val="0"/>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26</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氯乙烯</w:t>
                  </w:r>
                </w:p>
              </w:tc>
              <w:tc>
                <w:tcPr>
                  <w:tcW w:w="965" w:type="pct"/>
                  <w:vAlign w:val="center"/>
                </w:tcPr>
                <w:p>
                  <w:pPr>
                    <w:adjustRightInd w:val="0"/>
                    <w:snapToGrid w:val="0"/>
                    <w:jc w:val="center"/>
                    <w:rPr>
                      <w:kern w:val="0"/>
                      <w:szCs w:val="21"/>
                    </w:rPr>
                  </w:pPr>
                  <w:r>
                    <w:rPr>
                      <w:rFonts w:hint="eastAsia"/>
                      <w:kern w:val="0"/>
                      <w:szCs w:val="21"/>
                    </w:rPr>
                    <w:t>1.0×10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1.0×10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1.0×10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27</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苯</w:t>
                  </w:r>
                </w:p>
              </w:tc>
              <w:tc>
                <w:tcPr>
                  <w:tcW w:w="965" w:type="pct"/>
                  <w:vAlign w:val="center"/>
                </w:tcPr>
                <w:p>
                  <w:pPr>
                    <w:adjustRightInd w:val="0"/>
                    <w:snapToGrid w:val="0"/>
                    <w:jc w:val="center"/>
                    <w:rPr>
                      <w:kern w:val="0"/>
                      <w:szCs w:val="21"/>
                    </w:rPr>
                  </w:pPr>
                  <w:r>
                    <w:rPr>
                      <w:rFonts w:hint="eastAsia"/>
                      <w:kern w:val="0"/>
                      <w:szCs w:val="21"/>
                    </w:rPr>
                    <w:t>1.9×10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1.9×10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1.9×10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28</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氯苯</w:t>
                  </w:r>
                </w:p>
              </w:tc>
              <w:tc>
                <w:tcPr>
                  <w:tcW w:w="965" w:type="pct"/>
                  <w:vAlign w:val="center"/>
                </w:tcPr>
                <w:p>
                  <w:pPr>
                    <w:adjustRightInd w:val="0"/>
                    <w:snapToGrid w:val="0"/>
                    <w:jc w:val="center"/>
                    <w:rPr>
                      <w:kern w:val="0"/>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29</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1,2-二氯苯</w:t>
                  </w:r>
                </w:p>
              </w:tc>
              <w:tc>
                <w:tcPr>
                  <w:tcW w:w="965" w:type="pct"/>
                  <w:vAlign w:val="center"/>
                </w:tcPr>
                <w:p>
                  <w:pPr>
                    <w:adjustRightInd w:val="0"/>
                    <w:snapToGrid w:val="0"/>
                    <w:jc w:val="center"/>
                    <w:rPr>
                      <w:kern w:val="0"/>
                      <w:szCs w:val="21"/>
                    </w:rPr>
                  </w:pPr>
                  <w:r>
                    <w:rPr>
                      <w:rFonts w:hint="eastAsia"/>
                      <w:kern w:val="0"/>
                      <w:szCs w:val="21"/>
                    </w:rPr>
                    <w:t>1.5×10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1.5×10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1.5×10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30</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1,4-二氯苯</w:t>
                  </w:r>
                </w:p>
              </w:tc>
              <w:tc>
                <w:tcPr>
                  <w:tcW w:w="965" w:type="pct"/>
                  <w:vAlign w:val="center"/>
                </w:tcPr>
                <w:p>
                  <w:pPr>
                    <w:adjustRightInd w:val="0"/>
                    <w:snapToGrid w:val="0"/>
                    <w:jc w:val="center"/>
                    <w:rPr>
                      <w:kern w:val="0"/>
                      <w:szCs w:val="21"/>
                    </w:rPr>
                  </w:pPr>
                  <w:r>
                    <w:rPr>
                      <w:rFonts w:hint="eastAsia"/>
                      <w:kern w:val="0"/>
                      <w:szCs w:val="21"/>
                    </w:rPr>
                    <w:t>1.5×10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1.5×10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1.5×10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31</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乙苯</w:t>
                  </w:r>
                </w:p>
              </w:tc>
              <w:tc>
                <w:tcPr>
                  <w:tcW w:w="965" w:type="pct"/>
                  <w:vAlign w:val="center"/>
                </w:tcPr>
                <w:p>
                  <w:pPr>
                    <w:adjustRightInd w:val="0"/>
                    <w:snapToGrid w:val="0"/>
                    <w:jc w:val="center"/>
                    <w:rPr>
                      <w:kern w:val="0"/>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32</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苯乙烯</w:t>
                  </w:r>
                </w:p>
              </w:tc>
              <w:tc>
                <w:tcPr>
                  <w:tcW w:w="965" w:type="pct"/>
                  <w:vAlign w:val="center"/>
                </w:tcPr>
                <w:p>
                  <w:pPr>
                    <w:adjustRightInd w:val="0"/>
                    <w:snapToGrid w:val="0"/>
                    <w:jc w:val="center"/>
                    <w:rPr>
                      <w:kern w:val="0"/>
                      <w:szCs w:val="21"/>
                    </w:rPr>
                  </w:pPr>
                  <w:r>
                    <w:rPr>
                      <w:rFonts w:hint="eastAsia"/>
                      <w:kern w:val="0"/>
                      <w:szCs w:val="21"/>
                    </w:rPr>
                    <w:t>1.1×10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1.1×10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1.1×10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33</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甲苯</w:t>
                  </w:r>
                </w:p>
              </w:tc>
              <w:tc>
                <w:tcPr>
                  <w:tcW w:w="965" w:type="pct"/>
                  <w:vAlign w:val="center"/>
                </w:tcPr>
                <w:p>
                  <w:pPr>
                    <w:adjustRightInd w:val="0"/>
                    <w:snapToGrid w:val="0"/>
                    <w:jc w:val="center"/>
                    <w:rPr>
                      <w:kern w:val="0"/>
                      <w:szCs w:val="21"/>
                    </w:rPr>
                  </w:pPr>
                  <w:r>
                    <w:rPr>
                      <w:rFonts w:hint="eastAsia"/>
                      <w:kern w:val="0"/>
                      <w:szCs w:val="21"/>
                    </w:rPr>
                    <w:t>1.3×10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1.3×10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1.3×10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34</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间二甲苯+对二甲苯</w:t>
                  </w:r>
                </w:p>
              </w:tc>
              <w:tc>
                <w:tcPr>
                  <w:tcW w:w="965" w:type="pct"/>
                  <w:vAlign w:val="center"/>
                </w:tcPr>
                <w:p>
                  <w:pPr>
                    <w:adjustRightInd w:val="0"/>
                    <w:snapToGrid w:val="0"/>
                    <w:jc w:val="center"/>
                    <w:rPr>
                      <w:kern w:val="0"/>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35</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邻二甲苯</w:t>
                  </w:r>
                </w:p>
              </w:tc>
              <w:tc>
                <w:tcPr>
                  <w:tcW w:w="965" w:type="pct"/>
                  <w:vAlign w:val="center"/>
                </w:tcPr>
                <w:p>
                  <w:pPr>
                    <w:adjustRightInd w:val="0"/>
                    <w:snapToGrid w:val="0"/>
                    <w:jc w:val="center"/>
                    <w:rPr>
                      <w:kern w:val="0"/>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1046" w:type="pct"/>
                  <w:vAlign w:val="center"/>
                </w:tcPr>
                <w:p>
                  <w:pPr>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c>
                <w:tcPr>
                  <w:tcW w:w="901" w:type="pct"/>
                  <w:vAlign w:val="center"/>
                </w:tcPr>
                <w:p>
                  <w:pPr>
                    <w:spacing w:line="320" w:lineRule="exact"/>
                    <w:jc w:val="center"/>
                    <w:rPr>
                      <w:szCs w:val="21"/>
                    </w:rPr>
                  </w:pPr>
                  <w:r>
                    <w:rPr>
                      <w:rFonts w:hint="eastAsia"/>
                      <w:kern w:val="0"/>
                      <w:szCs w:val="21"/>
                    </w:rPr>
                    <w:t>1.2×10</w:t>
                  </w:r>
                  <w:r>
                    <w:rPr>
                      <w:rFonts w:hint="eastAsia"/>
                      <w:kern w:val="0"/>
                      <w:szCs w:val="21"/>
                      <w:vertAlign w:val="superscript"/>
                    </w:rPr>
                    <w:t>-3</w:t>
                  </w:r>
                  <w:r>
                    <w:rPr>
                      <w:rFonts w:hint="eastAsia"/>
                      <w:kern w:val="0"/>
                      <w:szCs w:val="21"/>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36</w:t>
                  </w:r>
                </w:p>
              </w:tc>
              <w:tc>
                <w:tcPr>
                  <w:tcW w:w="484" w:type="pct"/>
                  <w:vMerge w:val="restart"/>
                  <w:vAlign w:val="center"/>
                </w:tcPr>
                <w:p>
                  <w:pPr>
                    <w:spacing w:line="240" w:lineRule="exact"/>
                    <w:jc w:val="center"/>
                    <w:rPr>
                      <w:szCs w:val="21"/>
                    </w:rPr>
                  </w:pPr>
                  <w:r>
                    <w:rPr>
                      <w:szCs w:val="24"/>
                    </w:rPr>
                    <w:t>半挥发性有机物</w:t>
                  </w:r>
                </w:p>
              </w:tc>
              <w:tc>
                <w:tcPr>
                  <w:tcW w:w="1206" w:type="pct"/>
                  <w:vAlign w:val="center"/>
                </w:tcPr>
                <w:p>
                  <w:pPr>
                    <w:adjustRightInd w:val="0"/>
                    <w:snapToGrid w:val="0"/>
                    <w:jc w:val="center"/>
                    <w:rPr>
                      <w:kern w:val="0"/>
                      <w:szCs w:val="21"/>
                    </w:rPr>
                  </w:pPr>
                  <w:r>
                    <w:rPr>
                      <w:rFonts w:hint="eastAsia"/>
                      <w:szCs w:val="24"/>
                    </w:rPr>
                    <w:t>硝基苯</w:t>
                  </w:r>
                </w:p>
              </w:tc>
              <w:tc>
                <w:tcPr>
                  <w:tcW w:w="965" w:type="pct"/>
                  <w:vAlign w:val="center"/>
                </w:tcPr>
                <w:p>
                  <w:pPr>
                    <w:adjustRightInd w:val="0"/>
                    <w:snapToGrid w:val="0"/>
                    <w:jc w:val="center"/>
                    <w:rPr>
                      <w:kern w:val="0"/>
                      <w:szCs w:val="21"/>
                    </w:rPr>
                  </w:pPr>
                  <w:r>
                    <w:rPr>
                      <w:rFonts w:hint="eastAsia"/>
                      <w:kern w:val="0"/>
                      <w:szCs w:val="21"/>
                    </w:rPr>
                    <w:t>0.09ND</w:t>
                  </w:r>
                </w:p>
              </w:tc>
              <w:tc>
                <w:tcPr>
                  <w:tcW w:w="1046" w:type="pct"/>
                  <w:vAlign w:val="center"/>
                </w:tcPr>
                <w:p>
                  <w:pPr>
                    <w:jc w:val="center"/>
                    <w:rPr>
                      <w:szCs w:val="21"/>
                    </w:rPr>
                  </w:pPr>
                  <w:r>
                    <w:rPr>
                      <w:rFonts w:hint="eastAsia"/>
                      <w:kern w:val="0"/>
                      <w:szCs w:val="21"/>
                    </w:rPr>
                    <w:t>0.09ND</w:t>
                  </w:r>
                </w:p>
              </w:tc>
              <w:tc>
                <w:tcPr>
                  <w:tcW w:w="901" w:type="pct"/>
                  <w:vAlign w:val="center"/>
                </w:tcPr>
                <w:p>
                  <w:pPr>
                    <w:spacing w:line="320" w:lineRule="exact"/>
                    <w:jc w:val="center"/>
                    <w:rPr>
                      <w:szCs w:val="21"/>
                    </w:rPr>
                  </w:pPr>
                  <w:r>
                    <w:rPr>
                      <w:rFonts w:hint="eastAsia"/>
                      <w:kern w:val="0"/>
                      <w:szCs w:val="21"/>
                    </w:rPr>
                    <w:t>0.09ND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37</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苯胺</w:t>
                  </w:r>
                </w:p>
              </w:tc>
              <w:tc>
                <w:tcPr>
                  <w:tcW w:w="965" w:type="pct"/>
                  <w:vAlign w:val="center"/>
                </w:tcPr>
                <w:p>
                  <w:pPr>
                    <w:adjustRightInd w:val="0"/>
                    <w:snapToGrid w:val="0"/>
                    <w:jc w:val="center"/>
                    <w:rPr>
                      <w:kern w:val="0"/>
                      <w:szCs w:val="21"/>
                    </w:rPr>
                  </w:pPr>
                  <w:r>
                    <w:rPr>
                      <w:rFonts w:hint="eastAsia"/>
                      <w:kern w:val="0"/>
                      <w:szCs w:val="21"/>
                    </w:rPr>
                    <w:t>0.005ND</w:t>
                  </w:r>
                </w:p>
              </w:tc>
              <w:tc>
                <w:tcPr>
                  <w:tcW w:w="1046" w:type="pct"/>
                  <w:vAlign w:val="center"/>
                </w:tcPr>
                <w:p>
                  <w:pPr>
                    <w:jc w:val="center"/>
                    <w:rPr>
                      <w:szCs w:val="21"/>
                    </w:rPr>
                  </w:pPr>
                  <w:r>
                    <w:rPr>
                      <w:rFonts w:hint="eastAsia"/>
                      <w:kern w:val="0"/>
                      <w:szCs w:val="21"/>
                    </w:rPr>
                    <w:t>0.005ND</w:t>
                  </w:r>
                </w:p>
              </w:tc>
              <w:tc>
                <w:tcPr>
                  <w:tcW w:w="901" w:type="pct"/>
                  <w:vAlign w:val="center"/>
                </w:tcPr>
                <w:p>
                  <w:pPr>
                    <w:spacing w:line="320" w:lineRule="exact"/>
                    <w:jc w:val="center"/>
                    <w:rPr>
                      <w:szCs w:val="21"/>
                    </w:rPr>
                  </w:pPr>
                  <w:r>
                    <w:rPr>
                      <w:rFonts w:hint="eastAsia"/>
                      <w:kern w:val="0"/>
                      <w:szCs w:val="21"/>
                    </w:rPr>
                    <w:t>0.005ND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38</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2-氯酚</w:t>
                  </w:r>
                </w:p>
              </w:tc>
              <w:tc>
                <w:tcPr>
                  <w:tcW w:w="965" w:type="pct"/>
                  <w:vAlign w:val="center"/>
                </w:tcPr>
                <w:p>
                  <w:pPr>
                    <w:adjustRightInd w:val="0"/>
                    <w:snapToGrid w:val="0"/>
                    <w:jc w:val="center"/>
                    <w:rPr>
                      <w:kern w:val="0"/>
                      <w:szCs w:val="21"/>
                    </w:rPr>
                  </w:pPr>
                  <w:r>
                    <w:rPr>
                      <w:rFonts w:hint="eastAsia"/>
                      <w:kern w:val="0"/>
                      <w:szCs w:val="21"/>
                    </w:rPr>
                    <w:t>0.06ND</w:t>
                  </w:r>
                </w:p>
              </w:tc>
              <w:tc>
                <w:tcPr>
                  <w:tcW w:w="1046" w:type="pct"/>
                  <w:vAlign w:val="center"/>
                </w:tcPr>
                <w:p>
                  <w:pPr>
                    <w:jc w:val="center"/>
                    <w:rPr>
                      <w:szCs w:val="21"/>
                    </w:rPr>
                  </w:pPr>
                  <w:r>
                    <w:rPr>
                      <w:rFonts w:hint="eastAsia"/>
                      <w:kern w:val="0"/>
                      <w:szCs w:val="21"/>
                    </w:rPr>
                    <w:t>0.06ND</w:t>
                  </w:r>
                </w:p>
              </w:tc>
              <w:tc>
                <w:tcPr>
                  <w:tcW w:w="901" w:type="pct"/>
                  <w:vAlign w:val="center"/>
                </w:tcPr>
                <w:p>
                  <w:pPr>
                    <w:spacing w:line="320" w:lineRule="exact"/>
                    <w:jc w:val="center"/>
                    <w:rPr>
                      <w:szCs w:val="21"/>
                    </w:rPr>
                  </w:pPr>
                  <w:r>
                    <w:rPr>
                      <w:rFonts w:hint="eastAsia"/>
                      <w:kern w:val="0"/>
                      <w:szCs w:val="21"/>
                    </w:rPr>
                    <w:t>0.06ND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39</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苯并[a]蒽</w:t>
                  </w:r>
                </w:p>
              </w:tc>
              <w:tc>
                <w:tcPr>
                  <w:tcW w:w="965" w:type="pct"/>
                  <w:vAlign w:val="center"/>
                </w:tcPr>
                <w:p>
                  <w:pPr>
                    <w:adjustRightInd w:val="0"/>
                    <w:snapToGrid w:val="0"/>
                    <w:jc w:val="center"/>
                    <w:rPr>
                      <w:kern w:val="0"/>
                      <w:szCs w:val="21"/>
                    </w:rPr>
                  </w:pPr>
                  <w:r>
                    <w:rPr>
                      <w:rFonts w:hint="eastAsia"/>
                      <w:kern w:val="0"/>
                      <w:szCs w:val="21"/>
                    </w:rPr>
                    <w:t>0.1 ND</w:t>
                  </w:r>
                </w:p>
              </w:tc>
              <w:tc>
                <w:tcPr>
                  <w:tcW w:w="1046" w:type="pct"/>
                  <w:vAlign w:val="center"/>
                </w:tcPr>
                <w:p>
                  <w:pPr>
                    <w:jc w:val="center"/>
                    <w:rPr>
                      <w:szCs w:val="21"/>
                    </w:rPr>
                  </w:pPr>
                  <w:r>
                    <w:rPr>
                      <w:rFonts w:hint="eastAsia"/>
                      <w:kern w:val="0"/>
                      <w:szCs w:val="21"/>
                    </w:rPr>
                    <w:t>0.1 ND</w:t>
                  </w:r>
                </w:p>
              </w:tc>
              <w:tc>
                <w:tcPr>
                  <w:tcW w:w="901" w:type="pct"/>
                  <w:vAlign w:val="center"/>
                </w:tcPr>
                <w:p>
                  <w:pPr>
                    <w:spacing w:line="320" w:lineRule="exact"/>
                    <w:jc w:val="center"/>
                    <w:rPr>
                      <w:szCs w:val="21"/>
                    </w:rPr>
                  </w:pPr>
                  <w:r>
                    <w:rPr>
                      <w:rFonts w:hint="eastAsia"/>
                      <w:kern w:val="0"/>
                      <w:szCs w:val="21"/>
                    </w:rPr>
                    <w:t>0.1 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40</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苯并[a]芘</w:t>
                  </w:r>
                </w:p>
              </w:tc>
              <w:tc>
                <w:tcPr>
                  <w:tcW w:w="965" w:type="pct"/>
                  <w:vAlign w:val="center"/>
                </w:tcPr>
                <w:p>
                  <w:pPr>
                    <w:adjustRightInd w:val="0"/>
                    <w:snapToGrid w:val="0"/>
                    <w:jc w:val="center"/>
                    <w:rPr>
                      <w:kern w:val="0"/>
                      <w:szCs w:val="21"/>
                    </w:rPr>
                  </w:pPr>
                  <w:r>
                    <w:rPr>
                      <w:rFonts w:hint="eastAsia"/>
                      <w:kern w:val="0"/>
                      <w:szCs w:val="21"/>
                    </w:rPr>
                    <w:t>0.1ND</w:t>
                  </w:r>
                </w:p>
              </w:tc>
              <w:tc>
                <w:tcPr>
                  <w:tcW w:w="1046" w:type="pct"/>
                  <w:vAlign w:val="center"/>
                </w:tcPr>
                <w:p>
                  <w:pPr>
                    <w:jc w:val="center"/>
                    <w:rPr>
                      <w:szCs w:val="21"/>
                    </w:rPr>
                  </w:pPr>
                  <w:r>
                    <w:rPr>
                      <w:rFonts w:hint="eastAsia"/>
                      <w:kern w:val="0"/>
                      <w:szCs w:val="21"/>
                    </w:rPr>
                    <w:t>0.1ND</w:t>
                  </w:r>
                </w:p>
              </w:tc>
              <w:tc>
                <w:tcPr>
                  <w:tcW w:w="901" w:type="pct"/>
                  <w:vAlign w:val="center"/>
                </w:tcPr>
                <w:p>
                  <w:pPr>
                    <w:spacing w:line="320" w:lineRule="exact"/>
                    <w:jc w:val="center"/>
                    <w:rPr>
                      <w:szCs w:val="21"/>
                    </w:rPr>
                  </w:pPr>
                  <w:r>
                    <w:rPr>
                      <w:rFonts w:hint="eastAsia"/>
                      <w:kern w:val="0"/>
                      <w:szCs w:val="21"/>
                    </w:rPr>
                    <w:t>0.1ND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41</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苯并[b]荧蒽</w:t>
                  </w:r>
                </w:p>
              </w:tc>
              <w:tc>
                <w:tcPr>
                  <w:tcW w:w="965" w:type="pct"/>
                  <w:vAlign w:val="center"/>
                </w:tcPr>
                <w:p>
                  <w:pPr>
                    <w:adjustRightInd w:val="0"/>
                    <w:snapToGrid w:val="0"/>
                    <w:jc w:val="center"/>
                    <w:rPr>
                      <w:kern w:val="0"/>
                      <w:szCs w:val="21"/>
                    </w:rPr>
                  </w:pPr>
                  <w:r>
                    <w:rPr>
                      <w:rFonts w:hint="eastAsia"/>
                      <w:kern w:val="0"/>
                      <w:szCs w:val="21"/>
                    </w:rPr>
                    <w:t>0.2 ND</w:t>
                  </w:r>
                </w:p>
              </w:tc>
              <w:tc>
                <w:tcPr>
                  <w:tcW w:w="1046" w:type="pct"/>
                  <w:vAlign w:val="center"/>
                </w:tcPr>
                <w:p>
                  <w:pPr>
                    <w:jc w:val="center"/>
                    <w:rPr>
                      <w:szCs w:val="21"/>
                    </w:rPr>
                  </w:pPr>
                  <w:r>
                    <w:rPr>
                      <w:rFonts w:hint="eastAsia"/>
                      <w:kern w:val="0"/>
                      <w:szCs w:val="21"/>
                    </w:rPr>
                    <w:t>0.2 ND</w:t>
                  </w:r>
                </w:p>
              </w:tc>
              <w:tc>
                <w:tcPr>
                  <w:tcW w:w="901" w:type="pct"/>
                  <w:vAlign w:val="center"/>
                </w:tcPr>
                <w:p>
                  <w:pPr>
                    <w:spacing w:line="320" w:lineRule="exact"/>
                    <w:jc w:val="center"/>
                    <w:rPr>
                      <w:szCs w:val="21"/>
                    </w:rPr>
                  </w:pPr>
                  <w:r>
                    <w:rPr>
                      <w:rFonts w:hint="eastAsia"/>
                      <w:kern w:val="0"/>
                      <w:szCs w:val="21"/>
                    </w:rPr>
                    <w:t>0.2 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42</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苯并[k]荧蒽</w:t>
                  </w:r>
                </w:p>
              </w:tc>
              <w:tc>
                <w:tcPr>
                  <w:tcW w:w="965" w:type="pct"/>
                  <w:vAlign w:val="center"/>
                </w:tcPr>
                <w:p>
                  <w:pPr>
                    <w:adjustRightInd w:val="0"/>
                    <w:snapToGrid w:val="0"/>
                    <w:jc w:val="center"/>
                    <w:rPr>
                      <w:kern w:val="0"/>
                      <w:szCs w:val="21"/>
                    </w:rPr>
                  </w:pPr>
                  <w:r>
                    <w:rPr>
                      <w:rFonts w:hint="eastAsia"/>
                      <w:kern w:val="0"/>
                      <w:szCs w:val="21"/>
                    </w:rPr>
                    <w:t>0.1 ND</w:t>
                  </w:r>
                </w:p>
              </w:tc>
              <w:tc>
                <w:tcPr>
                  <w:tcW w:w="1046" w:type="pct"/>
                  <w:vAlign w:val="center"/>
                </w:tcPr>
                <w:p>
                  <w:pPr>
                    <w:jc w:val="center"/>
                    <w:rPr>
                      <w:szCs w:val="21"/>
                    </w:rPr>
                  </w:pPr>
                  <w:r>
                    <w:rPr>
                      <w:rFonts w:hint="eastAsia"/>
                      <w:kern w:val="0"/>
                      <w:szCs w:val="21"/>
                    </w:rPr>
                    <w:t>0.1 ND</w:t>
                  </w:r>
                </w:p>
              </w:tc>
              <w:tc>
                <w:tcPr>
                  <w:tcW w:w="901" w:type="pct"/>
                  <w:vAlign w:val="center"/>
                </w:tcPr>
                <w:p>
                  <w:pPr>
                    <w:spacing w:line="320" w:lineRule="exact"/>
                    <w:jc w:val="center"/>
                    <w:rPr>
                      <w:szCs w:val="21"/>
                    </w:rPr>
                  </w:pPr>
                  <w:r>
                    <w:rPr>
                      <w:rFonts w:hint="eastAsia"/>
                      <w:kern w:val="0"/>
                      <w:szCs w:val="21"/>
                    </w:rPr>
                    <w:t>0.1 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43</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䓛</w:t>
                  </w:r>
                </w:p>
              </w:tc>
              <w:tc>
                <w:tcPr>
                  <w:tcW w:w="965" w:type="pct"/>
                  <w:vAlign w:val="center"/>
                </w:tcPr>
                <w:p>
                  <w:pPr>
                    <w:adjustRightInd w:val="0"/>
                    <w:snapToGrid w:val="0"/>
                    <w:jc w:val="center"/>
                    <w:rPr>
                      <w:kern w:val="0"/>
                      <w:szCs w:val="21"/>
                    </w:rPr>
                  </w:pPr>
                  <w:r>
                    <w:rPr>
                      <w:rFonts w:hint="eastAsia"/>
                      <w:kern w:val="0"/>
                      <w:szCs w:val="21"/>
                    </w:rPr>
                    <w:t>0.1 ND</w:t>
                  </w:r>
                </w:p>
              </w:tc>
              <w:tc>
                <w:tcPr>
                  <w:tcW w:w="1046" w:type="pct"/>
                  <w:vAlign w:val="center"/>
                </w:tcPr>
                <w:p>
                  <w:pPr>
                    <w:jc w:val="center"/>
                    <w:rPr>
                      <w:szCs w:val="21"/>
                    </w:rPr>
                  </w:pPr>
                  <w:r>
                    <w:rPr>
                      <w:rFonts w:hint="eastAsia"/>
                      <w:kern w:val="0"/>
                      <w:szCs w:val="21"/>
                    </w:rPr>
                    <w:t>0.1 ND</w:t>
                  </w:r>
                </w:p>
              </w:tc>
              <w:tc>
                <w:tcPr>
                  <w:tcW w:w="901" w:type="pct"/>
                  <w:vAlign w:val="center"/>
                </w:tcPr>
                <w:p>
                  <w:pPr>
                    <w:spacing w:line="320" w:lineRule="exact"/>
                    <w:jc w:val="center"/>
                    <w:rPr>
                      <w:szCs w:val="21"/>
                    </w:rPr>
                  </w:pPr>
                  <w:r>
                    <w:rPr>
                      <w:rFonts w:hint="eastAsia"/>
                      <w:kern w:val="0"/>
                      <w:szCs w:val="21"/>
                    </w:rPr>
                    <w:t>0.1 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44</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szCs w:val="24"/>
                    </w:rPr>
                  </w:pPr>
                  <w:r>
                    <w:rPr>
                      <w:rFonts w:hint="eastAsia"/>
                      <w:szCs w:val="24"/>
                    </w:rPr>
                    <w:t>二苯并[a, h]蒽</w:t>
                  </w:r>
                </w:p>
              </w:tc>
              <w:tc>
                <w:tcPr>
                  <w:tcW w:w="965" w:type="pct"/>
                  <w:vAlign w:val="center"/>
                </w:tcPr>
                <w:p>
                  <w:pPr>
                    <w:adjustRightInd w:val="0"/>
                    <w:snapToGrid w:val="0"/>
                    <w:jc w:val="center"/>
                    <w:rPr>
                      <w:kern w:val="0"/>
                      <w:szCs w:val="21"/>
                    </w:rPr>
                  </w:pPr>
                  <w:r>
                    <w:rPr>
                      <w:rFonts w:hint="eastAsia"/>
                      <w:kern w:val="0"/>
                      <w:szCs w:val="21"/>
                    </w:rPr>
                    <w:t>0.1 ND</w:t>
                  </w:r>
                </w:p>
              </w:tc>
              <w:tc>
                <w:tcPr>
                  <w:tcW w:w="1046" w:type="pct"/>
                  <w:vAlign w:val="center"/>
                </w:tcPr>
                <w:p>
                  <w:pPr>
                    <w:jc w:val="center"/>
                    <w:rPr>
                      <w:szCs w:val="21"/>
                    </w:rPr>
                  </w:pPr>
                  <w:r>
                    <w:rPr>
                      <w:rFonts w:hint="eastAsia"/>
                      <w:kern w:val="0"/>
                      <w:szCs w:val="21"/>
                    </w:rPr>
                    <w:t>0.1 ND</w:t>
                  </w:r>
                </w:p>
              </w:tc>
              <w:tc>
                <w:tcPr>
                  <w:tcW w:w="901" w:type="pct"/>
                  <w:vAlign w:val="center"/>
                </w:tcPr>
                <w:p>
                  <w:pPr>
                    <w:spacing w:line="320" w:lineRule="exact"/>
                    <w:jc w:val="center"/>
                    <w:rPr>
                      <w:szCs w:val="21"/>
                    </w:rPr>
                  </w:pPr>
                  <w:r>
                    <w:rPr>
                      <w:rFonts w:hint="eastAsia"/>
                      <w:kern w:val="0"/>
                      <w:szCs w:val="21"/>
                    </w:rPr>
                    <w:t>0.1 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45</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szCs w:val="24"/>
                    </w:rPr>
                  </w:pPr>
                  <w:r>
                    <w:rPr>
                      <w:rFonts w:hint="eastAsia"/>
                      <w:szCs w:val="24"/>
                    </w:rPr>
                    <w:t>茚并[1,2,3-cd]芘</w:t>
                  </w:r>
                </w:p>
              </w:tc>
              <w:tc>
                <w:tcPr>
                  <w:tcW w:w="965" w:type="pct"/>
                  <w:vAlign w:val="center"/>
                </w:tcPr>
                <w:p>
                  <w:pPr>
                    <w:adjustRightInd w:val="0"/>
                    <w:snapToGrid w:val="0"/>
                    <w:jc w:val="center"/>
                    <w:rPr>
                      <w:kern w:val="0"/>
                      <w:szCs w:val="21"/>
                    </w:rPr>
                  </w:pPr>
                  <w:r>
                    <w:rPr>
                      <w:rFonts w:hint="eastAsia"/>
                      <w:kern w:val="0"/>
                      <w:szCs w:val="21"/>
                    </w:rPr>
                    <w:t>0.1 ND</w:t>
                  </w:r>
                </w:p>
              </w:tc>
              <w:tc>
                <w:tcPr>
                  <w:tcW w:w="1046" w:type="pct"/>
                  <w:vAlign w:val="center"/>
                </w:tcPr>
                <w:p>
                  <w:pPr>
                    <w:jc w:val="center"/>
                    <w:rPr>
                      <w:szCs w:val="21"/>
                    </w:rPr>
                  </w:pPr>
                  <w:r>
                    <w:rPr>
                      <w:rFonts w:hint="eastAsia"/>
                      <w:kern w:val="0"/>
                      <w:szCs w:val="21"/>
                    </w:rPr>
                    <w:t>0.1 ND</w:t>
                  </w:r>
                </w:p>
              </w:tc>
              <w:tc>
                <w:tcPr>
                  <w:tcW w:w="901" w:type="pct"/>
                  <w:vAlign w:val="center"/>
                </w:tcPr>
                <w:p>
                  <w:pPr>
                    <w:spacing w:line="320" w:lineRule="exact"/>
                    <w:jc w:val="center"/>
                    <w:rPr>
                      <w:szCs w:val="21"/>
                    </w:rPr>
                  </w:pPr>
                  <w:r>
                    <w:rPr>
                      <w:rFonts w:hint="eastAsia"/>
                      <w:kern w:val="0"/>
                      <w:szCs w:val="21"/>
                    </w:rPr>
                    <w:t>0.1 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 w:type="pct"/>
                  <w:vAlign w:val="center"/>
                </w:tcPr>
                <w:p>
                  <w:pPr>
                    <w:spacing w:line="320" w:lineRule="exact"/>
                    <w:jc w:val="center"/>
                    <w:rPr>
                      <w:szCs w:val="21"/>
                    </w:rPr>
                  </w:pPr>
                  <w:r>
                    <w:rPr>
                      <w:rFonts w:hint="eastAsia"/>
                      <w:szCs w:val="21"/>
                    </w:rPr>
                    <w:t>46</w:t>
                  </w:r>
                </w:p>
              </w:tc>
              <w:tc>
                <w:tcPr>
                  <w:tcW w:w="484" w:type="pct"/>
                  <w:vMerge w:val="continue"/>
                  <w:vAlign w:val="center"/>
                </w:tcPr>
                <w:p>
                  <w:pPr>
                    <w:spacing w:line="240" w:lineRule="exact"/>
                    <w:jc w:val="center"/>
                    <w:rPr>
                      <w:szCs w:val="21"/>
                    </w:rPr>
                  </w:pPr>
                </w:p>
              </w:tc>
              <w:tc>
                <w:tcPr>
                  <w:tcW w:w="1206" w:type="pct"/>
                  <w:vAlign w:val="center"/>
                </w:tcPr>
                <w:p>
                  <w:pPr>
                    <w:adjustRightInd w:val="0"/>
                    <w:snapToGrid w:val="0"/>
                    <w:jc w:val="center"/>
                    <w:rPr>
                      <w:kern w:val="0"/>
                      <w:szCs w:val="21"/>
                    </w:rPr>
                  </w:pPr>
                  <w:r>
                    <w:rPr>
                      <w:rFonts w:hint="eastAsia"/>
                      <w:szCs w:val="24"/>
                    </w:rPr>
                    <w:t>萘</w:t>
                  </w:r>
                </w:p>
              </w:tc>
              <w:tc>
                <w:tcPr>
                  <w:tcW w:w="965" w:type="pct"/>
                  <w:vAlign w:val="center"/>
                </w:tcPr>
                <w:p>
                  <w:pPr>
                    <w:adjustRightInd w:val="0"/>
                    <w:snapToGrid w:val="0"/>
                    <w:jc w:val="center"/>
                    <w:rPr>
                      <w:kern w:val="0"/>
                      <w:szCs w:val="21"/>
                    </w:rPr>
                  </w:pPr>
                  <w:r>
                    <w:rPr>
                      <w:rFonts w:hint="eastAsia"/>
                      <w:kern w:val="0"/>
                      <w:szCs w:val="21"/>
                    </w:rPr>
                    <w:t>0.09 ND</w:t>
                  </w:r>
                </w:p>
              </w:tc>
              <w:tc>
                <w:tcPr>
                  <w:tcW w:w="1046" w:type="pct"/>
                  <w:vAlign w:val="center"/>
                </w:tcPr>
                <w:p>
                  <w:pPr>
                    <w:jc w:val="center"/>
                    <w:rPr>
                      <w:szCs w:val="21"/>
                    </w:rPr>
                  </w:pPr>
                  <w:r>
                    <w:rPr>
                      <w:rFonts w:hint="eastAsia"/>
                      <w:kern w:val="0"/>
                      <w:szCs w:val="21"/>
                    </w:rPr>
                    <w:t>0.09 ND</w:t>
                  </w:r>
                </w:p>
              </w:tc>
              <w:tc>
                <w:tcPr>
                  <w:tcW w:w="901" w:type="pct"/>
                  <w:vAlign w:val="center"/>
                </w:tcPr>
                <w:p>
                  <w:pPr>
                    <w:spacing w:line="320" w:lineRule="exact"/>
                    <w:jc w:val="center"/>
                    <w:rPr>
                      <w:szCs w:val="21"/>
                    </w:rPr>
                  </w:pPr>
                  <w:r>
                    <w:rPr>
                      <w:rFonts w:hint="eastAsia"/>
                      <w:kern w:val="0"/>
                      <w:szCs w:val="21"/>
                    </w:rPr>
                    <w:t>0.09 ND</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由上表可知，主要监测指标满足《土壤环境质量 建设用地土壤污染风险管控标准(试行)》(GB36600-2018)标准要求。</w:t>
            </w:r>
          </w:p>
          <w:p>
            <w:pPr>
              <w:spacing w:line="360" w:lineRule="auto"/>
              <w:ind w:firstLine="482" w:firstLineChars="200"/>
              <w:rPr>
                <w:b/>
                <w:sz w:val="24"/>
              </w:rPr>
            </w:pPr>
            <w:r>
              <w:rPr>
                <w:rFonts w:hint="eastAsia"/>
                <w:b/>
                <w:sz w:val="24"/>
              </w:rPr>
              <w:t>四、生态环境现状</w:t>
            </w:r>
          </w:p>
          <w:p>
            <w:pPr>
              <w:spacing w:line="360" w:lineRule="auto"/>
              <w:ind w:firstLine="480" w:firstLineChars="200"/>
              <w:rPr>
                <w:sz w:val="24"/>
              </w:rPr>
            </w:pPr>
            <w:r>
              <w:rPr>
                <w:rFonts w:hint="eastAsia" w:hAnsi="宋体"/>
                <w:sz w:val="24"/>
                <w:szCs w:val="24"/>
              </w:rPr>
              <w:t>本项目</w:t>
            </w:r>
            <w:r>
              <w:rPr>
                <w:sz w:val="24"/>
                <w:szCs w:val="24"/>
              </w:rPr>
              <w:t>位于</w:t>
            </w:r>
            <w:r>
              <w:rPr>
                <w:rFonts w:hAnsi="宋体"/>
                <w:sz w:val="24"/>
                <w:szCs w:val="24"/>
              </w:rPr>
              <w:t>西安市长安区魏寨</w:t>
            </w:r>
            <w:r>
              <w:rPr>
                <w:rFonts w:hint="eastAsia" w:hAnsi="宋体"/>
                <w:sz w:val="24"/>
                <w:szCs w:val="24"/>
              </w:rPr>
              <w:t>乡东部新型建材产业基地</w:t>
            </w:r>
            <w:r>
              <w:rPr>
                <w:sz w:val="24"/>
              </w:rPr>
              <w:t>地块</w:t>
            </w:r>
            <w:r>
              <w:rPr>
                <w:rFonts w:hint="eastAsia"/>
                <w:sz w:val="24"/>
              </w:rPr>
              <w:t>四</w:t>
            </w:r>
            <w:r>
              <w:rPr>
                <w:sz w:val="24"/>
              </w:rPr>
              <w:t>范围内</w:t>
            </w:r>
            <w:r>
              <w:rPr>
                <w:rFonts w:hint="eastAsia" w:hAnsi="宋体"/>
                <w:sz w:val="24"/>
                <w:szCs w:val="24"/>
              </w:rPr>
              <w:t>，区域主要为草地，地表植被主要为灌木和草本植物。</w:t>
            </w:r>
            <w:r>
              <w:rPr>
                <w:rFonts w:hint="eastAsia" w:hAnsi="宋体"/>
                <w:spacing w:val="6"/>
                <w:sz w:val="24"/>
              </w:rPr>
              <w:t>项目地植被主要是白茅、薹草以及艾蒿、狗尾草等杂草，取土区范围未见大型野生动物出没，无国家重点保护珍惜野生动物及其栖息地分布，仅有田鼠、麻雀等小型野生动物出没。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7" w:type="dxa"/>
          <w:trHeight w:val="13554" w:hRule="atLeast"/>
        </w:trPr>
        <w:tc>
          <w:tcPr>
            <w:tcW w:w="9040" w:type="dxa"/>
            <w:gridSpan w:val="2"/>
            <w:tcBorders>
              <w:top w:val="single" w:color="auto" w:sz="12" w:space="0"/>
              <w:left w:val="single" w:color="auto" w:sz="12" w:space="0"/>
              <w:bottom w:val="single" w:color="auto" w:sz="12" w:space="0"/>
              <w:right w:val="single" w:color="auto" w:sz="12" w:space="0"/>
            </w:tcBorders>
          </w:tcPr>
          <w:p>
            <w:pPr>
              <w:spacing w:line="360" w:lineRule="auto"/>
              <w:rPr>
                <w:b/>
                <w:sz w:val="24"/>
              </w:rPr>
            </w:pPr>
            <w:r>
              <w:rPr>
                <w:rFonts w:hAnsi="宋体"/>
                <w:b/>
                <w:sz w:val="24"/>
              </w:rPr>
              <w:t>主要环境保护目标</w:t>
            </w:r>
          </w:p>
          <w:p>
            <w:pPr>
              <w:spacing w:line="360" w:lineRule="auto"/>
              <w:ind w:firstLine="480" w:firstLineChars="200"/>
              <w:rPr>
                <w:rFonts w:hAnsi="宋体"/>
                <w:sz w:val="24"/>
                <w:szCs w:val="24"/>
              </w:rPr>
            </w:pPr>
            <w:r>
              <w:rPr>
                <w:rFonts w:hAnsi="宋体"/>
                <w:sz w:val="24"/>
                <w:szCs w:val="24"/>
              </w:rPr>
              <w:t>根据现场调查，项目所在地周边无自然保护区、风景名胜区和文物古迹等特殊保护对象，根据项目特点及周围环境特征，项目主要环境保护目标如下：</w:t>
            </w:r>
          </w:p>
          <w:p>
            <w:pPr>
              <w:jc w:val="center"/>
              <w:rPr>
                <w:rFonts w:hAnsi="宋体"/>
                <w:b/>
              </w:rPr>
            </w:pPr>
            <w:r>
              <w:rPr>
                <w:rFonts w:hAnsi="宋体"/>
                <w:b/>
              </w:rPr>
              <w:t>表</w:t>
            </w:r>
            <w:r>
              <w:rPr>
                <w:rFonts w:hint="eastAsia" w:hAnsi="宋体"/>
                <w:b/>
              </w:rPr>
              <w:t>19</w:t>
            </w:r>
            <w:r>
              <w:rPr>
                <w:b/>
              </w:rPr>
              <w:t xml:space="preserve">    </w:t>
            </w:r>
            <w:r>
              <w:rPr>
                <w:rFonts w:hint="eastAsia" w:hAnsi="宋体"/>
                <w:b/>
              </w:rPr>
              <w:t>项目</w:t>
            </w:r>
            <w:r>
              <w:rPr>
                <w:rFonts w:hAnsi="宋体"/>
                <w:b/>
              </w:rPr>
              <w:t>主要环境保护目标</w:t>
            </w:r>
          </w:p>
          <w:tbl>
            <w:tblPr>
              <w:tblStyle w:val="24"/>
              <w:tblW w:w="8854" w:type="dxa"/>
              <w:tblInd w:w="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6"/>
              <w:gridCol w:w="834"/>
              <w:gridCol w:w="838"/>
              <w:gridCol w:w="1216"/>
              <w:gridCol w:w="913"/>
              <w:gridCol w:w="1669"/>
              <w:gridCol w:w="1308"/>
              <w:gridCol w:w="13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 w:hRule="atLeast"/>
              </w:trPr>
              <w:tc>
                <w:tcPr>
                  <w:tcW w:w="746" w:type="dxa"/>
                  <w:vMerge w:val="restart"/>
                  <w:tcBorders>
                    <w:top w:val="single" w:color="auto" w:sz="12" w:space="0"/>
                    <w:left w:val="nil"/>
                  </w:tcBorders>
                  <w:shd w:val="clear" w:color="auto" w:fill="auto"/>
                  <w:vAlign w:val="center"/>
                </w:tcPr>
                <w:p>
                  <w:pPr>
                    <w:pStyle w:val="104"/>
                    <w:jc w:val="center"/>
                    <w:rPr>
                      <w:rFonts w:ascii="Times New Roman" w:cs="Times New Roman"/>
                      <w:color w:val="auto"/>
                      <w:sz w:val="21"/>
                      <w:szCs w:val="21"/>
                    </w:rPr>
                  </w:pPr>
                  <w:bookmarkStart w:id="2" w:name="_Hlk536557226"/>
                  <w:r>
                    <w:rPr>
                      <w:rFonts w:ascii="Times New Roman" w:cs="Times New Roman"/>
                      <w:color w:val="auto"/>
                      <w:sz w:val="21"/>
                      <w:szCs w:val="21"/>
                    </w:rPr>
                    <w:t>名称</w:t>
                  </w:r>
                </w:p>
              </w:tc>
              <w:tc>
                <w:tcPr>
                  <w:tcW w:w="1672" w:type="dxa"/>
                  <w:gridSpan w:val="2"/>
                  <w:tcBorders>
                    <w:top w:val="single" w:color="auto" w:sz="12" w:space="0"/>
                    <w:bottom w:val="single" w:color="auto" w:sz="4" w:space="0"/>
                    <w:right w:val="single" w:color="auto" w:sz="4" w:space="0"/>
                  </w:tcBorders>
                  <w:shd w:val="clear" w:color="auto" w:fill="auto"/>
                  <w:vAlign w:val="center"/>
                </w:tcPr>
                <w:p>
                  <w:pPr>
                    <w:pStyle w:val="104"/>
                    <w:jc w:val="center"/>
                    <w:rPr>
                      <w:rFonts w:ascii="Times New Roman" w:cs="Times New Roman"/>
                      <w:color w:val="auto"/>
                      <w:sz w:val="21"/>
                      <w:szCs w:val="21"/>
                    </w:rPr>
                  </w:pPr>
                  <w:r>
                    <w:rPr>
                      <w:rFonts w:hint="eastAsia" w:ascii="Times New Roman" w:cs="Times New Roman"/>
                      <w:color w:val="auto"/>
                      <w:sz w:val="21"/>
                      <w:szCs w:val="21"/>
                    </w:rPr>
                    <w:t>坐标/m</w:t>
                  </w:r>
                </w:p>
              </w:tc>
              <w:tc>
                <w:tcPr>
                  <w:tcW w:w="1216" w:type="dxa"/>
                  <w:vMerge w:val="restart"/>
                  <w:tcBorders>
                    <w:top w:val="single" w:color="auto" w:sz="12" w:space="0"/>
                    <w:left w:val="single" w:color="auto" w:sz="4" w:space="0"/>
                  </w:tcBorders>
                  <w:shd w:val="clear" w:color="auto" w:fill="auto"/>
                  <w:vAlign w:val="center"/>
                </w:tcPr>
                <w:p>
                  <w:pPr>
                    <w:pStyle w:val="104"/>
                    <w:jc w:val="center"/>
                    <w:rPr>
                      <w:rFonts w:ascii="Times New Roman" w:cs="Times New Roman"/>
                      <w:color w:val="auto"/>
                      <w:sz w:val="21"/>
                      <w:szCs w:val="21"/>
                    </w:rPr>
                  </w:pPr>
                  <w:r>
                    <w:rPr>
                      <w:rFonts w:hint="eastAsia" w:ascii="Times New Roman" w:cs="Times New Roman"/>
                      <w:color w:val="auto"/>
                      <w:sz w:val="21"/>
                      <w:szCs w:val="21"/>
                    </w:rPr>
                    <w:t>保护对象</w:t>
                  </w:r>
                </w:p>
              </w:tc>
              <w:tc>
                <w:tcPr>
                  <w:tcW w:w="913" w:type="dxa"/>
                  <w:vMerge w:val="restart"/>
                  <w:tcBorders>
                    <w:top w:val="single" w:color="auto" w:sz="12" w:space="0"/>
                  </w:tcBorders>
                  <w:shd w:val="clear" w:color="auto" w:fill="auto"/>
                  <w:vAlign w:val="center"/>
                </w:tcPr>
                <w:p>
                  <w:pPr>
                    <w:pStyle w:val="104"/>
                    <w:jc w:val="center"/>
                    <w:rPr>
                      <w:rFonts w:ascii="Times New Roman" w:cs="Times New Roman"/>
                      <w:color w:val="auto"/>
                      <w:sz w:val="21"/>
                      <w:szCs w:val="21"/>
                    </w:rPr>
                  </w:pPr>
                  <w:r>
                    <w:rPr>
                      <w:rFonts w:ascii="Times New Roman" w:cs="Times New Roman"/>
                      <w:color w:val="auto"/>
                      <w:sz w:val="21"/>
                      <w:szCs w:val="21"/>
                    </w:rPr>
                    <w:t>保护内容</w:t>
                  </w:r>
                </w:p>
              </w:tc>
              <w:tc>
                <w:tcPr>
                  <w:tcW w:w="1669" w:type="dxa"/>
                  <w:vMerge w:val="restart"/>
                  <w:tcBorders>
                    <w:top w:val="single" w:color="auto" w:sz="12" w:space="0"/>
                  </w:tcBorders>
                  <w:shd w:val="clear" w:color="auto" w:fill="auto"/>
                  <w:vAlign w:val="center"/>
                </w:tcPr>
                <w:p>
                  <w:pPr>
                    <w:pStyle w:val="104"/>
                    <w:jc w:val="center"/>
                    <w:rPr>
                      <w:rFonts w:ascii="Times New Roman" w:cs="Times New Roman"/>
                      <w:color w:val="auto"/>
                      <w:sz w:val="21"/>
                      <w:szCs w:val="21"/>
                    </w:rPr>
                  </w:pPr>
                  <w:r>
                    <w:rPr>
                      <w:rFonts w:ascii="Times New Roman" w:cs="Times New Roman"/>
                      <w:color w:val="auto"/>
                      <w:sz w:val="21"/>
                      <w:szCs w:val="21"/>
                    </w:rPr>
                    <w:t>环境功能区</w:t>
                  </w:r>
                </w:p>
              </w:tc>
              <w:tc>
                <w:tcPr>
                  <w:tcW w:w="1308" w:type="dxa"/>
                  <w:vMerge w:val="restart"/>
                  <w:tcBorders>
                    <w:top w:val="single" w:color="auto" w:sz="12" w:space="0"/>
                  </w:tcBorders>
                  <w:shd w:val="clear" w:color="auto" w:fill="auto"/>
                </w:tcPr>
                <w:p>
                  <w:pPr>
                    <w:pStyle w:val="104"/>
                    <w:jc w:val="center"/>
                    <w:rPr>
                      <w:rFonts w:ascii="Times New Roman" w:cs="Times New Roman"/>
                      <w:color w:val="auto"/>
                      <w:sz w:val="21"/>
                      <w:szCs w:val="21"/>
                    </w:rPr>
                  </w:pPr>
                  <w:r>
                    <w:rPr>
                      <w:rFonts w:ascii="Times New Roman" w:cs="Times New Roman"/>
                      <w:color w:val="auto"/>
                      <w:sz w:val="21"/>
                      <w:szCs w:val="21"/>
                    </w:rPr>
                    <w:t>相对厂址方位</w:t>
                  </w:r>
                </w:p>
              </w:tc>
              <w:tc>
                <w:tcPr>
                  <w:tcW w:w="1330" w:type="dxa"/>
                  <w:vMerge w:val="restart"/>
                  <w:tcBorders>
                    <w:top w:val="single" w:color="auto" w:sz="12" w:space="0"/>
                    <w:right w:val="nil"/>
                  </w:tcBorders>
                  <w:shd w:val="clear" w:color="auto" w:fill="auto"/>
                </w:tcPr>
                <w:p>
                  <w:pPr>
                    <w:pStyle w:val="104"/>
                    <w:rPr>
                      <w:rFonts w:ascii="Times New Roman" w:cs="Times New Roman"/>
                      <w:color w:val="auto"/>
                      <w:sz w:val="21"/>
                      <w:szCs w:val="21"/>
                    </w:rPr>
                  </w:pPr>
                  <w:r>
                    <w:rPr>
                      <w:rFonts w:ascii="Times New Roman" w:cs="Times New Roman"/>
                      <w:color w:val="auto"/>
                      <w:sz w:val="21"/>
                      <w:szCs w:val="21"/>
                    </w:rPr>
                    <w:t>相对厂界距离/m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6" w:hRule="atLeast"/>
              </w:trPr>
              <w:tc>
                <w:tcPr>
                  <w:tcW w:w="746" w:type="dxa"/>
                  <w:vMerge w:val="continue"/>
                  <w:tcBorders>
                    <w:left w:val="nil"/>
                  </w:tcBorders>
                  <w:shd w:val="clear" w:color="auto" w:fill="auto"/>
                  <w:vAlign w:val="center"/>
                </w:tcPr>
                <w:p>
                  <w:pPr>
                    <w:pStyle w:val="104"/>
                    <w:jc w:val="center"/>
                    <w:rPr>
                      <w:rFonts w:ascii="Times New Roman" w:cs="Times New Roman"/>
                      <w:color w:val="auto"/>
                      <w:sz w:val="21"/>
                      <w:szCs w:val="21"/>
                    </w:rPr>
                  </w:pPr>
                </w:p>
              </w:tc>
              <w:tc>
                <w:tcPr>
                  <w:tcW w:w="834" w:type="dxa"/>
                  <w:tcBorders>
                    <w:top w:val="single" w:color="auto" w:sz="4" w:space="0"/>
                    <w:right w:val="single" w:color="auto" w:sz="4" w:space="0"/>
                  </w:tcBorders>
                  <w:shd w:val="clear" w:color="auto" w:fill="auto"/>
                  <w:vAlign w:val="center"/>
                </w:tcPr>
                <w:p>
                  <w:pPr>
                    <w:pStyle w:val="104"/>
                    <w:jc w:val="center"/>
                    <w:rPr>
                      <w:rFonts w:ascii="Times New Roman" w:cs="Times New Roman"/>
                      <w:color w:val="auto"/>
                      <w:sz w:val="21"/>
                      <w:szCs w:val="21"/>
                    </w:rPr>
                  </w:pPr>
                  <w:r>
                    <w:rPr>
                      <w:rFonts w:hint="eastAsia" w:ascii="Times New Roman" w:cs="Times New Roman"/>
                      <w:color w:val="auto"/>
                      <w:sz w:val="21"/>
                      <w:szCs w:val="21"/>
                    </w:rPr>
                    <w:t>X</w:t>
                  </w:r>
                </w:p>
              </w:tc>
              <w:tc>
                <w:tcPr>
                  <w:tcW w:w="838" w:type="dxa"/>
                  <w:tcBorders>
                    <w:top w:val="single" w:color="auto" w:sz="4" w:space="0"/>
                    <w:left w:val="single" w:color="auto" w:sz="4" w:space="0"/>
                    <w:right w:val="single" w:color="auto" w:sz="4" w:space="0"/>
                  </w:tcBorders>
                  <w:shd w:val="clear" w:color="auto" w:fill="auto"/>
                  <w:vAlign w:val="center"/>
                </w:tcPr>
                <w:p>
                  <w:pPr>
                    <w:pStyle w:val="104"/>
                    <w:jc w:val="center"/>
                    <w:rPr>
                      <w:rFonts w:ascii="Times New Roman" w:cs="Times New Roman"/>
                      <w:color w:val="auto"/>
                      <w:sz w:val="21"/>
                      <w:szCs w:val="21"/>
                    </w:rPr>
                  </w:pPr>
                  <w:r>
                    <w:rPr>
                      <w:rFonts w:hint="eastAsia" w:ascii="Times New Roman" w:cs="Times New Roman"/>
                      <w:color w:val="auto"/>
                      <w:sz w:val="21"/>
                      <w:szCs w:val="21"/>
                    </w:rPr>
                    <w:t>Y</w:t>
                  </w:r>
                </w:p>
              </w:tc>
              <w:tc>
                <w:tcPr>
                  <w:tcW w:w="1216" w:type="dxa"/>
                  <w:vMerge w:val="continue"/>
                  <w:tcBorders>
                    <w:left w:val="single" w:color="auto" w:sz="4" w:space="0"/>
                  </w:tcBorders>
                  <w:shd w:val="clear" w:color="auto" w:fill="auto"/>
                  <w:vAlign w:val="center"/>
                </w:tcPr>
                <w:p>
                  <w:pPr>
                    <w:pStyle w:val="104"/>
                    <w:jc w:val="center"/>
                    <w:rPr>
                      <w:rFonts w:ascii="Times New Roman" w:cs="Times New Roman"/>
                      <w:color w:val="auto"/>
                      <w:sz w:val="21"/>
                      <w:szCs w:val="21"/>
                    </w:rPr>
                  </w:pPr>
                </w:p>
              </w:tc>
              <w:tc>
                <w:tcPr>
                  <w:tcW w:w="913" w:type="dxa"/>
                  <w:vMerge w:val="continue"/>
                  <w:shd w:val="clear" w:color="auto" w:fill="auto"/>
                  <w:vAlign w:val="center"/>
                </w:tcPr>
                <w:p>
                  <w:pPr>
                    <w:pStyle w:val="104"/>
                    <w:jc w:val="center"/>
                    <w:rPr>
                      <w:rFonts w:ascii="Times New Roman" w:cs="Times New Roman"/>
                      <w:color w:val="auto"/>
                      <w:sz w:val="21"/>
                      <w:szCs w:val="21"/>
                    </w:rPr>
                  </w:pPr>
                </w:p>
              </w:tc>
              <w:tc>
                <w:tcPr>
                  <w:tcW w:w="1669" w:type="dxa"/>
                  <w:vMerge w:val="continue"/>
                  <w:shd w:val="clear" w:color="auto" w:fill="auto"/>
                  <w:vAlign w:val="center"/>
                </w:tcPr>
                <w:p>
                  <w:pPr>
                    <w:pStyle w:val="104"/>
                    <w:jc w:val="center"/>
                    <w:rPr>
                      <w:rFonts w:ascii="Times New Roman" w:cs="Times New Roman"/>
                      <w:color w:val="auto"/>
                      <w:sz w:val="21"/>
                      <w:szCs w:val="21"/>
                    </w:rPr>
                  </w:pPr>
                </w:p>
              </w:tc>
              <w:tc>
                <w:tcPr>
                  <w:tcW w:w="1308" w:type="dxa"/>
                  <w:vMerge w:val="continue"/>
                  <w:shd w:val="clear" w:color="auto" w:fill="auto"/>
                </w:tcPr>
                <w:p>
                  <w:pPr>
                    <w:pStyle w:val="104"/>
                    <w:jc w:val="center"/>
                    <w:rPr>
                      <w:rFonts w:ascii="Times New Roman" w:cs="Times New Roman"/>
                      <w:color w:val="auto"/>
                      <w:sz w:val="21"/>
                      <w:szCs w:val="21"/>
                    </w:rPr>
                  </w:pPr>
                </w:p>
              </w:tc>
              <w:tc>
                <w:tcPr>
                  <w:tcW w:w="1330" w:type="dxa"/>
                  <w:vMerge w:val="continue"/>
                  <w:tcBorders>
                    <w:right w:val="nil"/>
                  </w:tcBorders>
                  <w:shd w:val="clear" w:color="auto" w:fill="auto"/>
                </w:tcPr>
                <w:p>
                  <w:pPr>
                    <w:pStyle w:val="104"/>
                    <w:rPr>
                      <w:rFonts w:asci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746" w:type="dxa"/>
                  <w:vMerge w:val="restart"/>
                  <w:tcBorders>
                    <w:left w:val="nil"/>
                  </w:tcBorders>
                  <w:shd w:val="clear" w:color="auto" w:fill="auto"/>
                  <w:vAlign w:val="center"/>
                </w:tcPr>
                <w:p>
                  <w:pPr>
                    <w:pStyle w:val="104"/>
                    <w:jc w:val="center"/>
                    <w:rPr>
                      <w:rFonts w:ascii="Times New Roman" w:cs="Times New Roman"/>
                      <w:color w:val="auto"/>
                      <w:sz w:val="21"/>
                      <w:szCs w:val="21"/>
                    </w:rPr>
                  </w:pPr>
                  <w:r>
                    <w:rPr>
                      <w:rFonts w:ascii="Times New Roman" w:cs="Times New Roman"/>
                      <w:color w:val="auto"/>
                      <w:sz w:val="21"/>
                      <w:szCs w:val="21"/>
                    </w:rPr>
                    <w:t>环境空气</w:t>
                  </w:r>
                </w:p>
              </w:tc>
              <w:tc>
                <w:tcPr>
                  <w:tcW w:w="834" w:type="dxa"/>
                  <w:tcBorders>
                    <w:right w:val="single" w:color="auto" w:sz="4" w:space="0"/>
                  </w:tcBorders>
                  <w:shd w:val="clear" w:color="auto" w:fill="auto"/>
                  <w:vAlign w:val="center"/>
                </w:tcPr>
                <w:p>
                  <w:pPr>
                    <w:widowControl/>
                    <w:contextualSpacing/>
                    <w:jc w:val="center"/>
                    <w:textAlignment w:val="center"/>
                    <w:rPr>
                      <w:szCs w:val="21"/>
                    </w:rPr>
                  </w:pPr>
                  <w:r>
                    <w:rPr>
                      <w:rFonts w:hint="eastAsia"/>
                      <w:szCs w:val="21"/>
                    </w:rPr>
                    <w:t>-10</w:t>
                  </w:r>
                </w:p>
              </w:tc>
              <w:tc>
                <w:tcPr>
                  <w:tcW w:w="838" w:type="dxa"/>
                  <w:tcBorders>
                    <w:left w:val="single" w:color="auto" w:sz="4" w:space="0"/>
                    <w:right w:val="single" w:color="auto" w:sz="4" w:space="0"/>
                  </w:tcBorders>
                  <w:shd w:val="clear" w:color="auto" w:fill="auto"/>
                  <w:vAlign w:val="center"/>
                </w:tcPr>
                <w:p>
                  <w:pPr>
                    <w:widowControl/>
                    <w:contextualSpacing/>
                    <w:jc w:val="center"/>
                    <w:textAlignment w:val="center"/>
                    <w:rPr>
                      <w:szCs w:val="21"/>
                    </w:rPr>
                  </w:pPr>
                  <w:r>
                    <w:rPr>
                      <w:rFonts w:hint="eastAsia"/>
                      <w:szCs w:val="21"/>
                    </w:rPr>
                    <w:t>0</w:t>
                  </w:r>
                </w:p>
              </w:tc>
              <w:tc>
                <w:tcPr>
                  <w:tcW w:w="1216" w:type="dxa"/>
                  <w:tcBorders>
                    <w:left w:val="single" w:color="auto" w:sz="4" w:space="0"/>
                  </w:tcBorders>
                  <w:shd w:val="clear" w:color="auto" w:fill="auto"/>
                  <w:vAlign w:val="center"/>
                </w:tcPr>
                <w:p>
                  <w:pPr>
                    <w:contextualSpacing/>
                    <w:jc w:val="center"/>
                    <w:textAlignment w:val="center"/>
                    <w:rPr>
                      <w:szCs w:val="21"/>
                    </w:rPr>
                  </w:pPr>
                  <w:r>
                    <w:rPr>
                      <w:rFonts w:hint="eastAsia" w:hAnsi="宋体"/>
                      <w:szCs w:val="21"/>
                    </w:rPr>
                    <w:t>蚕姑沟村</w:t>
                  </w:r>
                </w:p>
              </w:tc>
              <w:tc>
                <w:tcPr>
                  <w:tcW w:w="913" w:type="dxa"/>
                  <w:vMerge w:val="restart"/>
                  <w:shd w:val="clear" w:color="auto" w:fill="auto"/>
                  <w:vAlign w:val="center"/>
                </w:tcPr>
                <w:p>
                  <w:pPr>
                    <w:contextualSpacing/>
                    <w:jc w:val="center"/>
                    <w:rPr>
                      <w:bCs/>
                      <w:szCs w:val="21"/>
                    </w:rPr>
                  </w:pPr>
                  <w:r>
                    <w:rPr>
                      <w:bCs/>
                      <w:szCs w:val="21"/>
                    </w:rPr>
                    <w:t>人群健康、</w:t>
                  </w:r>
                </w:p>
                <w:p>
                  <w:pPr>
                    <w:pStyle w:val="104"/>
                    <w:jc w:val="center"/>
                    <w:rPr>
                      <w:rFonts w:ascii="Times New Roman" w:cs="Times New Roman"/>
                      <w:color w:val="auto"/>
                      <w:sz w:val="21"/>
                      <w:szCs w:val="21"/>
                    </w:rPr>
                  </w:pPr>
                  <w:r>
                    <w:rPr>
                      <w:rFonts w:ascii="Times New Roman" w:cs="Times New Roman"/>
                      <w:bCs/>
                      <w:color w:val="auto"/>
                      <w:sz w:val="21"/>
                      <w:szCs w:val="21"/>
                    </w:rPr>
                    <w:t>环境空气质量</w:t>
                  </w:r>
                </w:p>
              </w:tc>
              <w:tc>
                <w:tcPr>
                  <w:tcW w:w="1669" w:type="dxa"/>
                  <w:vMerge w:val="restart"/>
                  <w:shd w:val="clear" w:color="auto" w:fill="auto"/>
                  <w:vAlign w:val="center"/>
                </w:tcPr>
                <w:p>
                  <w:pPr>
                    <w:pStyle w:val="104"/>
                    <w:jc w:val="center"/>
                    <w:rPr>
                      <w:rFonts w:ascii="Times New Roman" w:cs="Times New Roman"/>
                      <w:color w:val="auto"/>
                      <w:sz w:val="21"/>
                      <w:szCs w:val="21"/>
                    </w:rPr>
                  </w:pPr>
                  <w:r>
                    <w:rPr>
                      <w:rFonts w:ascii="Times New Roman" w:cs="Times New Roman"/>
                      <w:bCs/>
                      <w:color w:val="auto"/>
                      <w:sz w:val="21"/>
                      <w:szCs w:val="21"/>
                    </w:rPr>
                    <w:t>环境空气质量标准》（GB3095-2012）二级标准</w:t>
                  </w:r>
                </w:p>
              </w:tc>
              <w:tc>
                <w:tcPr>
                  <w:tcW w:w="1308" w:type="dxa"/>
                  <w:shd w:val="clear" w:color="auto" w:fill="auto"/>
                  <w:vAlign w:val="center"/>
                </w:tcPr>
                <w:p>
                  <w:pPr>
                    <w:widowControl/>
                    <w:contextualSpacing/>
                    <w:jc w:val="center"/>
                    <w:textAlignment w:val="center"/>
                    <w:rPr>
                      <w:szCs w:val="21"/>
                    </w:rPr>
                  </w:pPr>
                  <w:r>
                    <w:rPr>
                      <w:rFonts w:hint="eastAsia"/>
                      <w:szCs w:val="21"/>
                    </w:rPr>
                    <w:t>W</w:t>
                  </w:r>
                </w:p>
              </w:tc>
              <w:tc>
                <w:tcPr>
                  <w:tcW w:w="1330" w:type="dxa"/>
                  <w:tcBorders>
                    <w:right w:val="nil"/>
                  </w:tcBorders>
                  <w:shd w:val="clear" w:color="auto" w:fill="auto"/>
                  <w:vAlign w:val="center"/>
                </w:tcPr>
                <w:p>
                  <w:pPr>
                    <w:widowControl/>
                    <w:contextualSpacing/>
                    <w:jc w:val="center"/>
                    <w:textAlignment w:val="center"/>
                    <w:rPr>
                      <w:szCs w:val="21"/>
                    </w:rPr>
                  </w:pPr>
                  <w:r>
                    <w:rPr>
                      <w:rFonts w:hint="eastAsia"/>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trPr>
              <w:tc>
                <w:tcPr>
                  <w:tcW w:w="746" w:type="dxa"/>
                  <w:vMerge w:val="continue"/>
                  <w:tcBorders>
                    <w:left w:val="nil"/>
                  </w:tcBorders>
                  <w:shd w:val="clear" w:color="auto" w:fill="auto"/>
                  <w:vAlign w:val="center"/>
                </w:tcPr>
                <w:p>
                  <w:pPr>
                    <w:pStyle w:val="104"/>
                    <w:jc w:val="center"/>
                    <w:rPr>
                      <w:rFonts w:ascii="Times New Roman" w:cs="Times New Roman"/>
                      <w:color w:val="auto"/>
                      <w:sz w:val="21"/>
                      <w:szCs w:val="21"/>
                    </w:rPr>
                  </w:pPr>
                </w:p>
              </w:tc>
              <w:tc>
                <w:tcPr>
                  <w:tcW w:w="834" w:type="dxa"/>
                  <w:tcBorders>
                    <w:right w:val="single" w:color="auto" w:sz="4" w:space="0"/>
                  </w:tcBorders>
                  <w:shd w:val="clear" w:color="auto" w:fill="auto"/>
                  <w:vAlign w:val="center"/>
                </w:tcPr>
                <w:p>
                  <w:pPr>
                    <w:widowControl/>
                    <w:contextualSpacing/>
                    <w:jc w:val="center"/>
                    <w:textAlignment w:val="center"/>
                    <w:rPr>
                      <w:szCs w:val="21"/>
                    </w:rPr>
                  </w:pPr>
                  <w:r>
                    <w:rPr>
                      <w:rFonts w:hint="eastAsia"/>
                      <w:szCs w:val="21"/>
                    </w:rPr>
                    <w:t>250</w:t>
                  </w:r>
                </w:p>
              </w:tc>
              <w:tc>
                <w:tcPr>
                  <w:tcW w:w="838" w:type="dxa"/>
                  <w:tcBorders>
                    <w:left w:val="single" w:color="auto" w:sz="4" w:space="0"/>
                    <w:right w:val="single" w:color="auto" w:sz="4" w:space="0"/>
                  </w:tcBorders>
                  <w:shd w:val="clear" w:color="auto" w:fill="auto"/>
                  <w:vAlign w:val="center"/>
                </w:tcPr>
                <w:p>
                  <w:pPr>
                    <w:widowControl/>
                    <w:contextualSpacing/>
                    <w:jc w:val="center"/>
                    <w:textAlignment w:val="center"/>
                    <w:rPr>
                      <w:szCs w:val="21"/>
                    </w:rPr>
                  </w:pPr>
                  <w:r>
                    <w:rPr>
                      <w:rFonts w:hint="eastAsia"/>
                      <w:szCs w:val="21"/>
                    </w:rPr>
                    <w:t>0</w:t>
                  </w:r>
                </w:p>
              </w:tc>
              <w:tc>
                <w:tcPr>
                  <w:tcW w:w="1216" w:type="dxa"/>
                  <w:tcBorders>
                    <w:left w:val="single" w:color="auto" w:sz="4" w:space="0"/>
                  </w:tcBorders>
                  <w:shd w:val="clear" w:color="auto" w:fill="auto"/>
                  <w:vAlign w:val="center"/>
                </w:tcPr>
                <w:p>
                  <w:pPr>
                    <w:contextualSpacing/>
                    <w:jc w:val="center"/>
                    <w:textAlignment w:val="center"/>
                    <w:rPr>
                      <w:szCs w:val="21"/>
                    </w:rPr>
                  </w:pPr>
                  <w:r>
                    <w:rPr>
                      <w:rFonts w:hint="eastAsia"/>
                      <w:szCs w:val="21"/>
                    </w:rPr>
                    <w:t>长沟村</w:t>
                  </w:r>
                </w:p>
              </w:tc>
              <w:tc>
                <w:tcPr>
                  <w:tcW w:w="913" w:type="dxa"/>
                  <w:vMerge w:val="continue"/>
                  <w:shd w:val="clear" w:color="auto" w:fill="auto"/>
                  <w:vAlign w:val="center"/>
                </w:tcPr>
                <w:p>
                  <w:pPr>
                    <w:rPr>
                      <w:szCs w:val="21"/>
                    </w:rPr>
                  </w:pPr>
                </w:p>
              </w:tc>
              <w:tc>
                <w:tcPr>
                  <w:tcW w:w="1669" w:type="dxa"/>
                  <w:vMerge w:val="continue"/>
                  <w:shd w:val="clear" w:color="auto" w:fill="auto"/>
                  <w:vAlign w:val="center"/>
                </w:tcPr>
                <w:p>
                  <w:pPr>
                    <w:pStyle w:val="104"/>
                    <w:jc w:val="center"/>
                    <w:rPr>
                      <w:rFonts w:ascii="Times New Roman" w:cs="Times New Roman"/>
                      <w:color w:val="auto"/>
                      <w:sz w:val="21"/>
                      <w:szCs w:val="21"/>
                    </w:rPr>
                  </w:pPr>
                </w:p>
              </w:tc>
              <w:tc>
                <w:tcPr>
                  <w:tcW w:w="1308" w:type="dxa"/>
                  <w:shd w:val="clear" w:color="auto" w:fill="auto"/>
                  <w:vAlign w:val="center"/>
                </w:tcPr>
                <w:p>
                  <w:pPr>
                    <w:jc w:val="center"/>
                    <w:rPr>
                      <w:szCs w:val="21"/>
                    </w:rPr>
                  </w:pPr>
                  <w:r>
                    <w:rPr>
                      <w:rFonts w:hint="eastAsia"/>
                      <w:szCs w:val="21"/>
                    </w:rPr>
                    <w:t>E</w:t>
                  </w:r>
                </w:p>
              </w:tc>
              <w:tc>
                <w:tcPr>
                  <w:tcW w:w="1330" w:type="dxa"/>
                  <w:tcBorders>
                    <w:right w:val="nil"/>
                  </w:tcBorders>
                  <w:shd w:val="clear" w:color="auto" w:fill="auto"/>
                  <w:vAlign w:val="center"/>
                </w:tcPr>
                <w:p>
                  <w:pPr>
                    <w:widowControl/>
                    <w:contextualSpacing/>
                    <w:jc w:val="center"/>
                    <w:textAlignment w:val="center"/>
                    <w:rPr>
                      <w:szCs w:val="21"/>
                    </w:rPr>
                  </w:pPr>
                  <w:r>
                    <w:rPr>
                      <w:rFonts w:hint="eastAsia"/>
                      <w:szCs w:val="21"/>
                    </w:rPr>
                    <w:t>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trPr>
              <w:tc>
                <w:tcPr>
                  <w:tcW w:w="746" w:type="dxa"/>
                  <w:vMerge w:val="continue"/>
                  <w:tcBorders>
                    <w:left w:val="nil"/>
                  </w:tcBorders>
                  <w:shd w:val="clear" w:color="auto" w:fill="auto"/>
                  <w:vAlign w:val="center"/>
                </w:tcPr>
                <w:p>
                  <w:pPr>
                    <w:pStyle w:val="104"/>
                    <w:jc w:val="center"/>
                    <w:rPr>
                      <w:rFonts w:ascii="Times New Roman" w:cs="Times New Roman"/>
                      <w:color w:val="auto"/>
                      <w:sz w:val="21"/>
                      <w:szCs w:val="21"/>
                    </w:rPr>
                  </w:pPr>
                </w:p>
              </w:tc>
              <w:tc>
                <w:tcPr>
                  <w:tcW w:w="834" w:type="dxa"/>
                  <w:tcBorders>
                    <w:right w:val="single" w:color="auto" w:sz="4" w:space="0"/>
                  </w:tcBorders>
                  <w:shd w:val="clear" w:color="auto" w:fill="auto"/>
                  <w:vAlign w:val="center"/>
                </w:tcPr>
                <w:p>
                  <w:pPr>
                    <w:widowControl/>
                    <w:contextualSpacing/>
                    <w:jc w:val="center"/>
                    <w:textAlignment w:val="center"/>
                    <w:rPr>
                      <w:szCs w:val="21"/>
                    </w:rPr>
                  </w:pPr>
                  <w:r>
                    <w:rPr>
                      <w:rFonts w:hint="eastAsia"/>
                      <w:szCs w:val="21"/>
                    </w:rPr>
                    <w:t>0</w:t>
                  </w:r>
                </w:p>
              </w:tc>
              <w:tc>
                <w:tcPr>
                  <w:tcW w:w="838" w:type="dxa"/>
                  <w:tcBorders>
                    <w:left w:val="single" w:color="auto" w:sz="4" w:space="0"/>
                    <w:right w:val="single" w:color="auto" w:sz="4" w:space="0"/>
                  </w:tcBorders>
                  <w:shd w:val="clear" w:color="auto" w:fill="auto"/>
                  <w:vAlign w:val="center"/>
                </w:tcPr>
                <w:p>
                  <w:pPr>
                    <w:widowControl/>
                    <w:contextualSpacing/>
                    <w:jc w:val="center"/>
                    <w:textAlignment w:val="center"/>
                    <w:rPr>
                      <w:szCs w:val="21"/>
                    </w:rPr>
                  </w:pPr>
                  <w:r>
                    <w:rPr>
                      <w:rFonts w:hint="eastAsia"/>
                      <w:szCs w:val="21"/>
                    </w:rPr>
                    <w:t>300</w:t>
                  </w:r>
                </w:p>
              </w:tc>
              <w:tc>
                <w:tcPr>
                  <w:tcW w:w="1216" w:type="dxa"/>
                  <w:tcBorders>
                    <w:left w:val="single" w:color="auto" w:sz="4" w:space="0"/>
                  </w:tcBorders>
                  <w:shd w:val="clear" w:color="auto" w:fill="auto"/>
                  <w:vAlign w:val="center"/>
                </w:tcPr>
                <w:p>
                  <w:pPr>
                    <w:contextualSpacing/>
                    <w:jc w:val="center"/>
                    <w:textAlignment w:val="center"/>
                    <w:rPr>
                      <w:szCs w:val="21"/>
                    </w:rPr>
                  </w:pPr>
                  <w:r>
                    <w:rPr>
                      <w:rFonts w:hint="eastAsia"/>
                    </w:rPr>
                    <w:t>老凹村</w:t>
                  </w:r>
                </w:p>
              </w:tc>
              <w:tc>
                <w:tcPr>
                  <w:tcW w:w="913" w:type="dxa"/>
                  <w:vMerge w:val="continue"/>
                  <w:shd w:val="clear" w:color="auto" w:fill="auto"/>
                  <w:vAlign w:val="center"/>
                </w:tcPr>
                <w:p>
                  <w:pPr>
                    <w:rPr>
                      <w:szCs w:val="21"/>
                    </w:rPr>
                  </w:pPr>
                </w:p>
              </w:tc>
              <w:tc>
                <w:tcPr>
                  <w:tcW w:w="1669" w:type="dxa"/>
                  <w:vMerge w:val="continue"/>
                  <w:shd w:val="clear" w:color="auto" w:fill="auto"/>
                  <w:vAlign w:val="center"/>
                </w:tcPr>
                <w:p>
                  <w:pPr>
                    <w:pStyle w:val="104"/>
                    <w:jc w:val="center"/>
                    <w:rPr>
                      <w:rFonts w:ascii="Times New Roman" w:cs="Times New Roman"/>
                      <w:color w:val="auto"/>
                      <w:sz w:val="21"/>
                      <w:szCs w:val="21"/>
                    </w:rPr>
                  </w:pPr>
                </w:p>
              </w:tc>
              <w:tc>
                <w:tcPr>
                  <w:tcW w:w="1308" w:type="dxa"/>
                  <w:shd w:val="clear" w:color="auto" w:fill="auto"/>
                  <w:vAlign w:val="center"/>
                </w:tcPr>
                <w:p>
                  <w:pPr>
                    <w:jc w:val="center"/>
                    <w:rPr>
                      <w:szCs w:val="21"/>
                    </w:rPr>
                  </w:pPr>
                  <w:r>
                    <w:rPr>
                      <w:rFonts w:hint="eastAsia"/>
                    </w:rPr>
                    <w:t>N</w:t>
                  </w:r>
                </w:p>
              </w:tc>
              <w:tc>
                <w:tcPr>
                  <w:tcW w:w="1330" w:type="dxa"/>
                  <w:tcBorders>
                    <w:right w:val="nil"/>
                  </w:tcBorders>
                  <w:shd w:val="clear" w:color="auto" w:fill="auto"/>
                  <w:vAlign w:val="center"/>
                </w:tcPr>
                <w:p>
                  <w:pPr>
                    <w:widowControl/>
                    <w:contextualSpacing/>
                    <w:jc w:val="center"/>
                    <w:textAlignment w:val="center"/>
                    <w:rPr>
                      <w:szCs w:val="21"/>
                    </w:rPr>
                  </w:pPr>
                  <w:r>
                    <w:rPr>
                      <w:rFonts w:hint="eastAsia"/>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trPr>
              <w:tc>
                <w:tcPr>
                  <w:tcW w:w="746" w:type="dxa"/>
                  <w:vMerge w:val="continue"/>
                  <w:tcBorders>
                    <w:left w:val="nil"/>
                  </w:tcBorders>
                  <w:shd w:val="clear" w:color="auto" w:fill="auto"/>
                  <w:vAlign w:val="center"/>
                </w:tcPr>
                <w:p>
                  <w:pPr>
                    <w:pStyle w:val="104"/>
                    <w:jc w:val="center"/>
                    <w:rPr>
                      <w:rFonts w:ascii="Times New Roman" w:cs="Times New Roman"/>
                      <w:color w:val="auto"/>
                      <w:sz w:val="21"/>
                      <w:szCs w:val="21"/>
                    </w:rPr>
                  </w:pPr>
                </w:p>
              </w:tc>
              <w:tc>
                <w:tcPr>
                  <w:tcW w:w="834" w:type="dxa"/>
                  <w:tcBorders>
                    <w:right w:val="single" w:color="auto" w:sz="4" w:space="0"/>
                  </w:tcBorders>
                  <w:shd w:val="clear" w:color="auto" w:fill="auto"/>
                  <w:vAlign w:val="center"/>
                </w:tcPr>
                <w:p>
                  <w:pPr>
                    <w:widowControl/>
                    <w:contextualSpacing/>
                    <w:jc w:val="center"/>
                    <w:textAlignment w:val="center"/>
                    <w:rPr>
                      <w:szCs w:val="21"/>
                    </w:rPr>
                  </w:pPr>
                  <w:r>
                    <w:rPr>
                      <w:rFonts w:hint="eastAsia"/>
                      <w:szCs w:val="21"/>
                    </w:rPr>
                    <w:t>-900</w:t>
                  </w:r>
                </w:p>
              </w:tc>
              <w:tc>
                <w:tcPr>
                  <w:tcW w:w="838" w:type="dxa"/>
                  <w:tcBorders>
                    <w:left w:val="single" w:color="auto" w:sz="4" w:space="0"/>
                    <w:right w:val="single" w:color="auto" w:sz="4" w:space="0"/>
                  </w:tcBorders>
                  <w:shd w:val="clear" w:color="auto" w:fill="auto"/>
                  <w:vAlign w:val="center"/>
                </w:tcPr>
                <w:p>
                  <w:pPr>
                    <w:widowControl/>
                    <w:contextualSpacing/>
                    <w:jc w:val="center"/>
                    <w:textAlignment w:val="center"/>
                    <w:rPr>
                      <w:szCs w:val="21"/>
                    </w:rPr>
                  </w:pPr>
                  <w:r>
                    <w:rPr>
                      <w:rFonts w:hint="eastAsia"/>
                      <w:szCs w:val="21"/>
                    </w:rPr>
                    <w:t>0</w:t>
                  </w:r>
                </w:p>
              </w:tc>
              <w:tc>
                <w:tcPr>
                  <w:tcW w:w="1216" w:type="dxa"/>
                  <w:tcBorders>
                    <w:left w:val="single" w:color="auto" w:sz="4" w:space="0"/>
                  </w:tcBorders>
                  <w:shd w:val="clear" w:color="auto" w:fill="auto"/>
                  <w:vAlign w:val="center"/>
                </w:tcPr>
                <w:p>
                  <w:pPr>
                    <w:contextualSpacing/>
                    <w:jc w:val="center"/>
                    <w:textAlignment w:val="center"/>
                    <w:rPr>
                      <w:szCs w:val="21"/>
                    </w:rPr>
                  </w:pPr>
                  <w:r>
                    <w:rPr>
                      <w:rFonts w:hint="eastAsia"/>
                    </w:rPr>
                    <w:t>彭村</w:t>
                  </w:r>
                </w:p>
              </w:tc>
              <w:tc>
                <w:tcPr>
                  <w:tcW w:w="913" w:type="dxa"/>
                  <w:vMerge w:val="continue"/>
                  <w:shd w:val="clear" w:color="auto" w:fill="auto"/>
                  <w:vAlign w:val="center"/>
                </w:tcPr>
                <w:p>
                  <w:pPr>
                    <w:rPr>
                      <w:szCs w:val="21"/>
                    </w:rPr>
                  </w:pPr>
                </w:p>
              </w:tc>
              <w:tc>
                <w:tcPr>
                  <w:tcW w:w="1669" w:type="dxa"/>
                  <w:vMerge w:val="continue"/>
                  <w:shd w:val="clear" w:color="auto" w:fill="auto"/>
                  <w:vAlign w:val="center"/>
                </w:tcPr>
                <w:p>
                  <w:pPr>
                    <w:pStyle w:val="104"/>
                    <w:jc w:val="center"/>
                    <w:rPr>
                      <w:rFonts w:ascii="Times New Roman" w:cs="Times New Roman"/>
                      <w:color w:val="auto"/>
                      <w:sz w:val="21"/>
                      <w:szCs w:val="21"/>
                    </w:rPr>
                  </w:pPr>
                </w:p>
              </w:tc>
              <w:tc>
                <w:tcPr>
                  <w:tcW w:w="1308" w:type="dxa"/>
                  <w:shd w:val="clear" w:color="auto" w:fill="auto"/>
                  <w:vAlign w:val="center"/>
                </w:tcPr>
                <w:p>
                  <w:pPr>
                    <w:jc w:val="center"/>
                    <w:rPr>
                      <w:szCs w:val="21"/>
                    </w:rPr>
                  </w:pPr>
                  <w:r>
                    <w:rPr>
                      <w:rFonts w:hint="eastAsia"/>
                    </w:rPr>
                    <w:t>W</w:t>
                  </w:r>
                </w:p>
              </w:tc>
              <w:tc>
                <w:tcPr>
                  <w:tcW w:w="1330" w:type="dxa"/>
                  <w:tcBorders>
                    <w:right w:val="nil"/>
                  </w:tcBorders>
                  <w:shd w:val="clear" w:color="auto" w:fill="auto"/>
                  <w:vAlign w:val="center"/>
                </w:tcPr>
                <w:p>
                  <w:pPr>
                    <w:widowControl/>
                    <w:contextualSpacing/>
                    <w:jc w:val="center"/>
                    <w:textAlignment w:val="center"/>
                    <w:rPr>
                      <w:szCs w:val="21"/>
                    </w:rPr>
                  </w:pPr>
                  <w:r>
                    <w:rPr>
                      <w:rFonts w:hint="eastAsia"/>
                    </w:rPr>
                    <w:t>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trPr>
              <w:tc>
                <w:tcPr>
                  <w:tcW w:w="746" w:type="dxa"/>
                  <w:vMerge w:val="continue"/>
                  <w:tcBorders>
                    <w:left w:val="nil"/>
                  </w:tcBorders>
                  <w:shd w:val="clear" w:color="auto" w:fill="auto"/>
                  <w:vAlign w:val="center"/>
                </w:tcPr>
                <w:p>
                  <w:pPr>
                    <w:pStyle w:val="104"/>
                    <w:jc w:val="center"/>
                    <w:rPr>
                      <w:rFonts w:ascii="Times New Roman" w:cs="Times New Roman"/>
                      <w:color w:val="auto"/>
                      <w:sz w:val="21"/>
                      <w:szCs w:val="21"/>
                    </w:rPr>
                  </w:pPr>
                </w:p>
              </w:tc>
              <w:tc>
                <w:tcPr>
                  <w:tcW w:w="834" w:type="dxa"/>
                  <w:tcBorders>
                    <w:right w:val="single" w:color="auto" w:sz="4" w:space="0"/>
                  </w:tcBorders>
                  <w:shd w:val="clear" w:color="auto" w:fill="auto"/>
                  <w:vAlign w:val="center"/>
                </w:tcPr>
                <w:p>
                  <w:pPr>
                    <w:widowControl/>
                    <w:contextualSpacing/>
                    <w:jc w:val="center"/>
                    <w:textAlignment w:val="center"/>
                    <w:rPr>
                      <w:szCs w:val="21"/>
                    </w:rPr>
                  </w:pPr>
                  <w:r>
                    <w:rPr>
                      <w:rFonts w:hint="eastAsia"/>
                      <w:szCs w:val="21"/>
                    </w:rPr>
                    <w:t>250</w:t>
                  </w:r>
                </w:p>
              </w:tc>
              <w:tc>
                <w:tcPr>
                  <w:tcW w:w="838" w:type="dxa"/>
                  <w:tcBorders>
                    <w:left w:val="single" w:color="auto" w:sz="4" w:space="0"/>
                    <w:right w:val="single" w:color="auto" w:sz="4" w:space="0"/>
                  </w:tcBorders>
                  <w:shd w:val="clear" w:color="auto" w:fill="auto"/>
                  <w:vAlign w:val="center"/>
                </w:tcPr>
                <w:p>
                  <w:pPr>
                    <w:widowControl/>
                    <w:contextualSpacing/>
                    <w:jc w:val="center"/>
                    <w:textAlignment w:val="center"/>
                    <w:rPr>
                      <w:szCs w:val="21"/>
                    </w:rPr>
                  </w:pPr>
                  <w:r>
                    <w:rPr>
                      <w:rFonts w:hint="eastAsia"/>
                      <w:szCs w:val="21"/>
                    </w:rPr>
                    <w:t>1150</w:t>
                  </w:r>
                </w:p>
              </w:tc>
              <w:tc>
                <w:tcPr>
                  <w:tcW w:w="1216" w:type="dxa"/>
                  <w:tcBorders>
                    <w:left w:val="single" w:color="auto" w:sz="4" w:space="0"/>
                  </w:tcBorders>
                  <w:shd w:val="clear" w:color="auto" w:fill="auto"/>
                  <w:vAlign w:val="center"/>
                </w:tcPr>
                <w:p>
                  <w:pPr>
                    <w:contextualSpacing/>
                    <w:jc w:val="center"/>
                    <w:textAlignment w:val="center"/>
                    <w:rPr>
                      <w:szCs w:val="21"/>
                    </w:rPr>
                  </w:pPr>
                  <w:r>
                    <w:rPr>
                      <w:rFonts w:hint="eastAsia"/>
                    </w:rPr>
                    <w:t>魏寨街道</w:t>
                  </w:r>
                </w:p>
              </w:tc>
              <w:tc>
                <w:tcPr>
                  <w:tcW w:w="913" w:type="dxa"/>
                  <w:vMerge w:val="continue"/>
                  <w:shd w:val="clear" w:color="auto" w:fill="auto"/>
                  <w:vAlign w:val="center"/>
                </w:tcPr>
                <w:p>
                  <w:pPr>
                    <w:rPr>
                      <w:szCs w:val="21"/>
                    </w:rPr>
                  </w:pPr>
                </w:p>
              </w:tc>
              <w:tc>
                <w:tcPr>
                  <w:tcW w:w="1669" w:type="dxa"/>
                  <w:vMerge w:val="continue"/>
                  <w:shd w:val="clear" w:color="auto" w:fill="auto"/>
                  <w:vAlign w:val="center"/>
                </w:tcPr>
                <w:p>
                  <w:pPr>
                    <w:pStyle w:val="104"/>
                    <w:jc w:val="center"/>
                    <w:rPr>
                      <w:rFonts w:ascii="Times New Roman" w:cs="Times New Roman"/>
                      <w:color w:val="auto"/>
                      <w:sz w:val="21"/>
                      <w:szCs w:val="21"/>
                    </w:rPr>
                  </w:pPr>
                </w:p>
              </w:tc>
              <w:tc>
                <w:tcPr>
                  <w:tcW w:w="1308" w:type="dxa"/>
                  <w:shd w:val="clear" w:color="auto" w:fill="auto"/>
                  <w:vAlign w:val="center"/>
                </w:tcPr>
                <w:p>
                  <w:pPr>
                    <w:jc w:val="center"/>
                    <w:rPr>
                      <w:szCs w:val="21"/>
                    </w:rPr>
                  </w:pPr>
                  <w:r>
                    <w:rPr>
                      <w:rFonts w:hint="eastAsia"/>
                    </w:rPr>
                    <w:t>NE</w:t>
                  </w:r>
                </w:p>
              </w:tc>
              <w:tc>
                <w:tcPr>
                  <w:tcW w:w="1330" w:type="dxa"/>
                  <w:tcBorders>
                    <w:right w:val="nil"/>
                  </w:tcBorders>
                  <w:shd w:val="clear" w:color="auto" w:fill="auto"/>
                  <w:vAlign w:val="center"/>
                </w:tcPr>
                <w:p>
                  <w:pPr>
                    <w:widowControl/>
                    <w:contextualSpacing/>
                    <w:jc w:val="center"/>
                    <w:textAlignment w:val="center"/>
                    <w:rPr>
                      <w:szCs w:val="21"/>
                    </w:rPr>
                  </w:pPr>
                  <w:r>
                    <w:rPr>
                      <w:rFonts w:hint="eastAsia"/>
                    </w:rPr>
                    <w:t>1100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trPr>
              <w:tc>
                <w:tcPr>
                  <w:tcW w:w="746" w:type="dxa"/>
                  <w:vMerge w:val="continue"/>
                  <w:tcBorders>
                    <w:left w:val="nil"/>
                  </w:tcBorders>
                  <w:shd w:val="clear" w:color="auto" w:fill="auto"/>
                  <w:vAlign w:val="center"/>
                </w:tcPr>
                <w:p>
                  <w:pPr>
                    <w:pStyle w:val="104"/>
                    <w:jc w:val="center"/>
                    <w:rPr>
                      <w:rFonts w:ascii="Times New Roman" w:cs="Times New Roman"/>
                      <w:color w:val="auto"/>
                      <w:sz w:val="21"/>
                      <w:szCs w:val="21"/>
                    </w:rPr>
                  </w:pPr>
                </w:p>
              </w:tc>
              <w:tc>
                <w:tcPr>
                  <w:tcW w:w="834" w:type="dxa"/>
                  <w:tcBorders>
                    <w:right w:val="single" w:color="auto" w:sz="4" w:space="0"/>
                  </w:tcBorders>
                  <w:shd w:val="clear" w:color="auto" w:fill="auto"/>
                  <w:vAlign w:val="center"/>
                </w:tcPr>
                <w:p>
                  <w:pPr>
                    <w:widowControl/>
                    <w:contextualSpacing/>
                    <w:jc w:val="center"/>
                    <w:textAlignment w:val="center"/>
                    <w:rPr>
                      <w:szCs w:val="21"/>
                    </w:rPr>
                  </w:pPr>
                  <w:r>
                    <w:rPr>
                      <w:rFonts w:hint="eastAsia"/>
                      <w:szCs w:val="21"/>
                    </w:rPr>
                    <w:t>0</w:t>
                  </w:r>
                </w:p>
              </w:tc>
              <w:tc>
                <w:tcPr>
                  <w:tcW w:w="838" w:type="dxa"/>
                  <w:tcBorders>
                    <w:left w:val="single" w:color="auto" w:sz="4" w:space="0"/>
                    <w:right w:val="single" w:color="auto" w:sz="4" w:space="0"/>
                  </w:tcBorders>
                  <w:shd w:val="clear" w:color="auto" w:fill="auto"/>
                  <w:vAlign w:val="center"/>
                </w:tcPr>
                <w:p>
                  <w:pPr>
                    <w:widowControl/>
                    <w:contextualSpacing/>
                    <w:jc w:val="center"/>
                    <w:textAlignment w:val="center"/>
                    <w:rPr>
                      <w:szCs w:val="21"/>
                    </w:rPr>
                  </w:pPr>
                  <w:r>
                    <w:rPr>
                      <w:rFonts w:hint="eastAsia"/>
                      <w:szCs w:val="21"/>
                    </w:rPr>
                    <w:t>1500</w:t>
                  </w:r>
                </w:p>
              </w:tc>
              <w:tc>
                <w:tcPr>
                  <w:tcW w:w="1216" w:type="dxa"/>
                  <w:tcBorders>
                    <w:left w:val="single" w:color="auto" w:sz="4" w:space="0"/>
                  </w:tcBorders>
                  <w:shd w:val="clear" w:color="auto" w:fill="auto"/>
                  <w:vAlign w:val="center"/>
                </w:tcPr>
                <w:p>
                  <w:pPr>
                    <w:contextualSpacing/>
                    <w:jc w:val="center"/>
                    <w:textAlignment w:val="center"/>
                    <w:rPr>
                      <w:szCs w:val="21"/>
                    </w:rPr>
                  </w:pPr>
                  <w:r>
                    <w:rPr>
                      <w:rFonts w:hint="eastAsia"/>
                    </w:rPr>
                    <w:t>侯村</w:t>
                  </w:r>
                </w:p>
              </w:tc>
              <w:tc>
                <w:tcPr>
                  <w:tcW w:w="913" w:type="dxa"/>
                  <w:vMerge w:val="continue"/>
                  <w:shd w:val="clear" w:color="auto" w:fill="auto"/>
                  <w:vAlign w:val="center"/>
                </w:tcPr>
                <w:p>
                  <w:pPr>
                    <w:rPr>
                      <w:szCs w:val="21"/>
                    </w:rPr>
                  </w:pPr>
                </w:p>
              </w:tc>
              <w:tc>
                <w:tcPr>
                  <w:tcW w:w="1669" w:type="dxa"/>
                  <w:vMerge w:val="continue"/>
                  <w:shd w:val="clear" w:color="auto" w:fill="auto"/>
                  <w:vAlign w:val="center"/>
                </w:tcPr>
                <w:p>
                  <w:pPr>
                    <w:pStyle w:val="104"/>
                    <w:jc w:val="center"/>
                    <w:rPr>
                      <w:rFonts w:ascii="Times New Roman" w:cs="Times New Roman"/>
                      <w:color w:val="auto"/>
                      <w:sz w:val="21"/>
                      <w:szCs w:val="21"/>
                    </w:rPr>
                  </w:pPr>
                </w:p>
              </w:tc>
              <w:tc>
                <w:tcPr>
                  <w:tcW w:w="1308" w:type="dxa"/>
                  <w:shd w:val="clear" w:color="auto" w:fill="auto"/>
                  <w:vAlign w:val="center"/>
                </w:tcPr>
                <w:p>
                  <w:pPr>
                    <w:widowControl/>
                    <w:contextualSpacing/>
                    <w:jc w:val="center"/>
                    <w:textAlignment w:val="center"/>
                    <w:rPr>
                      <w:szCs w:val="21"/>
                    </w:rPr>
                  </w:pPr>
                  <w:r>
                    <w:rPr>
                      <w:rFonts w:hint="eastAsia"/>
                    </w:rPr>
                    <w:t>N</w:t>
                  </w:r>
                </w:p>
              </w:tc>
              <w:tc>
                <w:tcPr>
                  <w:tcW w:w="1330" w:type="dxa"/>
                  <w:tcBorders>
                    <w:right w:val="nil"/>
                  </w:tcBorders>
                  <w:shd w:val="clear" w:color="auto" w:fill="auto"/>
                  <w:vAlign w:val="center"/>
                </w:tcPr>
                <w:p>
                  <w:pPr>
                    <w:widowControl/>
                    <w:contextualSpacing/>
                    <w:jc w:val="center"/>
                    <w:textAlignment w:val="center"/>
                    <w:rPr>
                      <w:szCs w:val="21"/>
                    </w:rPr>
                  </w:pPr>
                  <w:r>
                    <w:rPr>
                      <w:rFonts w:hint="eastAsia"/>
                    </w:rPr>
                    <w:t>1500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trPr>
              <w:tc>
                <w:tcPr>
                  <w:tcW w:w="746" w:type="dxa"/>
                  <w:vMerge w:val="continue"/>
                  <w:tcBorders>
                    <w:left w:val="nil"/>
                  </w:tcBorders>
                  <w:shd w:val="clear" w:color="auto" w:fill="auto"/>
                  <w:vAlign w:val="center"/>
                </w:tcPr>
                <w:p>
                  <w:pPr>
                    <w:pStyle w:val="104"/>
                    <w:jc w:val="center"/>
                    <w:rPr>
                      <w:rFonts w:ascii="Times New Roman" w:cs="Times New Roman"/>
                      <w:color w:val="auto"/>
                      <w:sz w:val="21"/>
                      <w:szCs w:val="21"/>
                    </w:rPr>
                  </w:pPr>
                </w:p>
              </w:tc>
              <w:tc>
                <w:tcPr>
                  <w:tcW w:w="834" w:type="dxa"/>
                  <w:tcBorders>
                    <w:right w:val="single" w:color="auto" w:sz="4" w:space="0"/>
                  </w:tcBorders>
                  <w:shd w:val="clear" w:color="auto" w:fill="auto"/>
                  <w:vAlign w:val="center"/>
                </w:tcPr>
                <w:p>
                  <w:pPr>
                    <w:widowControl/>
                    <w:contextualSpacing/>
                    <w:jc w:val="center"/>
                    <w:textAlignment w:val="center"/>
                    <w:rPr>
                      <w:szCs w:val="21"/>
                    </w:rPr>
                  </w:pPr>
                  <w:r>
                    <w:rPr>
                      <w:rFonts w:hint="eastAsia"/>
                      <w:szCs w:val="21"/>
                    </w:rPr>
                    <w:t>70</w:t>
                  </w:r>
                </w:p>
              </w:tc>
              <w:tc>
                <w:tcPr>
                  <w:tcW w:w="838" w:type="dxa"/>
                  <w:tcBorders>
                    <w:left w:val="single" w:color="auto" w:sz="4" w:space="0"/>
                    <w:right w:val="single" w:color="auto" w:sz="4" w:space="0"/>
                  </w:tcBorders>
                  <w:shd w:val="clear" w:color="auto" w:fill="auto"/>
                  <w:vAlign w:val="center"/>
                </w:tcPr>
                <w:p>
                  <w:pPr>
                    <w:widowControl/>
                    <w:contextualSpacing/>
                    <w:jc w:val="center"/>
                    <w:textAlignment w:val="center"/>
                    <w:rPr>
                      <w:szCs w:val="21"/>
                    </w:rPr>
                  </w:pPr>
                  <w:r>
                    <w:rPr>
                      <w:rFonts w:hint="eastAsia"/>
                      <w:szCs w:val="21"/>
                    </w:rPr>
                    <w:t>1600</w:t>
                  </w:r>
                </w:p>
              </w:tc>
              <w:tc>
                <w:tcPr>
                  <w:tcW w:w="1216" w:type="dxa"/>
                  <w:tcBorders>
                    <w:left w:val="single" w:color="auto" w:sz="4" w:space="0"/>
                  </w:tcBorders>
                  <w:shd w:val="clear" w:color="auto" w:fill="auto"/>
                  <w:vAlign w:val="center"/>
                </w:tcPr>
                <w:p>
                  <w:pPr>
                    <w:contextualSpacing/>
                    <w:jc w:val="center"/>
                    <w:textAlignment w:val="center"/>
                    <w:rPr>
                      <w:szCs w:val="21"/>
                    </w:rPr>
                  </w:pPr>
                  <w:r>
                    <w:rPr>
                      <w:rFonts w:hint="eastAsia"/>
                    </w:rPr>
                    <w:t>耶柿村</w:t>
                  </w:r>
                </w:p>
              </w:tc>
              <w:tc>
                <w:tcPr>
                  <w:tcW w:w="913" w:type="dxa"/>
                  <w:vMerge w:val="continue"/>
                  <w:shd w:val="clear" w:color="auto" w:fill="auto"/>
                  <w:vAlign w:val="center"/>
                </w:tcPr>
                <w:p>
                  <w:pPr>
                    <w:rPr>
                      <w:szCs w:val="21"/>
                    </w:rPr>
                  </w:pPr>
                </w:p>
              </w:tc>
              <w:tc>
                <w:tcPr>
                  <w:tcW w:w="1669" w:type="dxa"/>
                  <w:vMerge w:val="continue"/>
                  <w:shd w:val="clear" w:color="auto" w:fill="auto"/>
                  <w:vAlign w:val="center"/>
                </w:tcPr>
                <w:p>
                  <w:pPr>
                    <w:pStyle w:val="104"/>
                    <w:jc w:val="center"/>
                    <w:rPr>
                      <w:rFonts w:ascii="Times New Roman" w:cs="Times New Roman"/>
                      <w:color w:val="auto"/>
                      <w:sz w:val="21"/>
                      <w:szCs w:val="21"/>
                    </w:rPr>
                  </w:pPr>
                </w:p>
              </w:tc>
              <w:tc>
                <w:tcPr>
                  <w:tcW w:w="1308" w:type="dxa"/>
                  <w:shd w:val="clear" w:color="auto" w:fill="auto"/>
                  <w:vAlign w:val="center"/>
                </w:tcPr>
                <w:p>
                  <w:pPr>
                    <w:widowControl/>
                    <w:contextualSpacing/>
                    <w:jc w:val="center"/>
                    <w:textAlignment w:val="center"/>
                    <w:rPr>
                      <w:szCs w:val="21"/>
                    </w:rPr>
                  </w:pPr>
                  <w:r>
                    <w:rPr>
                      <w:rFonts w:hint="eastAsia"/>
                    </w:rPr>
                    <w:t>NE</w:t>
                  </w:r>
                </w:p>
              </w:tc>
              <w:tc>
                <w:tcPr>
                  <w:tcW w:w="1330" w:type="dxa"/>
                  <w:tcBorders>
                    <w:right w:val="nil"/>
                  </w:tcBorders>
                  <w:shd w:val="clear" w:color="auto" w:fill="auto"/>
                  <w:vAlign w:val="center"/>
                </w:tcPr>
                <w:p>
                  <w:pPr>
                    <w:widowControl/>
                    <w:contextualSpacing/>
                    <w:jc w:val="center"/>
                    <w:textAlignment w:val="center"/>
                    <w:rPr>
                      <w:szCs w:val="21"/>
                    </w:rPr>
                  </w:pPr>
                  <w:r>
                    <w:rPr>
                      <w:rFonts w:hint="eastAsia"/>
                    </w:rPr>
                    <w:t>1900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trPr>
              <w:tc>
                <w:tcPr>
                  <w:tcW w:w="746" w:type="dxa"/>
                  <w:vMerge w:val="continue"/>
                  <w:tcBorders>
                    <w:left w:val="nil"/>
                  </w:tcBorders>
                  <w:shd w:val="clear" w:color="auto" w:fill="auto"/>
                  <w:vAlign w:val="center"/>
                </w:tcPr>
                <w:p>
                  <w:pPr>
                    <w:pStyle w:val="104"/>
                    <w:jc w:val="center"/>
                    <w:rPr>
                      <w:rFonts w:ascii="Times New Roman" w:cs="Times New Roman"/>
                      <w:color w:val="auto"/>
                      <w:sz w:val="21"/>
                      <w:szCs w:val="21"/>
                    </w:rPr>
                  </w:pPr>
                </w:p>
              </w:tc>
              <w:tc>
                <w:tcPr>
                  <w:tcW w:w="834" w:type="dxa"/>
                  <w:tcBorders>
                    <w:right w:val="single" w:color="auto" w:sz="4" w:space="0"/>
                  </w:tcBorders>
                  <w:shd w:val="clear" w:color="auto" w:fill="auto"/>
                  <w:vAlign w:val="center"/>
                </w:tcPr>
                <w:p>
                  <w:pPr>
                    <w:widowControl/>
                    <w:contextualSpacing/>
                    <w:jc w:val="center"/>
                    <w:textAlignment w:val="center"/>
                    <w:rPr>
                      <w:szCs w:val="21"/>
                    </w:rPr>
                  </w:pPr>
                  <w:r>
                    <w:rPr>
                      <w:rFonts w:hint="eastAsia"/>
                      <w:szCs w:val="21"/>
                    </w:rPr>
                    <w:t>-1900</w:t>
                  </w:r>
                </w:p>
              </w:tc>
              <w:tc>
                <w:tcPr>
                  <w:tcW w:w="838" w:type="dxa"/>
                  <w:tcBorders>
                    <w:left w:val="single" w:color="auto" w:sz="4" w:space="0"/>
                    <w:right w:val="single" w:color="auto" w:sz="4" w:space="0"/>
                  </w:tcBorders>
                  <w:shd w:val="clear" w:color="auto" w:fill="auto"/>
                  <w:vAlign w:val="center"/>
                </w:tcPr>
                <w:p>
                  <w:pPr>
                    <w:widowControl/>
                    <w:contextualSpacing/>
                    <w:jc w:val="center"/>
                    <w:textAlignment w:val="center"/>
                    <w:rPr>
                      <w:szCs w:val="21"/>
                    </w:rPr>
                  </w:pPr>
                  <w:r>
                    <w:rPr>
                      <w:rFonts w:hint="eastAsia"/>
                      <w:szCs w:val="21"/>
                    </w:rPr>
                    <w:t>0</w:t>
                  </w:r>
                </w:p>
              </w:tc>
              <w:tc>
                <w:tcPr>
                  <w:tcW w:w="1216" w:type="dxa"/>
                  <w:tcBorders>
                    <w:left w:val="single" w:color="auto" w:sz="4" w:space="0"/>
                  </w:tcBorders>
                  <w:shd w:val="clear" w:color="auto" w:fill="auto"/>
                  <w:vAlign w:val="center"/>
                </w:tcPr>
                <w:p>
                  <w:pPr>
                    <w:contextualSpacing/>
                    <w:jc w:val="center"/>
                    <w:textAlignment w:val="center"/>
                    <w:rPr>
                      <w:szCs w:val="21"/>
                    </w:rPr>
                  </w:pPr>
                  <w:r>
                    <w:rPr>
                      <w:rFonts w:hint="eastAsia"/>
                    </w:rPr>
                    <w:t>候坪村</w:t>
                  </w:r>
                </w:p>
              </w:tc>
              <w:tc>
                <w:tcPr>
                  <w:tcW w:w="913" w:type="dxa"/>
                  <w:vMerge w:val="continue"/>
                  <w:shd w:val="clear" w:color="auto" w:fill="auto"/>
                  <w:vAlign w:val="center"/>
                </w:tcPr>
                <w:p>
                  <w:pPr>
                    <w:rPr>
                      <w:szCs w:val="21"/>
                    </w:rPr>
                  </w:pPr>
                </w:p>
              </w:tc>
              <w:tc>
                <w:tcPr>
                  <w:tcW w:w="1669" w:type="dxa"/>
                  <w:vMerge w:val="continue"/>
                  <w:shd w:val="clear" w:color="auto" w:fill="auto"/>
                  <w:vAlign w:val="center"/>
                </w:tcPr>
                <w:p>
                  <w:pPr>
                    <w:pStyle w:val="104"/>
                    <w:jc w:val="center"/>
                    <w:rPr>
                      <w:rFonts w:ascii="Times New Roman" w:cs="Times New Roman"/>
                      <w:color w:val="auto"/>
                      <w:sz w:val="21"/>
                      <w:szCs w:val="21"/>
                    </w:rPr>
                  </w:pPr>
                </w:p>
              </w:tc>
              <w:tc>
                <w:tcPr>
                  <w:tcW w:w="1308" w:type="dxa"/>
                  <w:shd w:val="clear" w:color="auto" w:fill="auto"/>
                  <w:vAlign w:val="center"/>
                </w:tcPr>
                <w:p>
                  <w:pPr>
                    <w:widowControl/>
                    <w:contextualSpacing/>
                    <w:jc w:val="center"/>
                    <w:textAlignment w:val="center"/>
                    <w:rPr>
                      <w:szCs w:val="21"/>
                    </w:rPr>
                  </w:pPr>
                  <w:r>
                    <w:rPr>
                      <w:rFonts w:hint="eastAsia"/>
                    </w:rPr>
                    <w:t>W</w:t>
                  </w:r>
                </w:p>
              </w:tc>
              <w:tc>
                <w:tcPr>
                  <w:tcW w:w="1330" w:type="dxa"/>
                  <w:tcBorders>
                    <w:right w:val="nil"/>
                  </w:tcBorders>
                  <w:shd w:val="clear" w:color="auto" w:fill="auto"/>
                  <w:vAlign w:val="center"/>
                </w:tcPr>
                <w:p>
                  <w:pPr>
                    <w:widowControl/>
                    <w:contextualSpacing/>
                    <w:jc w:val="center"/>
                    <w:textAlignment w:val="center"/>
                    <w:rPr>
                      <w:szCs w:val="21"/>
                    </w:rPr>
                  </w:pPr>
                  <w:r>
                    <w:rPr>
                      <w:rFonts w:hint="eastAsia"/>
                    </w:rPr>
                    <w:t>1900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trPr>
              <w:tc>
                <w:tcPr>
                  <w:tcW w:w="746" w:type="dxa"/>
                  <w:vMerge w:val="continue"/>
                  <w:tcBorders>
                    <w:left w:val="nil"/>
                  </w:tcBorders>
                  <w:shd w:val="clear" w:color="auto" w:fill="auto"/>
                  <w:vAlign w:val="center"/>
                </w:tcPr>
                <w:p>
                  <w:pPr>
                    <w:pStyle w:val="104"/>
                    <w:jc w:val="center"/>
                    <w:rPr>
                      <w:rFonts w:ascii="Times New Roman" w:cs="Times New Roman"/>
                      <w:color w:val="auto"/>
                      <w:sz w:val="21"/>
                      <w:szCs w:val="21"/>
                    </w:rPr>
                  </w:pPr>
                </w:p>
              </w:tc>
              <w:tc>
                <w:tcPr>
                  <w:tcW w:w="834" w:type="dxa"/>
                  <w:tcBorders>
                    <w:right w:val="single" w:color="auto" w:sz="4" w:space="0"/>
                  </w:tcBorders>
                  <w:shd w:val="clear" w:color="auto" w:fill="auto"/>
                  <w:vAlign w:val="center"/>
                </w:tcPr>
                <w:p>
                  <w:pPr>
                    <w:widowControl/>
                    <w:contextualSpacing/>
                    <w:jc w:val="center"/>
                    <w:textAlignment w:val="center"/>
                    <w:rPr>
                      <w:szCs w:val="21"/>
                    </w:rPr>
                  </w:pPr>
                  <w:r>
                    <w:rPr>
                      <w:rFonts w:hint="eastAsia"/>
                      <w:szCs w:val="21"/>
                    </w:rPr>
                    <w:t>-580</w:t>
                  </w:r>
                </w:p>
              </w:tc>
              <w:tc>
                <w:tcPr>
                  <w:tcW w:w="838" w:type="dxa"/>
                  <w:tcBorders>
                    <w:left w:val="single" w:color="auto" w:sz="4" w:space="0"/>
                    <w:right w:val="single" w:color="auto" w:sz="4" w:space="0"/>
                  </w:tcBorders>
                  <w:shd w:val="clear" w:color="auto" w:fill="auto"/>
                  <w:vAlign w:val="center"/>
                </w:tcPr>
                <w:p>
                  <w:pPr>
                    <w:widowControl/>
                    <w:contextualSpacing/>
                    <w:jc w:val="center"/>
                    <w:textAlignment w:val="center"/>
                    <w:rPr>
                      <w:szCs w:val="21"/>
                    </w:rPr>
                  </w:pPr>
                  <w:r>
                    <w:rPr>
                      <w:rFonts w:hint="eastAsia"/>
                      <w:szCs w:val="21"/>
                    </w:rPr>
                    <w:t>1700</w:t>
                  </w:r>
                </w:p>
              </w:tc>
              <w:tc>
                <w:tcPr>
                  <w:tcW w:w="1216" w:type="dxa"/>
                  <w:tcBorders>
                    <w:left w:val="single" w:color="auto" w:sz="4" w:space="0"/>
                  </w:tcBorders>
                  <w:shd w:val="clear" w:color="auto" w:fill="auto"/>
                  <w:vAlign w:val="center"/>
                </w:tcPr>
                <w:p>
                  <w:pPr>
                    <w:contextualSpacing/>
                    <w:jc w:val="center"/>
                    <w:textAlignment w:val="center"/>
                    <w:rPr>
                      <w:szCs w:val="21"/>
                    </w:rPr>
                  </w:pPr>
                  <w:r>
                    <w:rPr>
                      <w:rFonts w:hint="eastAsia"/>
                    </w:rPr>
                    <w:t>将军庙村</w:t>
                  </w:r>
                </w:p>
              </w:tc>
              <w:tc>
                <w:tcPr>
                  <w:tcW w:w="913" w:type="dxa"/>
                  <w:vMerge w:val="continue"/>
                  <w:shd w:val="clear" w:color="auto" w:fill="auto"/>
                  <w:vAlign w:val="center"/>
                </w:tcPr>
                <w:p>
                  <w:pPr>
                    <w:rPr>
                      <w:szCs w:val="21"/>
                    </w:rPr>
                  </w:pPr>
                </w:p>
              </w:tc>
              <w:tc>
                <w:tcPr>
                  <w:tcW w:w="1669" w:type="dxa"/>
                  <w:vMerge w:val="continue"/>
                  <w:shd w:val="clear" w:color="auto" w:fill="auto"/>
                  <w:vAlign w:val="center"/>
                </w:tcPr>
                <w:p>
                  <w:pPr>
                    <w:pStyle w:val="104"/>
                    <w:jc w:val="center"/>
                    <w:rPr>
                      <w:rFonts w:ascii="Times New Roman" w:cs="Times New Roman"/>
                      <w:color w:val="auto"/>
                      <w:sz w:val="21"/>
                      <w:szCs w:val="21"/>
                    </w:rPr>
                  </w:pPr>
                </w:p>
              </w:tc>
              <w:tc>
                <w:tcPr>
                  <w:tcW w:w="1308" w:type="dxa"/>
                  <w:shd w:val="clear" w:color="auto" w:fill="auto"/>
                  <w:vAlign w:val="center"/>
                </w:tcPr>
                <w:p>
                  <w:pPr>
                    <w:widowControl/>
                    <w:contextualSpacing/>
                    <w:jc w:val="center"/>
                    <w:textAlignment w:val="center"/>
                    <w:rPr>
                      <w:szCs w:val="21"/>
                    </w:rPr>
                  </w:pPr>
                  <w:r>
                    <w:rPr>
                      <w:rFonts w:hint="eastAsia"/>
                    </w:rPr>
                    <w:t>NW</w:t>
                  </w:r>
                </w:p>
              </w:tc>
              <w:tc>
                <w:tcPr>
                  <w:tcW w:w="1330" w:type="dxa"/>
                  <w:tcBorders>
                    <w:right w:val="nil"/>
                  </w:tcBorders>
                  <w:shd w:val="clear" w:color="auto" w:fill="auto"/>
                  <w:vAlign w:val="center"/>
                </w:tcPr>
                <w:p>
                  <w:pPr>
                    <w:widowControl/>
                    <w:contextualSpacing/>
                    <w:jc w:val="center"/>
                    <w:textAlignment w:val="center"/>
                    <w:rPr>
                      <w:szCs w:val="21"/>
                    </w:rPr>
                  </w:pPr>
                  <w:r>
                    <w:rPr>
                      <w:rFonts w:hint="eastAsia"/>
                    </w:rPr>
                    <w:t>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trPr>
              <w:tc>
                <w:tcPr>
                  <w:tcW w:w="746" w:type="dxa"/>
                  <w:vMerge w:val="continue"/>
                  <w:tcBorders>
                    <w:left w:val="nil"/>
                  </w:tcBorders>
                  <w:shd w:val="clear" w:color="auto" w:fill="auto"/>
                  <w:vAlign w:val="center"/>
                </w:tcPr>
                <w:p>
                  <w:pPr>
                    <w:pStyle w:val="104"/>
                    <w:jc w:val="center"/>
                    <w:rPr>
                      <w:rFonts w:ascii="Times New Roman" w:cs="Times New Roman"/>
                      <w:color w:val="auto"/>
                      <w:sz w:val="21"/>
                      <w:szCs w:val="21"/>
                    </w:rPr>
                  </w:pPr>
                </w:p>
              </w:tc>
              <w:tc>
                <w:tcPr>
                  <w:tcW w:w="834" w:type="dxa"/>
                  <w:tcBorders>
                    <w:right w:val="single" w:color="auto" w:sz="4" w:space="0"/>
                  </w:tcBorders>
                  <w:shd w:val="clear" w:color="auto" w:fill="auto"/>
                  <w:vAlign w:val="center"/>
                </w:tcPr>
                <w:p>
                  <w:pPr>
                    <w:widowControl/>
                    <w:contextualSpacing/>
                    <w:jc w:val="center"/>
                    <w:textAlignment w:val="center"/>
                    <w:rPr>
                      <w:szCs w:val="21"/>
                    </w:rPr>
                  </w:pPr>
                  <w:r>
                    <w:rPr>
                      <w:rFonts w:hint="eastAsia"/>
                      <w:szCs w:val="21"/>
                    </w:rPr>
                    <w:t>-1800</w:t>
                  </w:r>
                </w:p>
              </w:tc>
              <w:tc>
                <w:tcPr>
                  <w:tcW w:w="838" w:type="dxa"/>
                  <w:tcBorders>
                    <w:left w:val="single" w:color="auto" w:sz="4" w:space="0"/>
                    <w:right w:val="single" w:color="auto" w:sz="4" w:space="0"/>
                  </w:tcBorders>
                  <w:shd w:val="clear" w:color="auto" w:fill="auto"/>
                  <w:vAlign w:val="center"/>
                </w:tcPr>
                <w:p>
                  <w:pPr>
                    <w:widowControl/>
                    <w:contextualSpacing/>
                    <w:jc w:val="center"/>
                    <w:textAlignment w:val="center"/>
                    <w:rPr>
                      <w:szCs w:val="21"/>
                    </w:rPr>
                  </w:pPr>
                  <w:r>
                    <w:rPr>
                      <w:rFonts w:hint="eastAsia"/>
                      <w:szCs w:val="21"/>
                    </w:rPr>
                    <w:t>-800</w:t>
                  </w:r>
                </w:p>
              </w:tc>
              <w:tc>
                <w:tcPr>
                  <w:tcW w:w="1216" w:type="dxa"/>
                  <w:tcBorders>
                    <w:left w:val="single" w:color="auto" w:sz="4" w:space="0"/>
                  </w:tcBorders>
                  <w:shd w:val="clear" w:color="auto" w:fill="auto"/>
                  <w:vAlign w:val="center"/>
                </w:tcPr>
                <w:p>
                  <w:pPr>
                    <w:contextualSpacing/>
                    <w:jc w:val="center"/>
                    <w:textAlignment w:val="center"/>
                    <w:rPr>
                      <w:szCs w:val="21"/>
                    </w:rPr>
                  </w:pPr>
                  <w:r>
                    <w:rPr>
                      <w:rFonts w:hint="eastAsia"/>
                    </w:rPr>
                    <w:t>敬家村</w:t>
                  </w:r>
                </w:p>
              </w:tc>
              <w:tc>
                <w:tcPr>
                  <w:tcW w:w="913" w:type="dxa"/>
                  <w:vMerge w:val="continue"/>
                  <w:shd w:val="clear" w:color="auto" w:fill="auto"/>
                  <w:vAlign w:val="center"/>
                </w:tcPr>
                <w:p>
                  <w:pPr>
                    <w:rPr>
                      <w:szCs w:val="21"/>
                    </w:rPr>
                  </w:pPr>
                </w:p>
              </w:tc>
              <w:tc>
                <w:tcPr>
                  <w:tcW w:w="1669" w:type="dxa"/>
                  <w:vMerge w:val="continue"/>
                  <w:shd w:val="clear" w:color="auto" w:fill="auto"/>
                  <w:vAlign w:val="center"/>
                </w:tcPr>
                <w:p>
                  <w:pPr>
                    <w:pStyle w:val="104"/>
                    <w:jc w:val="center"/>
                    <w:rPr>
                      <w:rFonts w:ascii="Times New Roman" w:cs="Times New Roman"/>
                      <w:color w:val="auto"/>
                      <w:sz w:val="21"/>
                      <w:szCs w:val="21"/>
                    </w:rPr>
                  </w:pPr>
                </w:p>
              </w:tc>
              <w:tc>
                <w:tcPr>
                  <w:tcW w:w="1308" w:type="dxa"/>
                  <w:shd w:val="clear" w:color="auto" w:fill="auto"/>
                  <w:vAlign w:val="center"/>
                </w:tcPr>
                <w:p>
                  <w:pPr>
                    <w:widowControl/>
                    <w:contextualSpacing/>
                    <w:jc w:val="center"/>
                    <w:textAlignment w:val="center"/>
                    <w:rPr>
                      <w:szCs w:val="21"/>
                    </w:rPr>
                  </w:pPr>
                  <w:r>
                    <w:rPr>
                      <w:rFonts w:hint="eastAsia"/>
                    </w:rPr>
                    <w:t>SW</w:t>
                  </w:r>
                </w:p>
              </w:tc>
              <w:tc>
                <w:tcPr>
                  <w:tcW w:w="1330" w:type="dxa"/>
                  <w:tcBorders>
                    <w:right w:val="nil"/>
                  </w:tcBorders>
                  <w:shd w:val="clear" w:color="auto" w:fill="auto"/>
                  <w:vAlign w:val="center"/>
                </w:tcPr>
                <w:p>
                  <w:pPr>
                    <w:widowControl/>
                    <w:contextualSpacing/>
                    <w:jc w:val="center"/>
                    <w:textAlignment w:val="center"/>
                    <w:rPr>
                      <w:szCs w:val="21"/>
                    </w:rPr>
                  </w:pPr>
                  <w:r>
                    <w:rPr>
                      <w:rFonts w:hint="eastAsia"/>
                    </w:rPr>
                    <w:t>2200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 w:hRule="atLeast"/>
              </w:trPr>
              <w:tc>
                <w:tcPr>
                  <w:tcW w:w="746" w:type="dxa"/>
                  <w:vMerge w:val="continue"/>
                  <w:tcBorders>
                    <w:left w:val="nil"/>
                  </w:tcBorders>
                  <w:shd w:val="clear" w:color="auto" w:fill="auto"/>
                  <w:vAlign w:val="center"/>
                </w:tcPr>
                <w:p>
                  <w:pPr>
                    <w:pStyle w:val="104"/>
                    <w:jc w:val="center"/>
                    <w:rPr>
                      <w:rFonts w:ascii="Times New Roman" w:cs="Times New Roman"/>
                      <w:color w:val="auto"/>
                      <w:sz w:val="21"/>
                      <w:szCs w:val="21"/>
                    </w:rPr>
                  </w:pPr>
                </w:p>
              </w:tc>
              <w:tc>
                <w:tcPr>
                  <w:tcW w:w="834" w:type="dxa"/>
                  <w:tcBorders>
                    <w:right w:val="single" w:color="auto" w:sz="4" w:space="0"/>
                  </w:tcBorders>
                  <w:shd w:val="clear" w:color="auto" w:fill="auto"/>
                  <w:vAlign w:val="center"/>
                </w:tcPr>
                <w:p>
                  <w:pPr>
                    <w:widowControl/>
                    <w:contextualSpacing/>
                    <w:jc w:val="center"/>
                    <w:textAlignment w:val="center"/>
                    <w:rPr>
                      <w:szCs w:val="21"/>
                    </w:rPr>
                  </w:pPr>
                  <w:r>
                    <w:rPr>
                      <w:rFonts w:hint="eastAsia"/>
                      <w:szCs w:val="21"/>
                    </w:rPr>
                    <w:t>0</w:t>
                  </w:r>
                </w:p>
              </w:tc>
              <w:tc>
                <w:tcPr>
                  <w:tcW w:w="838" w:type="dxa"/>
                  <w:tcBorders>
                    <w:left w:val="single" w:color="auto" w:sz="4" w:space="0"/>
                    <w:right w:val="single" w:color="auto" w:sz="4" w:space="0"/>
                  </w:tcBorders>
                  <w:shd w:val="clear" w:color="auto" w:fill="auto"/>
                  <w:vAlign w:val="center"/>
                </w:tcPr>
                <w:p>
                  <w:pPr>
                    <w:widowControl/>
                    <w:contextualSpacing/>
                    <w:jc w:val="center"/>
                    <w:textAlignment w:val="center"/>
                    <w:rPr>
                      <w:szCs w:val="21"/>
                    </w:rPr>
                  </w:pPr>
                  <w:r>
                    <w:rPr>
                      <w:rFonts w:hint="eastAsia"/>
                      <w:szCs w:val="21"/>
                    </w:rPr>
                    <w:t>-2300</w:t>
                  </w:r>
                </w:p>
              </w:tc>
              <w:tc>
                <w:tcPr>
                  <w:tcW w:w="1216" w:type="dxa"/>
                  <w:tcBorders>
                    <w:left w:val="single" w:color="auto" w:sz="4" w:space="0"/>
                  </w:tcBorders>
                  <w:shd w:val="clear" w:color="auto" w:fill="auto"/>
                  <w:vAlign w:val="center"/>
                </w:tcPr>
                <w:p>
                  <w:pPr>
                    <w:contextualSpacing/>
                    <w:jc w:val="center"/>
                    <w:textAlignment w:val="center"/>
                    <w:rPr>
                      <w:szCs w:val="21"/>
                    </w:rPr>
                  </w:pPr>
                  <w:r>
                    <w:rPr>
                      <w:rFonts w:hint="eastAsia" w:hAnsi="宋体"/>
                      <w:szCs w:val="21"/>
                    </w:rPr>
                    <w:t>龚家村</w:t>
                  </w:r>
                </w:p>
              </w:tc>
              <w:tc>
                <w:tcPr>
                  <w:tcW w:w="913" w:type="dxa"/>
                  <w:vMerge w:val="continue"/>
                  <w:shd w:val="clear" w:color="auto" w:fill="auto"/>
                  <w:vAlign w:val="center"/>
                </w:tcPr>
                <w:p>
                  <w:pPr>
                    <w:rPr>
                      <w:szCs w:val="21"/>
                    </w:rPr>
                  </w:pPr>
                </w:p>
              </w:tc>
              <w:tc>
                <w:tcPr>
                  <w:tcW w:w="1669" w:type="dxa"/>
                  <w:vMerge w:val="continue"/>
                  <w:shd w:val="clear" w:color="auto" w:fill="auto"/>
                  <w:vAlign w:val="center"/>
                </w:tcPr>
                <w:p>
                  <w:pPr>
                    <w:pStyle w:val="104"/>
                    <w:jc w:val="center"/>
                    <w:rPr>
                      <w:rFonts w:ascii="Times New Roman" w:cs="Times New Roman"/>
                      <w:color w:val="auto"/>
                      <w:sz w:val="21"/>
                      <w:szCs w:val="21"/>
                    </w:rPr>
                  </w:pPr>
                </w:p>
              </w:tc>
              <w:tc>
                <w:tcPr>
                  <w:tcW w:w="1308" w:type="dxa"/>
                  <w:shd w:val="clear" w:color="auto" w:fill="auto"/>
                  <w:vAlign w:val="center"/>
                </w:tcPr>
                <w:p>
                  <w:pPr>
                    <w:widowControl/>
                    <w:contextualSpacing/>
                    <w:jc w:val="center"/>
                    <w:textAlignment w:val="center"/>
                    <w:rPr>
                      <w:szCs w:val="21"/>
                    </w:rPr>
                  </w:pPr>
                  <w:r>
                    <w:rPr>
                      <w:rFonts w:hint="eastAsia"/>
                      <w:szCs w:val="21"/>
                    </w:rPr>
                    <w:t>S</w:t>
                  </w:r>
                </w:p>
              </w:tc>
              <w:tc>
                <w:tcPr>
                  <w:tcW w:w="1330" w:type="dxa"/>
                  <w:tcBorders>
                    <w:right w:val="nil"/>
                  </w:tcBorders>
                  <w:shd w:val="clear" w:color="auto" w:fill="auto"/>
                  <w:vAlign w:val="center"/>
                </w:tcPr>
                <w:p>
                  <w:pPr>
                    <w:widowControl/>
                    <w:contextualSpacing/>
                    <w:jc w:val="center"/>
                    <w:textAlignment w:val="center"/>
                    <w:rPr>
                      <w:szCs w:val="21"/>
                    </w:rPr>
                  </w:pPr>
                  <w:r>
                    <w:rPr>
                      <w:rFonts w:hint="eastAsia"/>
                      <w:szCs w:val="21"/>
                    </w:rPr>
                    <w:t>2300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8" w:hRule="atLeast"/>
              </w:trPr>
              <w:tc>
                <w:tcPr>
                  <w:tcW w:w="746" w:type="dxa"/>
                  <w:tcBorders>
                    <w:left w:val="nil"/>
                    <w:bottom w:val="single" w:color="auto" w:sz="12" w:space="0"/>
                  </w:tcBorders>
                  <w:shd w:val="clear" w:color="auto" w:fill="auto"/>
                  <w:vAlign w:val="center"/>
                </w:tcPr>
                <w:p>
                  <w:pPr>
                    <w:pStyle w:val="104"/>
                    <w:jc w:val="center"/>
                    <w:rPr>
                      <w:rFonts w:ascii="Times New Roman" w:cs="Times New Roman"/>
                      <w:color w:val="auto"/>
                      <w:sz w:val="21"/>
                      <w:szCs w:val="21"/>
                    </w:rPr>
                  </w:pPr>
                  <w:r>
                    <w:rPr>
                      <w:rFonts w:ascii="Times New Roman" w:cs="Times New Roman"/>
                      <w:color w:val="auto"/>
                      <w:sz w:val="21"/>
                      <w:szCs w:val="21"/>
                    </w:rPr>
                    <w:t>声环境</w:t>
                  </w:r>
                </w:p>
              </w:tc>
              <w:tc>
                <w:tcPr>
                  <w:tcW w:w="834" w:type="dxa"/>
                  <w:tcBorders>
                    <w:bottom w:val="single" w:color="auto" w:sz="12" w:space="0"/>
                    <w:right w:val="single" w:color="auto" w:sz="4" w:space="0"/>
                  </w:tcBorders>
                  <w:shd w:val="clear" w:color="auto" w:fill="auto"/>
                  <w:vAlign w:val="center"/>
                </w:tcPr>
                <w:p>
                  <w:pPr>
                    <w:widowControl/>
                    <w:contextualSpacing/>
                    <w:jc w:val="center"/>
                    <w:textAlignment w:val="center"/>
                    <w:rPr>
                      <w:szCs w:val="21"/>
                    </w:rPr>
                  </w:pPr>
                  <w:r>
                    <w:rPr>
                      <w:rFonts w:hint="eastAsia"/>
                      <w:szCs w:val="21"/>
                    </w:rPr>
                    <w:t>-10</w:t>
                  </w:r>
                </w:p>
              </w:tc>
              <w:tc>
                <w:tcPr>
                  <w:tcW w:w="838" w:type="dxa"/>
                  <w:tcBorders>
                    <w:left w:val="single" w:color="auto" w:sz="4" w:space="0"/>
                    <w:bottom w:val="single" w:color="auto" w:sz="12" w:space="0"/>
                    <w:right w:val="single" w:color="auto" w:sz="4" w:space="0"/>
                  </w:tcBorders>
                  <w:shd w:val="clear" w:color="auto" w:fill="auto"/>
                  <w:vAlign w:val="center"/>
                </w:tcPr>
                <w:p>
                  <w:pPr>
                    <w:widowControl/>
                    <w:contextualSpacing/>
                    <w:jc w:val="center"/>
                    <w:textAlignment w:val="center"/>
                    <w:rPr>
                      <w:szCs w:val="21"/>
                    </w:rPr>
                  </w:pPr>
                  <w:r>
                    <w:rPr>
                      <w:rFonts w:hint="eastAsia"/>
                      <w:szCs w:val="21"/>
                    </w:rPr>
                    <w:t>0</w:t>
                  </w:r>
                </w:p>
              </w:tc>
              <w:tc>
                <w:tcPr>
                  <w:tcW w:w="1216" w:type="dxa"/>
                  <w:tcBorders>
                    <w:left w:val="single" w:color="auto" w:sz="4" w:space="0"/>
                    <w:bottom w:val="single" w:color="auto" w:sz="12" w:space="0"/>
                  </w:tcBorders>
                  <w:shd w:val="clear" w:color="auto" w:fill="auto"/>
                  <w:vAlign w:val="center"/>
                </w:tcPr>
                <w:p>
                  <w:pPr>
                    <w:contextualSpacing/>
                    <w:jc w:val="center"/>
                    <w:textAlignment w:val="center"/>
                    <w:rPr>
                      <w:szCs w:val="21"/>
                    </w:rPr>
                  </w:pPr>
                  <w:r>
                    <w:rPr>
                      <w:rFonts w:hint="eastAsia" w:hAnsi="宋体"/>
                      <w:szCs w:val="21"/>
                    </w:rPr>
                    <w:t>蚕姑沟村</w:t>
                  </w:r>
                </w:p>
              </w:tc>
              <w:tc>
                <w:tcPr>
                  <w:tcW w:w="913" w:type="dxa"/>
                  <w:tcBorders>
                    <w:bottom w:val="single" w:color="auto" w:sz="12" w:space="0"/>
                  </w:tcBorders>
                  <w:shd w:val="clear" w:color="auto" w:fill="auto"/>
                  <w:vAlign w:val="center"/>
                </w:tcPr>
                <w:p>
                  <w:pPr>
                    <w:pStyle w:val="104"/>
                    <w:jc w:val="center"/>
                    <w:rPr>
                      <w:rFonts w:ascii="Times New Roman" w:cs="Times New Roman"/>
                      <w:color w:val="auto"/>
                      <w:sz w:val="21"/>
                      <w:szCs w:val="21"/>
                    </w:rPr>
                  </w:pPr>
                  <w:r>
                    <w:rPr>
                      <w:rFonts w:ascii="Times New Roman" w:cs="Times New Roman"/>
                      <w:color w:val="auto"/>
                      <w:sz w:val="21"/>
                      <w:szCs w:val="21"/>
                    </w:rPr>
                    <w:t>声环境质量</w:t>
                  </w:r>
                </w:p>
              </w:tc>
              <w:tc>
                <w:tcPr>
                  <w:tcW w:w="1669" w:type="dxa"/>
                  <w:tcBorders>
                    <w:bottom w:val="single" w:color="auto" w:sz="12" w:space="0"/>
                  </w:tcBorders>
                  <w:shd w:val="clear" w:color="auto" w:fill="auto"/>
                  <w:vAlign w:val="center"/>
                </w:tcPr>
                <w:p>
                  <w:pPr>
                    <w:pStyle w:val="104"/>
                    <w:jc w:val="center"/>
                    <w:rPr>
                      <w:rFonts w:ascii="Times New Roman" w:cs="Times New Roman"/>
                      <w:color w:val="auto"/>
                      <w:sz w:val="21"/>
                      <w:szCs w:val="21"/>
                    </w:rPr>
                  </w:pPr>
                  <w:r>
                    <w:rPr>
                      <w:rFonts w:ascii="Times New Roman" w:cs="Times New Roman"/>
                      <w:color w:val="auto"/>
                      <w:sz w:val="21"/>
                      <w:szCs w:val="21"/>
                    </w:rPr>
                    <w:t>《声环境质量标准》（GB3096-2008）中2类标准</w:t>
                  </w:r>
                </w:p>
              </w:tc>
              <w:tc>
                <w:tcPr>
                  <w:tcW w:w="1308" w:type="dxa"/>
                  <w:tcBorders>
                    <w:bottom w:val="single" w:color="auto" w:sz="12" w:space="0"/>
                  </w:tcBorders>
                  <w:shd w:val="clear" w:color="auto" w:fill="auto"/>
                  <w:vAlign w:val="center"/>
                </w:tcPr>
                <w:p>
                  <w:pPr>
                    <w:widowControl/>
                    <w:contextualSpacing/>
                    <w:jc w:val="center"/>
                    <w:textAlignment w:val="center"/>
                    <w:rPr>
                      <w:szCs w:val="21"/>
                    </w:rPr>
                  </w:pPr>
                  <w:r>
                    <w:rPr>
                      <w:rFonts w:hint="eastAsia"/>
                      <w:szCs w:val="21"/>
                    </w:rPr>
                    <w:t>W</w:t>
                  </w:r>
                </w:p>
              </w:tc>
              <w:tc>
                <w:tcPr>
                  <w:tcW w:w="1330" w:type="dxa"/>
                  <w:tcBorders>
                    <w:bottom w:val="single" w:color="auto" w:sz="12" w:space="0"/>
                    <w:right w:val="nil"/>
                  </w:tcBorders>
                  <w:shd w:val="clear" w:color="auto" w:fill="auto"/>
                  <w:vAlign w:val="center"/>
                </w:tcPr>
                <w:p>
                  <w:pPr>
                    <w:widowControl/>
                    <w:contextualSpacing/>
                    <w:jc w:val="center"/>
                    <w:textAlignment w:val="center"/>
                    <w:rPr>
                      <w:szCs w:val="21"/>
                    </w:rPr>
                  </w:pPr>
                  <w:r>
                    <w:rPr>
                      <w:rFonts w:hint="eastAsia"/>
                      <w:szCs w:val="21"/>
                    </w:rPr>
                    <w:t>10</w:t>
                  </w:r>
                  <w:r>
                    <w:rPr>
                      <w:rFonts w:hint="eastAsia" w:hAnsi="宋体"/>
                    </w:rPr>
                    <w:t xml:space="preserve"> </w:t>
                  </w:r>
                </w:p>
              </w:tc>
            </w:tr>
            <w:bookmarkEnd w:id="2"/>
          </w:tbl>
          <w:p>
            <w:pPr>
              <w:pStyle w:val="104"/>
              <w:rPr>
                <w:rFonts w:ascii="Times New Roman" w:cs="Times New Roman"/>
                <w:color w:val="auto"/>
              </w:rPr>
            </w:pPr>
            <w:r>
              <w:rPr>
                <w:rFonts w:hint="eastAsia" w:ascii="Times New Roman" w:cs="Times New Roman"/>
                <w:color w:val="auto"/>
              </w:rPr>
              <w:t>注：本项目所在地为坐标原点</w:t>
            </w:r>
          </w:p>
          <w:p>
            <w:pPr>
              <w:pStyle w:val="10"/>
              <w:rPr>
                <w:rStyle w:val="52"/>
                <w:b/>
                <w:kern w:val="2"/>
                <w:sz w:val="24"/>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0" w:hRule="atLeast"/>
          <w:jc w:val="center"/>
        </w:trPr>
        <w:tc>
          <w:tcPr>
            <w:tcW w:w="496" w:type="dxa"/>
            <w:vAlign w:val="center"/>
          </w:tcPr>
          <w:p>
            <w:pPr>
              <w:spacing w:line="360" w:lineRule="auto"/>
              <w:jc w:val="center"/>
              <w:rPr>
                <w:b/>
                <w:sz w:val="24"/>
              </w:rPr>
            </w:pPr>
            <w:r>
              <w:rPr>
                <w:b/>
                <w:sz w:val="24"/>
              </w:rPr>
              <w:t>环</w:t>
            </w:r>
          </w:p>
          <w:p>
            <w:pPr>
              <w:spacing w:line="360" w:lineRule="auto"/>
              <w:jc w:val="center"/>
              <w:rPr>
                <w:b/>
                <w:sz w:val="24"/>
              </w:rPr>
            </w:pPr>
            <w:r>
              <w:rPr>
                <w:b/>
                <w:sz w:val="24"/>
              </w:rPr>
              <w:t>境</w:t>
            </w:r>
          </w:p>
          <w:p>
            <w:pPr>
              <w:spacing w:line="360" w:lineRule="auto"/>
              <w:jc w:val="center"/>
              <w:rPr>
                <w:b/>
                <w:sz w:val="24"/>
              </w:rPr>
            </w:pPr>
            <w:r>
              <w:rPr>
                <w:b/>
                <w:sz w:val="24"/>
              </w:rPr>
              <w:t>质</w:t>
            </w:r>
          </w:p>
          <w:p>
            <w:pPr>
              <w:spacing w:line="360" w:lineRule="auto"/>
              <w:jc w:val="center"/>
              <w:rPr>
                <w:b/>
                <w:sz w:val="24"/>
              </w:rPr>
            </w:pPr>
            <w:r>
              <w:rPr>
                <w:b/>
                <w:sz w:val="24"/>
              </w:rPr>
              <w:t>量</w:t>
            </w:r>
          </w:p>
          <w:p>
            <w:pPr>
              <w:spacing w:line="360" w:lineRule="auto"/>
              <w:jc w:val="center"/>
              <w:rPr>
                <w:b/>
                <w:sz w:val="24"/>
              </w:rPr>
            </w:pPr>
            <w:r>
              <w:rPr>
                <w:b/>
                <w:sz w:val="24"/>
              </w:rPr>
              <w:t>标</w:t>
            </w:r>
          </w:p>
          <w:p>
            <w:pPr>
              <w:spacing w:line="360" w:lineRule="auto"/>
              <w:jc w:val="center"/>
              <w:rPr>
                <w:sz w:val="24"/>
              </w:rPr>
            </w:pPr>
            <w:r>
              <w:rPr>
                <w:b/>
                <w:sz w:val="24"/>
              </w:rPr>
              <w:t>准</w:t>
            </w:r>
          </w:p>
        </w:tc>
        <w:tc>
          <w:tcPr>
            <w:tcW w:w="8791" w:type="dxa"/>
            <w:gridSpan w:val="2"/>
            <w:vAlign w:val="center"/>
          </w:tcPr>
          <w:p>
            <w:pPr>
              <w:spacing w:line="360" w:lineRule="auto"/>
              <w:ind w:firstLine="480" w:firstLineChars="200"/>
              <w:rPr>
                <w:sz w:val="24"/>
                <w:szCs w:val="24"/>
              </w:rPr>
            </w:pPr>
            <w:r>
              <w:rPr>
                <w:sz w:val="24"/>
                <w:szCs w:val="24"/>
              </w:rPr>
              <w:t>1、环境空气质量执行《环境空气质量标准》（GB3095-2012）二级标准。</w:t>
            </w:r>
          </w:p>
          <w:p>
            <w:pPr>
              <w:widowControl/>
              <w:adjustRightInd w:val="0"/>
              <w:spacing w:before="62" w:beforeLines="20"/>
              <w:jc w:val="center"/>
              <w:rPr>
                <w:b/>
                <w:szCs w:val="21"/>
              </w:rPr>
            </w:pPr>
            <w:r>
              <w:rPr>
                <w:b/>
                <w:szCs w:val="21"/>
              </w:rPr>
              <w:t>表</w:t>
            </w:r>
            <w:r>
              <w:rPr>
                <w:rFonts w:hint="eastAsia"/>
                <w:b/>
                <w:szCs w:val="21"/>
              </w:rPr>
              <w:t>20</w:t>
            </w:r>
            <w:r>
              <w:rPr>
                <w:b/>
                <w:szCs w:val="21"/>
              </w:rPr>
              <w:t xml:space="preserve">   环境空气质量标准（摘录）</w:t>
            </w:r>
          </w:p>
          <w:tbl>
            <w:tblPr>
              <w:tblStyle w:val="2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367"/>
              <w:gridCol w:w="1932"/>
              <w:gridCol w:w="1932"/>
              <w:gridCol w:w="16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19" w:type="dxa"/>
                  <w:vAlign w:val="center"/>
                </w:tcPr>
                <w:p>
                  <w:pPr>
                    <w:kinsoku w:val="0"/>
                    <w:overflowPunct w:val="0"/>
                    <w:autoSpaceDE w:val="0"/>
                    <w:autoSpaceDN w:val="0"/>
                    <w:jc w:val="center"/>
                    <w:rPr>
                      <w:b/>
                      <w:szCs w:val="21"/>
                    </w:rPr>
                  </w:pPr>
                  <w:r>
                    <w:rPr>
                      <w:rFonts w:hint="eastAsia"/>
                      <w:b/>
                      <w:szCs w:val="21"/>
                    </w:rPr>
                    <w:t>标准名称</w:t>
                  </w:r>
                </w:p>
              </w:tc>
              <w:tc>
                <w:tcPr>
                  <w:tcW w:w="1367" w:type="dxa"/>
                  <w:vAlign w:val="center"/>
                </w:tcPr>
                <w:p>
                  <w:pPr>
                    <w:kinsoku w:val="0"/>
                    <w:overflowPunct w:val="0"/>
                    <w:autoSpaceDE w:val="0"/>
                    <w:autoSpaceDN w:val="0"/>
                    <w:ind w:firstLine="482"/>
                    <w:jc w:val="center"/>
                    <w:rPr>
                      <w:b/>
                      <w:szCs w:val="21"/>
                    </w:rPr>
                  </w:pPr>
                  <w:r>
                    <w:rPr>
                      <w:b/>
                      <w:szCs w:val="21"/>
                    </w:rPr>
                    <w:t>污染物项目</w:t>
                  </w:r>
                </w:p>
              </w:tc>
              <w:tc>
                <w:tcPr>
                  <w:tcW w:w="1932" w:type="dxa"/>
                  <w:vAlign w:val="center"/>
                </w:tcPr>
                <w:p>
                  <w:pPr>
                    <w:kinsoku w:val="0"/>
                    <w:overflowPunct w:val="0"/>
                    <w:autoSpaceDE w:val="0"/>
                    <w:autoSpaceDN w:val="0"/>
                    <w:ind w:firstLine="482"/>
                    <w:jc w:val="center"/>
                    <w:rPr>
                      <w:b/>
                      <w:szCs w:val="21"/>
                    </w:rPr>
                  </w:pPr>
                  <w:r>
                    <w:rPr>
                      <w:b/>
                      <w:szCs w:val="21"/>
                    </w:rPr>
                    <w:t>平均时间</w:t>
                  </w:r>
                </w:p>
              </w:tc>
              <w:tc>
                <w:tcPr>
                  <w:tcW w:w="1932" w:type="dxa"/>
                  <w:vAlign w:val="center"/>
                </w:tcPr>
                <w:p>
                  <w:pPr>
                    <w:kinsoku w:val="0"/>
                    <w:overflowPunct w:val="0"/>
                    <w:autoSpaceDE w:val="0"/>
                    <w:autoSpaceDN w:val="0"/>
                    <w:jc w:val="center"/>
                    <w:rPr>
                      <w:b/>
                      <w:szCs w:val="21"/>
                    </w:rPr>
                  </w:pPr>
                  <w:r>
                    <w:rPr>
                      <w:b/>
                      <w:szCs w:val="21"/>
                    </w:rPr>
                    <w:t>二级浓度限值</w:t>
                  </w:r>
                </w:p>
              </w:tc>
              <w:tc>
                <w:tcPr>
                  <w:tcW w:w="1687" w:type="dxa"/>
                  <w:vAlign w:val="center"/>
                </w:tcPr>
                <w:p>
                  <w:pPr>
                    <w:kinsoku w:val="0"/>
                    <w:overflowPunct w:val="0"/>
                    <w:autoSpaceDE w:val="0"/>
                    <w:autoSpaceDN w:val="0"/>
                    <w:ind w:firstLine="482"/>
                    <w:jc w:val="center"/>
                    <w:rPr>
                      <w:b/>
                      <w:szCs w:val="21"/>
                    </w:rPr>
                  </w:pPr>
                  <w:r>
                    <w:rPr>
                      <w:b/>
                      <w:szCs w:val="21"/>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19" w:type="dxa"/>
                  <w:vMerge w:val="restart"/>
                  <w:vAlign w:val="center"/>
                </w:tcPr>
                <w:p>
                  <w:pPr>
                    <w:kinsoku w:val="0"/>
                    <w:overflowPunct w:val="0"/>
                    <w:autoSpaceDE w:val="0"/>
                    <w:autoSpaceDN w:val="0"/>
                    <w:jc w:val="center"/>
                    <w:rPr>
                      <w:szCs w:val="21"/>
                    </w:rPr>
                  </w:pPr>
                  <w:r>
                    <w:rPr>
                      <w:rFonts w:hint="eastAsia"/>
                      <w:szCs w:val="21"/>
                    </w:rPr>
                    <w:t>《环境空气质量标准》（GB3095-2012）二级标准</w:t>
                  </w:r>
                </w:p>
              </w:tc>
              <w:tc>
                <w:tcPr>
                  <w:tcW w:w="1367" w:type="dxa"/>
                  <w:vAlign w:val="center"/>
                </w:tcPr>
                <w:p>
                  <w:pPr>
                    <w:kinsoku w:val="0"/>
                    <w:overflowPunct w:val="0"/>
                    <w:autoSpaceDE w:val="0"/>
                    <w:autoSpaceDN w:val="0"/>
                    <w:jc w:val="center"/>
                    <w:rPr>
                      <w:szCs w:val="21"/>
                    </w:rPr>
                  </w:pPr>
                  <w:r>
                    <w:rPr>
                      <w:szCs w:val="21"/>
                    </w:rPr>
                    <w:t>PM</w:t>
                  </w:r>
                  <w:r>
                    <w:rPr>
                      <w:szCs w:val="21"/>
                      <w:vertAlign w:val="subscript"/>
                    </w:rPr>
                    <w:t>10</w:t>
                  </w:r>
                </w:p>
              </w:tc>
              <w:tc>
                <w:tcPr>
                  <w:tcW w:w="1932" w:type="dxa"/>
                  <w:vAlign w:val="center"/>
                </w:tcPr>
                <w:p>
                  <w:pPr>
                    <w:kinsoku w:val="0"/>
                    <w:overflowPunct w:val="0"/>
                    <w:autoSpaceDE w:val="0"/>
                    <w:autoSpaceDN w:val="0"/>
                    <w:jc w:val="center"/>
                    <w:rPr>
                      <w:szCs w:val="21"/>
                    </w:rPr>
                  </w:pPr>
                  <w:r>
                    <w:rPr>
                      <w:szCs w:val="21"/>
                    </w:rPr>
                    <w:t>年平均</w:t>
                  </w:r>
                </w:p>
              </w:tc>
              <w:tc>
                <w:tcPr>
                  <w:tcW w:w="1932" w:type="dxa"/>
                  <w:vAlign w:val="center"/>
                </w:tcPr>
                <w:p>
                  <w:pPr>
                    <w:kinsoku w:val="0"/>
                    <w:overflowPunct w:val="0"/>
                    <w:autoSpaceDE w:val="0"/>
                    <w:autoSpaceDN w:val="0"/>
                    <w:jc w:val="center"/>
                    <w:rPr>
                      <w:szCs w:val="21"/>
                    </w:rPr>
                  </w:pPr>
                  <w:r>
                    <w:rPr>
                      <w:szCs w:val="21"/>
                    </w:rPr>
                    <w:t>70</w:t>
                  </w:r>
                </w:p>
              </w:tc>
              <w:tc>
                <w:tcPr>
                  <w:tcW w:w="1687" w:type="dxa"/>
                  <w:vMerge w:val="restart"/>
                  <w:vAlign w:val="center"/>
                </w:tcPr>
                <w:p>
                  <w:pPr>
                    <w:kinsoku w:val="0"/>
                    <w:overflowPunct w:val="0"/>
                    <w:autoSpaceDE w:val="0"/>
                    <w:autoSpaceDN w:val="0"/>
                    <w:jc w:val="center"/>
                    <w:rPr>
                      <w:szCs w:val="21"/>
                    </w:rPr>
                  </w:pPr>
                  <w:r>
                    <w:rPr>
                      <w:szCs w:val="21"/>
                    </w:rPr>
                    <w:t>μg/m</w:t>
                  </w:r>
                  <w:r>
                    <w:rPr>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19" w:type="dxa"/>
                  <w:vMerge w:val="continue"/>
                  <w:vAlign w:val="center"/>
                </w:tcPr>
                <w:p>
                  <w:pPr>
                    <w:kinsoku w:val="0"/>
                    <w:overflowPunct w:val="0"/>
                    <w:autoSpaceDE w:val="0"/>
                    <w:autoSpaceDN w:val="0"/>
                    <w:jc w:val="center"/>
                    <w:rPr>
                      <w:szCs w:val="21"/>
                    </w:rPr>
                  </w:pPr>
                </w:p>
              </w:tc>
              <w:tc>
                <w:tcPr>
                  <w:tcW w:w="1367" w:type="dxa"/>
                  <w:vAlign w:val="center"/>
                </w:tcPr>
                <w:p>
                  <w:pPr>
                    <w:kinsoku w:val="0"/>
                    <w:overflowPunct w:val="0"/>
                    <w:autoSpaceDE w:val="0"/>
                    <w:autoSpaceDN w:val="0"/>
                    <w:jc w:val="center"/>
                    <w:rPr>
                      <w:szCs w:val="21"/>
                    </w:rPr>
                  </w:pPr>
                  <w:r>
                    <w:rPr>
                      <w:szCs w:val="21"/>
                    </w:rPr>
                    <w:t>NO</w:t>
                  </w:r>
                  <w:r>
                    <w:rPr>
                      <w:szCs w:val="21"/>
                      <w:vertAlign w:val="subscript"/>
                    </w:rPr>
                    <w:t>2</w:t>
                  </w:r>
                </w:p>
              </w:tc>
              <w:tc>
                <w:tcPr>
                  <w:tcW w:w="1932" w:type="dxa"/>
                  <w:vAlign w:val="center"/>
                </w:tcPr>
                <w:p>
                  <w:pPr>
                    <w:kinsoku w:val="0"/>
                    <w:overflowPunct w:val="0"/>
                    <w:autoSpaceDE w:val="0"/>
                    <w:autoSpaceDN w:val="0"/>
                    <w:jc w:val="center"/>
                    <w:rPr>
                      <w:szCs w:val="21"/>
                    </w:rPr>
                  </w:pPr>
                  <w:r>
                    <w:rPr>
                      <w:szCs w:val="21"/>
                    </w:rPr>
                    <w:t>年平均</w:t>
                  </w:r>
                </w:p>
              </w:tc>
              <w:tc>
                <w:tcPr>
                  <w:tcW w:w="1932" w:type="dxa"/>
                  <w:vAlign w:val="center"/>
                </w:tcPr>
                <w:p>
                  <w:pPr>
                    <w:kinsoku w:val="0"/>
                    <w:overflowPunct w:val="0"/>
                    <w:autoSpaceDE w:val="0"/>
                    <w:autoSpaceDN w:val="0"/>
                    <w:jc w:val="center"/>
                    <w:rPr>
                      <w:szCs w:val="21"/>
                    </w:rPr>
                  </w:pPr>
                  <w:r>
                    <w:rPr>
                      <w:szCs w:val="21"/>
                    </w:rPr>
                    <w:t>40</w:t>
                  </w:r>
                </w:p>
              </w:tc>
              <w:tc>
                <w:tcPr>
                  <w:tcW w:w="1687" w:type="dxa"/>
                  <w:vMerge w:val="continue"/>
                  <w:vAlign w:val="center"/>
                </w:tcPr>
                <w:p>
                  <w:pPr>
                    <w:kinsoku w:val="0"/>
                    <w:overflowPunct w:val="0"/>
                    <w:autoSpaceDE w:val="0"/>
                    <w:autoSpaceDN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19" w:type="dxa"/>
                  <w:vMerge w:val="continue"/>
                  <w:vAlign w:val="center"/>
                </w:tcPr>
                <w:p>
                  <w:pPr>
                    <w:kinsoku w:val="0"/>
                    <w:overflowPunct w:val="0"/>
                    <w:autoSpaceDE w:val="0"/>
                    <w:autoSpaceDN w:val="0"/>
                    <w:jc w:val="center"/>
                    <w:rPr>
                      <w:szCs w:val="21"/>
                    </w:rPr>
                  </w:pPr>
                </w:p>
              </w:tc>
              <w:tc>
                <w:tcPr>
                  <w:tcW w:w="1367" w:type="dxa"/>
                  <w:vAlign w:val="center"/>
                </w:tcPr>
                <w:p>
                  <w:pPr>
                    <w:kinsoku w:val="0"/>
                    <w:overflowPunct w:val="0"/>
                    <w:autoSpaceDE w:val="0"/>
                    <w:autoSpaceDN w:val="0"/>
                    <w:jc w:val="center"/>
                    <w:rPr>
                      <w:szCs w:val="21"/>
                    </w:rPr>
                  </w:pPr>
                  <w:r>
                    <w:rPr>
                      <w:szCs w:val="21"/>
                    </w:rPr>
                    <w:t>SO</w:t>
                  </w:r>
                  <w:r>
                    <w:rPr>
                      <w:szCs w:val="21"/>
                      <w:vertAlign w:val="subscript"/>
                    </w:rPr>
                    <w:t>2</w:t>
                  </w:r>
                </w:p>
              </w:tc>
              <w:tc>
                <w:tcPr>
                  <w:tcW w:w="1932" w:type="dxa"/>
                  <w:vAlign w:val="center"/>
                </w:tcPr>
                <w:p>
                  <w:pPr>
                    <w:kinsoku w:val="0"/>
                    <w:overflowPunct w:val="0"/>
                    <w:autoSpaceDE w:val="0"/>
                    <w:autoSpaceDN w:val="0"/>
                    <w:jc w:val="center"/>
                    <w:rPr>
                      <w:szCs w:val="21"/>
                    </w:rPr>
                  </w:pPr>
                  <w:r>
                    <w:rPr>
                      <w:szCs w:val="21"/>
                    </w:rPr>
                    <w:t>年平均</w:t>
                  </w:r>
                </w:p>
              </w:tc>
              <w:tc>
                <w:tcPr>
                  <w:tcW w:w="1932" w:type="dxa"/>
                  <w:vAlign w:val="center"/>
                </w:tcPr>
                <w:p>
                  <w:pPr>
                    <w:kinsoku w:val="0"/>
                    <w:overflowPunct w:val="0"/>
                    <w:autoSpaceDE w:val="0"/>
                    <w:autoSpaceDN w:val="0"/>
                    <w:jc w:val="center"/>
                    <w:rPr>
                      <w:szCs w:val="21"/>
                    </w:rPr>
                  </w:pPr>
                  <w:r>
                    <w:rPr>
                      <w:szCs w:val="21"/>
                    </w:rPr>
                    <w:t>60</w:t>
                  </w:r>
                </w:p>
              </w:tc>
              <w:tc>
                <w:tcPr>
                  <w:tcW w:w="1687" w:type="dxa"/>
                  <w:vMerge w:val="continue"/>
                  <w:vAlign w:val="center"/>
                </w:tcPr>
                <w:p>
                  <w:pPr>
                    <w:kinsoku w:val="0"/>
                    <w:overflowPunct w:val="0"/>
                    <w:autoSpaceDE w:val="0"/>
                    <w:autoSpaceDN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19" w:type="dxa"/>
                  <w:vMerge w:val="continue"/>
                  <w:vAlign w:val="center"/>
                </w:tcPr>
                <w:p>
                  <w:pPr>
                    <w:kinsoku w:val="0"/>
                    <w:overflowPunct w:val="0"/>
                    <w:autoSpaceDE w:val="0"/>
                    <w:autoSpaceDN w:val="0"/>
                    <w:jc w:val="center"/>
                    <w:rPr>
                      <w:szCs w:val="21"/>
                    </w:rPr>
                  </w:pPr>
                </w:p>
              </w:tc>
              <w:tc>
                <w:tcPr>
                  <w:tcW w:w="1367" w:type="dxa"/>
                  <w:vAlign w:val="center"/>
                </w:tcPr>
                <w:p>
                  <w:pPr>
                    <w:kinsoku w:val="0"/>
                    <w:overflowPunct w:val="0"/>
                    <w:autoSpaceDE w:val="0"/>
                    <w:autoSpaceDN w:val="0"/>
                    <w:jc w:val="center"/>
                    <w:rPr>
                      <w:szCs w:val="21"/>
                    </w:rPr>
                  </w:pPr>
                  <w:r>
                    <w:rPr>
                      <w:szCs w:val="21"/>
                    </w:rPr>
                    <w:t>CO</w:t>
                  </w:r>
                </w:p>
              </w:tc>
              <w:tc>
                <w:tcPr>
                  <w:tcW w:w="1932" w:type="dxa"/>
                  <w:vAlign w:val="center"/>
                </w:tcPr>
                <w:p>
                  <w:pPr>
                    <w:kinsoku w:val="0"/>
                    <w:overflowPunct w:val="0"/>
                    <w:autoSpaceDE w:val="0"/>
                    <w:autoSpaceDN w:val="0"/>
                    <w:jc w:val="center"/>
                    <w:rPr>
                      <w:szCs w:val="21"/>
                    </w:rPr>
                  </w:pPr>
                  <w:r>
                    <w:rPr>
                      <w:szCs w:val="21"/>
                    </w:rPr>
                    <w:t>24小时平均</w:t>
                  </w:r>
                </w:p>
              </w:tc>
              <w:tc>
                <w:tcPr>
                  <w:tcW w:w="1932" w:type="dxa"/>
                  <w:vAlign w:val="center"/>
                </w:tcPr>
                <w:p>
                  <w:pPr>
                    <w:kinsoku w:val="0"/>
                    <w:overflowPunct w:val="0"/>
                    <w:autoSpaceDE w:val="0"/>
                    <w:autoSpaceDN w:val="0"/>
                    <w:jc w:val="center"/>
                    <w:rPr>
                      <w:szCs w:val="21"/>
                    </w:rPr>
                  </w:pPr>
                  <w:r>
                    <w:rPr>
                      <w:szCs w:val="21"/>
                    </w:rPr>
                    <w:t>4</w:t>
                  </w:r>
                </w:p>
              </w:tc>
              <w:tc>
                <w:tcPr>
                  <w:tcW w:w="1687" w:type="dxa"/>
                  <w:vAlign w:val="center"/>
                </w:tcPr>
                <w:p>
                  <w:pPr>
                    <w:kinsoku w:val="0"/>
                    <w:overflowPunct w:val="0"/>
                    <w:autoSpaceDE w:val="0"/>
                    <w:autoSpaceDN w:val="0"/>
                    <w:jc w:val="center"/>
                    <w:rPr>
                      <w:szCs w:val="21"/>
                    </w:rPr>
                  </w:pPr>
                  <w:r>
                    <w:rPr>
                      <w:szCs w:val="21"/>
                    </w:rPr>
                    <w:t>mg/m</w:t>
                  </w:r>
                  <w:r>
                    <w:rPr>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19" w:type="dxa"/>
                  <w:vMerge w:val="continue"/>
                  <w:vAlign w:val="center"/>
                </w:tcPr>
                <w:p>
                  <w:pPr>
                    <w:kinsoku w:val="0"/>
                    <w:overflowPunct w:val="0"/>
                    <w:autoSpaceDE w:val="0"/>
                    <w:autoSpaceDN w:val="0"/>
                    <w:jc w:val="center"/>
                    <w:rPr>
                      <w:szCs w:val="21"/>
                    </w:rPr>
                  </w:pPr>
                </w:p>
              </w:tc>
              <w:tc>
                <w:tcPr>
                  <w:tcW w:w="1367" w:type="dxa"/>
                  <w:vAlign w:val="center"/>
                </w:tcPr>
                <w:p>
                  <w:pPr>
                    <w:kinsoku w:val="0"/>
                    <w:overflowPunct w:val="0"/>
                    <w:autoSpaceDE w:val="0"/>
                    <w:autoSpaceDN w:val="0"/>
                    <w:jc w:val="center"/>
                    <w:rPr>
                      <w:szCs w:val="21"/>
                    </w:rPr>
                  </w:pPr>
                  <w:r>
                    <w:rPr>
                      <w:szCs w:val="21"/>
                    </w:rPr>
                    <w:t>O</w:t>
                  </w:r>
                  <w:r>
                    <w:rPr>
                      <w:szCs w:val="21"/>
                      <w:vertAlign w:val="subscript"/>
                    </w:rPr>
                    <w:t>3</w:t>
                  </w:r>
                </w:p>
              </w:tc>
              <w:tc>
                <w:tcPr>
                  <w:tcW w:w="1932" w:type="dxa"/>
                  <w:vAlign w:val="center"/>
                </w:tcPr>
                <w:p>
                  <w:pPr>
                    <w:kinsoku w:val="0"/>
                    <w:overflowPunct w:val="0"/>
                    <w:autoSpaceDE w:val="0"/>
                    <w:autoSpaceDN w:val="0"/>
                    <w:jc w:val="center"/>
                    <w:rPr>
                      <w:szCs w:val="21"/>
                    </w:rPr>
                  </w:pPr>
                  <w:r>
                    <w:rPr>
                      <w:szCs w:val="21"/>
                    </w:rPr>
                    <w:t>日最大8小时平均</w:t>
                  </w:r>
                </w:p>
              </w:tc>
              <w:tc>
                <w:tcPr>
                  <w:tcW w:w="1932" w:type="dxa"/>
                  <w:vAlign w:val="center"/>
                </w:tcPr>
                <w:p>
                  <w:pPr>
                    <w:kinsoku w:val="0"/>
                    <w:overflowPunct w:val="0"/>
                    <w:autoSpaceDE w:val="0"/>
                    <w:autoSpaceDN w:val="0"/>
                    <w:jc w:val="center"/>
                    <w:rPr>
                      <w:szCs w:val="21"/>
                    </w:rPr>
                  </w:pPr>
                  <w:r>
                    <w:rPr>
                      <w:szCs w:val="21"/>
                    </w:rPr>
                    <w:t>160</w:t>
                  </w:r>
                </w:p>
              </w:tc>
              <w:tc>
                <w:tcPr>
                  <w:tcW w:w="1687" w:type="dxa"/>
                  <w:vMerge w:val="restart"/>
                  <w:vAlign w:val="center"/>
                </w:tcPr>
                <w:p>
                  <w:pPr>
                    <w:kinsoku w:val="0"/>
                    <w:overflowPunct w:val="0"/>
                    <w:autoSpaceDE w:val="0"/>
                    <w:autoSpaceDN w:val="0"/>
                    <w:jc w:val="center"/>
                    <w:rPr>
                      <w:szCs w:val="21"/>
                    </w:rPr>
                  </w:pPr>
                  <w:r>
                    <w:rPr>
                      <w:szCs w:val="21"/>
                    </w:rPr>
                    <w:t>μg/m</w:t>
                  </w:r>
                  <w:r>
                    <w:rPr>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19" w:type="dxa"/>
                  <w:vMerge w:val="continue"/>
                  <w:vAlign w:val="center"/>
                </w:tcPr>
                <w:p>
                  <w:pPr>
                    <w:kinsoku w:val="0"/>
                    <w:overflowPunct w:val="0"/>
                    <w:autoSpaceDE w:val="0"/>
                    <w:autoSpaceDN w:val="0"/>
                    <w:jc w:val="center"/>
                    <w:rPr>
                      <w:szCs w:val="21"/>
                    </w:rPr>
                  </w:pPr>
                </w:p>
              </w:tc>
              <w:tc>
                <w:tcPr>
                  <w:tcW w:w="1367" w:type="dxa"/>
                  <w:vAlign w:val="center"/>
                </w:tcPr>
                <w:p>
                  <w:pPr>
                    <w:kinsoku w:val="0"/>
                    <w:overflowPunct w:val="0"/>
                    <w:autoSpaceDE w:val="0"/>
                    <w:autoSpaceDN w:val="0"/>
                    <w:jc w:val="center"/>
                    <w:rPr>
                      <w:szCs w:val="21"/>
                    </w:rPr>
                  </w:pPr>
                  <w:r>
                    <w:rPr>
                      <w:szCs w:val="21"/>
                    </w:rPr>
                    <w:t>PM</w:t>
                  </w:r>
                  <w:r>
                    <w:rPr>
                      <w:szCs w:val="21"/>
                      <w:vertAlign w:val="subscript"/>
                    </w:rPr>
                    <w:t>2.5</w:t>
                  </w:r>
                </w:p>
              </w:tc>
              <w:tc>
                <w:tcPr>
                  <w:tcW w:w="1932" w:type="dxa"/>
                  <w:vAlign w:val="center"/>
                </w:tcPr>
                <w:p>
                  <w:pPr>
                    <w:kinsoku w:val="0"/>
                    <w:overflowPunct w:val="0"/>
                    <w:autoSpaceDE w:val="0"/>
                    <w:autoSpaceDN w:val="0"/>
                    <w:jc w:val="center"/>
                    <w:rPr>
                      <w:szCs w:val="21"/>
                    </w:rPr>
                  </w:pPr>
                  <w:r>
                    <w:rPr>
                      <w:szCs w:val="21"/>
                    </w:rPr>
                    <w:t>年平均</w:t>
                  </w:r>
                </w:p>
              </w:tc>
              <w:tc>
                <w:tcPr>
                  <w:tcW w:w="1932" w:type="dxa"/>
                  <w:vAlign w:val="center"/>
                </w:tcPr>
                <w:p>
                  <w:pPr>
                    <w:kinsoku w:val="0"/>
                    <w:overflowPunct w:val="0"/>
                    <w:autoSpaceDE w:val="0"/>
                    <w:autoSpaceDN w:val="0"/>
                    <w:jc w:val="center"/>
                    <w:rPr>
                      <w:szCs w:val="21"/>
                    </w:rPr>
                  </w:pPr>
                  <w:r>
                    <w:rPr>
                      <w:szCs w:val="21"/>
                    </w:rPr>
                    <w:t>35</w:t>
                  </w:r>
                </w:p>
              </w:tc>
              <w:tc>
                <w:tcPr>
                  <w:tcW w:w="1687" w:type="dxa"/>
                  <w:vMerge w:val="continue"/>
                  <w:vAlign w:val="center"/>
                </w:tcPr>
                <w:p>
                  <w:pPr>
                    <w:kinsoku w:val="0"/>
                    <w:overflowPunct w:val="0"/>
                    <w:autoSpaceDE w:val="0"/>
                    <w:autoSpaceDN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1519" w:type="dxa"/>
                  <w:vMerge w:val="continue"/>
                  <w:vAlign w:val="center"/>
                </w:tcPr>
                <w:p>
                  <w:pPr>
                    <w:kinsoku w:val="0"/>
                    <w:overflowPunct w:val="0"/>
                    <w:autoSpaceDE w:val="0"/>
                    <w:autoSpaceDN w:val="0"/>
                    <w:jc w:val="center"/>
                    <w:rPr>
                      <w:szCs w:val="21"/>
                    </w:rPr>
                  </w:pPr>
                </w:p>
              </w:tc>
              <w:tc>
                <w:tcPr>
                  <w:tcW w:w="1367" w:type="dxa"/>
                  <w:vAlign w:val="center"/>
                </w:tcPr>
                <w:p>
                  <w:pPr>
                    <w:kinsoku w:val="0"/>
                    <w:overflowPunct w:val="0"/>
                    <w:autoSpaceDE w:val="0"/>
                    <w:autoSpaceDN w:val="0"/>
                    <w:jc w:val="center"/>
                    <w:rPr>
                      <w:szCs w:val="21"/>
                    </w:rPr>
                  </w:pPr>
                  <w:r>
                    <w:rPr>
                      <w:rFonts w:hint="eastAsia"/>
                      <w:szCs w:val="21"/>
                    </w:rPr>
                    <w:t>氟化物</w:t>
                  </w:r>
                </w:p>
              </w:tc>
              <w:tc>
                <w:tcPr>
                  <w:tcW w:w="1932" w:type="dxa"/>
                  <w:vAlign w:val="center"/>
                </w:tcPr>
                <w:p>
                  <w:pPr>
                    <w:kinsoku w:val="0"/>
                    <w:overflowPunct w:val="0"/>
                    <w:autoSpaceDE w:val="0"/>
                    <w:autoSpaceDN w:val="0"/>
                    <w:jc w:val="center"/>
                    <w:rPr>
                      <w:szCs w:val="21"/>
                    </w:rPr>
                  </w:pPr>
                  <w:r>
                    <w:rPr>
                      <w:rFonts w:hint="eastAsia"/>
                      <w:szCs w:val="21"/>
                    </w:rPr>
                    <w:t>1小时浓度</w:t>
                  </w:r>
                </w:p>
              </w:tc>
              <w:tc>
                <w:tcPr>
                  <w:tcW w:w="1932" w:type="dxa"/>
                  <w:vAlign w:val="center"/>
                </w:tcPr>
                <w:p>
                  <w:pPr>
                    <w:kinsoku w:val="0"/>
                    <w:overflowPunct w:val="0"/>
                    <w:autoSpaceDE w:val="0"/>
                    <w:autoSpaceDN w:val="0"/>
                    <w:jc w:val="center"/>
                    <w:rPr>
                      <w:szCs w:val="21"/>
                    </w:rPr>
                  </w:pPr>
                  <w:r>
                    <w:rPr>
                      <w:rFonts w:hint="eastAsia"/>
                      <w:szCs w:val="21"/>
                    </w:rPr>
                    <w:t>20</w:t>
                  </w:r>
                </w:p>
              </w:tc>
              <w:tc>
                <w:tcPr>
                  <w:tcW w:w="1687" w:type="dxa"/>
                  <w:vAlign w:val="center"/>
                </w:tcPr>
                <w:p>
                  <w:pPr>
                    <w:kinsoku w:val="0"/>
                    <w:overflowPunct w:val="0"/>
                    <w:autoSpaceDE w:val="0"/>
                    <w:autoSpaceDN w:val="0"/>
                    <w:jc w:val="center"/>
                    <w:rPr>
                      <w:szCs w:val="21"/>
                    </w:rPr>
                  </w:pPr>
                  <w:r>
                    <w:rPr>
                      <w:szCs w:val="21"/>
                    </w:rPr>
                    <w:t>μg/m</w:t>
                  </w:r>
                  <w:r>
                    <w:rPr>
                      <w:szCs w:val="21"/>
                      <w:vertAlign w:val="superscript"/>
                    </w:rPr>
                    <w:t>3</w:t>
                  </w:r>
                </w:p>
              </w:tc>
            </w:tr>
          </w:tbl>
          <w:p>
            <w:pPr>
              <w:spacing w:line="360" w:lineRule="auto"/>
              <w:ind w:firstLine="480" w:firstLineChars="200"/>
              <w:rPr>
                <w:sz w:val="24"/>
                <w:szCs w:val="24"/>
              </w:rPr>
            </w:pPr>
            <w:r>
              <w:rPr>
                <w:sz w:val="24"/>
                <w:szCs w:val="24"/>
              </w:rPr>
              <w:t>2、噪声质量执行《声环境质量标准》（GB3096-20008）中2类标准。</w:t>
            </w:r>
          </w:p>
          <w:p>
            <w:pPr>
              <w:widowControl/>
              <w:adjustRightInd w:val="0"/>
              <w:spacing w:before="62" w:beforeLines="20"/>
              <w:jc w:val="center"/>
              <w:rPr>
                <w:b/>
                <w:szCs w:val="21"/>
              </w:rPr>
            </w:pPr>
            <w:r>
              <w:rPr>
                <w:b/>
                <w:szCs w:val="21"/>
              </w:rPr>
              <w:t>表</w:t>
            </w:r>
            <w:r>
              <w:rPr>
                <w:rFonts w:hint="eastAsia"/>
                <w:b/>
                <w:szCs w:val="21"/>
              </w:rPr>
              <w:t>21</w:t>
            </w:r>
            <w:r>
              <w:rPr>
                <w:b/>
                <w:szCs w:val="21"/>
              </w:rPr>
              <w:t xml:space="preserve">  声环境质量标准（单位：LAeq（dB（A）</w:t>
            </w:r>
          </w:p>
          <w:tbl>
            <w:tblPr>
              <w:tblStyle w:val="24"/>
              <w:tblW w:w="8333"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383"/>
              <w:gridCol w:w="1029"/>
              <w:gridCol w:w="1230"/>
              <w:gridCol w:w="1389"/>
              <w:gridCol w:w="130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09" w:hRule="atLeast"/>
                <w:jc w:val="center"/>
              </w:trPr>
              <w:tc>
                <w:tcPr>
                  <w:tcW w:w="3383" w:type="dxa"/>
                  <w:vMerge w:val="restart"/>
                  <w:vAlign w:val="center"/>
                </w:tcPr>
                <w:p>
                  <w:pPr>
                    <w:jc w:val="center"/>
                    <w:rPr>
                      <w:szCs w:val="21"/>
                    </w:rPr>
                  </w:pPr>
                  <w:r>
                    <w:rPr>
                      <w:szCs w:val="21"/>
                    </w:rPr>
                    <w:t>执行标准</w:t>
                  </w:r>
                </w:p>
              </w:tc>
              <w:tc>
                <w:tcPr>
                  <w:tcW w:w="1029" w:type="dxa"/>
                  <w:vMerge w:val="restart"/>
                  <w:vAlign w:val="center"/>
                </w:tcPr>
                <w:p>
                  <w:pPr>
                    <w:jc w:val="center"/>
                    <w:rPr>
                      <w:szCs w:val="21"/>
                    </w:rPr>
                  </w:pPr>
                  <w:r>
                    <w:rPr>
                      <w:szCs w:val="21"/>
                    </w:rPr>
                    <w:t>类别</w:t>
                  </w:r>
                </w:p>
              </w:tc>
              <w:tc>
                <w:tcPr>
                  <w:tcW w:w="1230" w:type="dxa"/>
                  <w:vMerge w:val="restart"/>
                  <w:vAlign w:val="center"/>
                </w:tcPr>
                <w:p>
                  <w:pPr>
                    <w:jc w:val="center"/>
                    <w:rPr>
                      <w:szCs w:val="21"/>
                    </w:rPr>
                  </w:pPr>
                  <w:r>
                    <w:rPr>
                      <w:szCs w:val="21"/>
                    </w:rPr>
                    <w:t>单位</w:t>
                  </w:r>
                </w:p>
              </w:tc>
              <w:tc>
                <w:tcPr>
                  <w:tcW w:w="2691" w:type="dxa"/>
                  <w:gridSpan w:val="2"/>
                  <w:vAlign w:val="center"/>
                </w:tcPr>
                <w:p>
                  <w:pPr>
                    <w:jc w:val="center"/>
                    <w:rPr>
                      <w:szCs w:val="21"/>
                    </w:rPr>
                  </w:pPr>
                  <w:r>
                    <w:rPr>
                      <w:szCs w:val="21"/>
                    </w:rPr>
                    <w:t>标准限值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4" w:hRule="atLeast"/>
                <w:jc w:val="center"/>
              </w:trPr>
              <w:tc>
                <w:tcPr>
                  <w:tcW w:w="3383" w:type="dxa"/>
                  <w:vMerge w:val="continue"/>
                  <w:vAlign w:val="center"/>
                </w:tcPr>
                <w:p>
                  <w:pPr>
                    <w:widowControl/>
                    <w:jc w:val="left"/>
                    <w:rPr>
                      <w:szCs w:val="21"/>
                    </w:rPr>
                  </w:pPr>
                </w:p>
              </w:tc>
              <w:tc>
                <w:tcPr>
                  <w:tcW w:w="1029" w:type="dxa"/>
                  <w:vMerge w:val="continue"/>
                  <w:vAlign w:val="center"/>
                </w:tcPr>
                <w:p>
                  <w:pPr>
                    <w:widowControl/>
                    <w:jc w:val="left"/>
                    <w:rPr>
                      <w:szCs w:val="21"/>
                    </w:rPr>
                  </w:pPr>
                </w:p>
              </w:tc>
              <w:tc>
                <w:tcPr>
                  <w:tcW w:w="1230" w:type="dxa"/>
                  <w:vMerge w:val="continue"/>
                  <w:vAlign w:val="center"/>
                </w:tcPr>
                <w:p>
                  <w:pPr>
                    <w:widowControl/>
                    <w:jc w:val="left"/>
                    <w:rPr>
                      <w:szCs w:val="21"/>
                    </w:rPr>
                  </w:pPr>
                </w:p>
              </w:tc>
              <w:tc>
                <w:tcPr>
                  <w:tcW w:w="1389" w:type="dxa"/>
                  <w:vAlign w:val="center"/>
                </w:tcPr>
                <w:p>
                  <w:pPr>
                    <w:jc w:val="center"/>
                    <w:rPr>
                      <w:szCs w:val="21"/>
                    </w:rPr>
                  </w:pPr>
                  <w:r>
                    <w:rPr>
                      <w:szCs w:val="21"/>
                    </w:rPr>
                    <w:t>昼间</w:t>
                  </w:r>
                </w:p>
              </w:tc>
              <w:tc>
                <w:tcPr>
                  <w:tcW w:w="1302" w:type="dxa"/>
                  <w:vAlign w:val="center"/>
                </w:tcPr>
                <w:p>
                  <w:pPr>
                    <w:jc w:val="center"/>
                    <w:rPr>
                      <w:szCs w:val="21"/>
                    </w:rPr>
                  </w:pPr>
                  <w:r>
                    <w:rPr>
                      <w:szCs w:val="21"/>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5" w:hRule="atLeast"/>
                <w:jc w:val="center"/>
              </w:trPr>
              <w:tc>
                <w:tcPr>
                  <w:tcW w:w="3383" w:type="dxa"/>
                  <w:vAlign w:val="center"/>
                </w:tcPr>
                <w:p>
                  <w:pPr>
                    <w:jc w:val="center"/>
                    <w:rPr>
                      <w:szCs w:val="21"/>
                    </w:rPr>
                  </w:pPr>
                  <w:r>
                    <w:rPr>
                      <w:szCs w:val="21"/>
                    </w:rPr>
                    <w:t>《声环境质量标准》（GB3096-2008）</w:t>
                  </w:r>
                </w:p>
              </w:tc>
              <w:tc>
                <w:tcPr>
                  <w:tcW w:w="1029" w:type="dxa"/>
                  <w:vAlign w:val="center"/>
                </w:tcPr>
                <w:p>
                  <w:pPr>
                    <w:jc w:val="center"/>
                    <w:rPr>
                      <w:szCs w:val="21"/>
                    </w:rPr>
                  </w:pPr>
                  <w:r>
                    <w:rPr>
                      <w:szCs w:val="21"/>
                    </w:rPr>
                    <w:t>2类</w:t>
                  </w:r>
                </w:p>
              </w:tc>
              <w:tc>
                <w:tcPr>
                  <w:tcW w:w="1230" w:type="dxa"/>
                  <w:vAlign w:val="center"/>
                </w:tcPr>
                <w:p>
                  <w:pPr>
                    <w:jc w:val="center"/>
                    <w:rPr>
                      <w:szCs w:val="21"/>
                    </w:rPr>
                  </w:pPr>
                  <w:r>
                    <w:rPr>
                      <w:szCs w:val="21"/>
                    </w:rPr>
                    <w:t>dB（A）</w:t>
                  </w:r>
                </w:p>
              </w:tc>
              <w:tc>
                <w:tcPr>
                  <w:tcW w:w="1389" w:type="dxa"/>
                  <w:vAlign w:val="center"/>
                </w:tcPr>
                <w:p>
                  <w:pPr>
                    <w:jc w:val="center"/>
                    <w:rPr>
                      <w:szCs w:val="21"/>
                    </w:rPr>
                  </w:pPr>
                  <w:r>
                    <w:rPr>
                      <w:szCs w:val="21"/>
                    </w:rPr>
                    <w:t>60</w:t>
                  </w:r>
                </w:p>
              </w:tc>
              <w:tc>
                <w:tcPr>
                  <w:tcW w:w="1302" w:type="dxa"/>
                  <w:vAlign w:val="center"/>
                </w:tcPr>
                <w:p>
                  <w:pPr>
                    <w:jc w:val="center"/>
                    <w:rPr>
                      <w:szCs w:val="21"/>
                    </w:rPr>
                  </w:pPr>
                  <w:r>
                    <w:rPr>
                      <w:szCs w:val="21"/>
                    </w:rPr>
                    <w:t>50</w:t>
                  </w:r>
                </w:p>
              </w:tc>
            </w:tr>
          </w:tbl>
          <w:p>
            <w:pPr>
              <w:pStyle w:val="56"/>
              <w:adjustRightInd w:val="0"/>
              <w:snapToGrid w:val="0"/>
              <w:spacing w:line="360" w:lineRule="auto"/>
              <w:ind w:left="360" w:firstLine="0" w:firstLineChars="0"/>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6" w:hRule="atLeast"/>
          <w:jc w:val="center"/>
        </w:trPr>
        <w:tc>
          <w:tcPr>
            <w:tcW w:w="496" w:type="dxa"/>
            <w:vAlign w:val="center"/>
          </w:tcPr>
          <w:p>
            <w:pPr>
              <w:spacing w:line="360" w:lineRule="auto"/>
              <w:jc w:val="center"/>
              <w:rPr>
                <w:b/>
                <w:sz w:val="24"/>
              </w:rPr>
            </w:pPr>
            <w:r>
              <w:rPr>
                <w:b/>
                <w:sz w:val="24"/>
              </w:rPr>
              <w:t>污</w:t>
            </w:r>
          </w:p>
          <w:p>
            <w:pPr>
              <w:spacing w:line="360" w:lineRule="auto"/>
              <w:jc w:val="center"/>
              <w:rPr>
                <w:b/>
                <w:sz w:val="24"/>
              </w:rPr>
            </w:pPr>
            <w:r>
              <w:rPr>
                <w:b/>
                <w:sz w:val="24"/>
              </w:rPr>
              <w:t>染</w:t>
            </w:r>
          </w:p>
          <w:p>
            <w:pPr>
              <w:spacing w:line="360" w:lineRule="auto"/>
              <w:jc w:val="center"/>
              <w:rPr>
                <w:b/>
                <w:sz w:val="24"/>
              </w:rPr>
            </w:pPr>
            <w:r>
              <w:rPr>
                <w:b/>
                <w:sz w:val="24"/>
              </w:rPr>
              <w:t>物</w:t>
            </w:r>
          </w:p>
          <w:p>
            <w:pPr>
              <w:spacing w:line="360" w:lineRule="auto"/>
              <w:jc w:val="center"/>
              <w:rPr>
                <w:b/>
                <w:sz w:val="24"/>
              </w:rPr>
            </w:pPr>
            <w:r>
              <w:rPr>
                <w:b/>
                <w:sz w:val="24"/>
              </w:rPr>
              <w:t>排</w:t>
            </w:r>
          </w:p>
          <w:p>
            <w:pPr>
              <w:spacing w:line="360" w:lineRule="auto"/>
              <w:jc w:val="center"/>
              <w:rPr>
                <w:b/>
                <w:sz w:val="24"/>
              </w:rPr>
            </w:pPr>
            <w:r>
              <w:rPr>
                <w:b/>
                <w:sz w:val="24"/>
              </w:rPr>
              <w:t>放</w:t>
            </w:r>
          </w:p>
          <w:p>
            <w:pPr>
              <w:spacing w:line="360" w:lineRule="auto"/>
              <w:jc w:val="center"/>
              <w:rPr>
                <w:b/>
                <w:sz w:val="24"/>
              </w:rPr>
            </w:pPr>
            <w:r>
              <w:rPr>
                <w:b/>
                <w:sz w:val="24"/>
              </w:rPr>
              <w:t>标</w:t>
            </w:r>
          </w:p>
          <w:p>
            <w:pPr>
              <w:spacing w:line="360" w:lineRule="auto"/>
              <w:jc w:val="center"/>
              <w:rPr>
                <w:b/>
                <w:sz w:val="24"/>
              </w:rPr>
            </w:pPr>
            <w:r>
              <w:rPr>
                <w:b/>
                <w:sz w:val="24"/>
              </w:rPr>
              <w:t>准</w:t>
            </w:r>
          </w:p>
        </w:tc>
        <w:tc>
          <w:tcPr>
            <w:tcW w:w="8791" w:type="dxa"/>
            <w:gridSpan w:val="2"/>
          </w:tcPr>
          <w:p>
            <w:pPr>
              <w:spacing w:line="360" w:lineRule="auto"/>
              <w:ind w:firstLine="480" w:firstLineChars="200"/>
              <w:rPr>
                <w:sz w:val="24"/>
                <w:szCs w:val="24"/>
              </w:rPr>
            </w:pPr>
            <w:r>
              <w:rPr>
                <w:sz w:val="24"/>
                <w:szCs w:val="24"/>
              </w:rPr>
              <w:t>1、废气：</w:t>
            </w:r>
            <w:r>
              <w:rPr>
                <w:rFonts w:hint="eastAsia"/>
                <w:sz w:val="24"/>
              </w:rPr>
              <w:t>施工期扬尘执行《施工厂界扬尘排放限值》（DB61/1078-2017）中厂界小时平均浓度限值；</w:t>
            </w:r>
          </w:p>
          <w:p>
            <w:pPr>
              <w:widowControl/>
              <w:adjustRightInd w:val="0"/>
              <w:spacing w:before="62" w:beforeLines="20"/>
              <w:jc w:val="center"/>
              <w:rPr>
                <w:b/>
                <w:szCs w:val="21"/>
              </w:rPr>
            </w:pPr>
            <w:bookmarkStart w:id="3" w:name="_Toc254605309"/>
            <w:r>
              <w:rPr>
                <w:b/>
                <w:szCs w:val="21"/>
              </w:rPr>
              <w:t>表</w:t>
            </w:r>
            <w:bookmarkEnd w:id="3"/>
            <w:r>
              <w:rPr>
                <w:rFonts w:hint="eastAsia"/>
                <w:b/>
                <w:szCs w:val="21"/>
              </w:rPr>
              <w:t>22</w:t>
            </w:r>
            <w:r>
              <w:rPr>
                <w:b/>
                <w:szCs w:val="21"/>
              </w:rPr>
              <w:t xml:space="preserve"> </w:t>
            </w:r>
            <w:r>
              <w:rPr>
                <w:rFonts w:hint="eastAsia"/>
                <w:b/>
                <w:szCs w:val="21"/>
              </w:rPr>
              <w:t>施工扬尘</w:t>
            </w:r>
            <w:r>
              <w:rPr>
                <w:b/>
                <w:szCs w:val="21"/>
              </w:rPr>
              <w:t>排放标准</w:t>
            </w:r>
          </w:p>
          <w:tbl>
            <w:tblPr>
              <w:tblStyle w:val="24"/>
              <w:tblW w:w="839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53"/>
              <w:gridCol w:w="1277"/>
              <w:gridCol w:w="1630"/>
              <w:gridCol w:w="1543"/>
              <w:gridCol w:w="10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853" w:type="dxa"/>
                  <w:vMerge w:val="restart"/>
                  <w:tcMar>
                    <w:left w:w="0" w:type="dxa"/>
                    <w:right w:w="0" w:type="dxa"/>
                  </w:tcMar>
                  <w:vAlign w:val="center"/>
                </w:tcPr>
                <w:p>
                  <w:pPr>
                    <w:jc w:val="center"/>
                    <w:rPr>
                      <w:szCs w:val="21"/>
                    </w:rPr>
                  </w:pPr>
                  <w:r>
                    <w:rPr>
                      <w:szCs w:val="21"/>
                    </w:rPr>
                    <w:t>标准名称</w:t>
                  </w:r>
                </w:p>
              </w:tc>
              <w:tc>
                <w:tcPr>
                  <w:tcW w:w="2907" w:type="dxa"/>
                  <w:gridSpan w:val="2"/>
                  <w:vMerge w:val="restart"/>
                  <w:tcMar>
                    <w:left w:w="0" w:type="dxa"/>
                    <w:right w:w="0" w:type="dxa"/>
                  </w:tcMar>
                  <w:vAlign w:val="center"/>
                </w:tcPr>
                <w:p>
                  <w:pPr>
                    <w:jc w:val="center"/>
                    <w:rPr>
                      <w:szCs w:val="21"/>
                    </w:rPr>
                  </w:pPr>
                  <w:r>
                    <w:rPr>
                      <w:szCs w:val="21"/>
                    </w:rPr>
                    <w:t>项目</w:t>
                  </w:r>
                </w:p>
              </w:tc>
              <w:tc>
                <w:tcPr>
                  <w:tcW w:w="2637" w:type="dxa"/>
                  <w:gridSpan w:val="2"/>
                  <w:tcMar>
                    <w:left w:w="0" w:type="dxa"/>
                    <w:right w:w="0" w:type="dxa"/>
                  </w:tcMar>
                  <w:vAlign w:val="center"/>
                </w:tcPr>
                <w:p>
                  <w:pPr>
                    <w:jc w:val="center"/>
                    <w:rPr>
                      <w:szCs w:val="21"/>
                    </w:rPr>
                  </w:pPr>
                  <w:r>
                    <w:rPr>
                      <w:szCs w:val="21"/>
                    </w:rP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853" w:type="dxa"/>
                  <w:vMerge w:val="continue"/>
                  <w:tcMar>
                    <w:left w:w="0" w:type="dxa"/>
                    <w:right w:w="0" w:type="dxa"/>
                  </w:tcMar>
                  <w:vAlign w:val="center"/>
                </w:tcPr>
                <w:p>
                  <w:pPr>
                    <w:jc w:val="center"/>
                    <w:rPr>
                      <w:szCs w:val="21"/>
                    </w:rPr>
                  </w:pPr>
                </w:p>
              </w:tc>
              <w:tc>
                <w:tcPr>
                  <w:tcW w:w="2907" w:type="dxa"/>
                  <w:gridSpan w:val="2"/>
                  <w:vMerge w:val="continue"/>
                  <w:tcMar>
                    <w:left w:w="0" w:type="dxa"/>
                    <w:right w:w="0" w:type="dxa"/>
                  </w:tcMar>
                  <w:vAlign w:val="center"/>
                </w:tcPr>
                <w:p>
                  <w:pPr>
                    <w:jc w:val="center"/>
                    <w:rPr>
                      <w:szCs w:val="21"/>
                    </w:rPr>
                  </w:pPr>
                </w:p>
              </w:tc>
              <w:tc>
                <w:tcPr>
                  <w:tcW w:w="1543" w:type="dxa"/>
                  <w:tcMar>
                    <w:left w:w="0" w:type="dxa"/>
                    <w:right w:w="0" w:type="dxa"/>
                  </w:tcMar>
                  <w:vAlign w:val="center"/>
                </w:tcPr>
                <w:p>
                  <w:pPr>
                    <w:jc w:val="center"/>
                    <w:rPr>
                      <w:szCs w:val="21"/>
                    </w:rPr>
                  </w:pPr>
                  <w:r>
                    <w:rPr>
                      <w:szCs w:val="21"/>
                    </w:rPr>
                    <w:t>单位</w:t>
                  </w:r>
                </w:p>
              </w:tc>
              <w:tc>
                <w:tcPr>
                  <w:tcW w:w="1095" w:type="dxa"/>
                  <w:tcMar>
                    <w:left w:w="0" w:type="dxa"/>
                    <w:right w:w="0" w:type="dxa"/>
                  </w:tcMar>
                  <w:vAlign w:val="center"/>
                </w:tcPr>
                <w:p>
                  <w:pPr>
                    <w:jc w:val="center"/>
                    <w:rPr>
                      <w:szCs w:val="21"/>
                    </w:rPr>
                  </w:pPr>
                  <w:r>
                    <w:rPr>
                      <w:szCs w:val="21"/>
                    </w:rPr>
                    <w:t>数值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853" w:type="dxa"/>
                  <w:vMerge w:val="restart"/>
                  <w:tcMar>
                    <w:left w:w="0" w:type="dxa"/>
                    <w:right w:w="0" w:type="dxa"/>
                  </w:tcMar>
                  <w:vAlign w:val="center"/>
                </w:tcPr>
                <w:p>
                  <w:pPr>
                    <w:rPr>
                      <w:szCs w:val="21"/>
                    </w:rPr>
                  </w:pPr>
                  <w:r>
                    <w:rPr>
                      <w:szCs w:val="21"/>
                    </w:rPr>
                    <w:t>《施工场界扬尘排放限值》（DB61/1078-2017）</w:t>
                  </w:r>
                </w:p>
              </w:tc>
              <w:tc>
                <w:tcPr>
                  <w:tcW w:w="1277" w:type="dxa"/>
                  <w:tcMar>
                    <w:left w:w="0" w:type="dxa"/>
                    <w:right w:w="0" w:type="dxa"/>
                  </w:tcMar>
                  <w:vAlign w:val="center"/>
                </w:tcPr>
                <w:p>
                  <w:pPr>
                    <w:jc w:val="center"/>
                    <w:rPr>
                      <w:szCs w:val="21"/>
                    </w:rPr>
                  </w:pPr>
                  <w:r>
                    <w:rPr>
                      <w:szCs w:val="21"/>
                    </w:rPr>
                    <w:t>TSP</w:t>
                  </w:r>
                </w:p>
              </w:tc>
              <w:tc>
                <w:tcPr>
                  <w:tcW w:w="1630" w:type="dxa"/>
                  <w:vAlign w:val="center"/>
                </w:tcPr>
                <w:p>
                  <w:pPr>
                    <w:jc w:val="center"/>
                    <w:rPr>
                      <w:szCs w:val="21"/>
                    </w:rPr>
                  </w:pPr>
                  <w:r>
                    <w:rPr>
                      <w:szCs w:val="21"/>
                    </w:rPr>
                    <w:t>土方工程</w:t>
                  </w:r>
                </w:p>
              </w:tc>
              <w:tc>
                <w:tcPr>
                  <w:tcW w:w="1543" w:type="dxa"/>
                  <w:tcMar>
                    <w:left w:w="0" w:type="dxa"/>
                    <w:right w:w="0" w:type="dxa"/>
                  </w:tcMar>
                  <w:vAlign w:val="center"/>
                </w:tcPr>
                <w:p>
                  <w:pPr>
                    <w:jc w:val="center"/>
                    <w:rPr>
                      <w:szCs w:val="21"/>
                    </w:rPr>
                  </w:pPr>
                  <w:r>
                    <w:rPr>
                      <w:szCs w:val="21"/>
                    </w:rPr>
                    <w:t>mg/m</w:t>
                  </w:r>
                  <w:r>
                    <w:rPr>
                      <w:szCs w:val="21"/>
                      <w:vertAlign w:val="superscript"/>
                    </w:rPr>
                    <w:t>3</w:t>
                  </w:r>
                </w:p>
              </w:tc>
              <w:tc>
                <w:tcPr>
                  <w:tcW w:w="1095" w:type="dxa"/>
                  <w:tcMar>
                    <w:left w:w="0" w:type="dxa"/>
                    <w:right w:w="0" w:type="dxa"/>
                  </w:tcMar>
                  <w:vAlign w:val="center"/>
                </w:tcPr>
                <w:p>
                  <w:pPr>
                    <w:jc w:val="center"/>
                    <w:rPr>
                      <w:szCs w:val="21"/>
                    </w:rPr>
                  </w:pPr>
                  <w:r>
                    <w:rPr>
                      <w:szCs w:val="21"/>
                    </w:rPr>
                    <w:t>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853" w:type="dxa"/>
                  <w:vMerge w:val="continue"/>
                  <w:tcMar>
                    <w:left w:w="0" w:type="dxa"/>
                    <w:right w:w="0" w:type="dxa"/>
                  </w:tcMar>
                  <w:vAlign w:val="center"/>
                </w:tcPr>
                <w:p>
                  <w:pPr>
                    <w:rPr>
                      <w:szCs w:val="21"/>
                    </w:rPr>
                  </w:pPr>
                </w:p>
              </w:tc>
              <w:tc>
                <w:tcPr>
                  <w:tcW w:w="1277" w:type="dxa"/>
                  <w:tcMar>
                    <w:left w:w="0" w:type="dxa"/>
                    <w:right w:w="0" w:type="dxa"/>
                  </w:tcMar>
                  <w:vAlign w:val="center"/>
                </w:tcPr>
                <w:p>
                  <w:pPr>
                    <w:jc w:val="center"/>
                    <w:rPr>
                      <w:szCs w:val="21"/>
                    </w:rPr>
                  </w:pPr>
                  <w:r>
                    <w:rPr>
                      <w:szCs w:val="21"/>
                    </w:rPr>
                    <w:t>TSP</w:t>
                  </w:r>
                </w:p>
              </w:tc>
              <w:tc>
                <w:tcPr>
                  <w:tcW w:w="1630" w:type="dxa"/>
                  <w:vAlign w:val="center"/>
                </w:tcPr>
                <w:p>
                  <w:pPr>
                    <w:jc w:val="center"/>
                    <w:rPr>
                      <w:szCs w:val="21"/>
                    </w:rPr>
                  </w:pPr>
                  <w:r>
                    <w:rPr>
                      <w:szCs w:val="21"/>
                    </w:rPr>
                    <w:t>主体及装饰</w:t>
                  </w:r>
                </w:p>
              </w:tc>
              <w:tc>
                <w:tcPr>
                  <w:tcW w:w="1543" w:type="dxa"/>
                  <w:tcMar>
                    <w:left w:w="0" w:type="dxa"/>
                    <w:right w:w="0" w:type="dxa"/>
                  </w:tcMar>
                  <w:vAlign w:val="center"/>
                </w:tcPr>
                <w:p>
                  <w:pPr>
                    <w:jc w:val="center"/>
                    <w:rPr>
                      <w:szCs w:val="21"/>
                    </w:rPr>
                  </w:pPr>
                  <w:r>
                    <w:rPr>
                      <w:szCs w:val="21"/>
                    </w:rPr>
                    <w:t>mg/m</w:t>
                  </w:r>
                  <w:r>
                    <w:rPr>
                      <w:szCs w:val="21"/>
                      <w:vertAlign w:val="superscript"/>
                    </w:rPr>
                    <w:t>3</w:t>
                  </w:r>
                </w:p>
              </w:tc>
              <w:tc>
                <w:tcPr>
                  <w:tcW w:w="1095" w:type="dxa"/>
                  <w:tcMar>
                    <w:left w:w="0" w:type="dxa"/>
                    <w:right w:w="0" w:type="dxa"/>
                  </w:tcMar>
                  <w:vAlign w:val="center"/>
                </w:tcPr>
                <w:p>
                  <w:pPr>
                    <w:jc w:val="center"/>
                    <w:rPr>
                      <w:szCs w:val="21"/>
                    </w:rPr>
                  </w:pPr>
                  <w:r>
                    <w:rPr>
                      <w:szCs w:val="21"/>
                    </w:rPr>
                    <w:t>0.7</w:t>
                  </w:r>
                </w:p>
              </w:tc>
            </w:tr>
          </w:tbl>
          <w:p>
            <w:pPr>
              <w:spacing w:line="360" w:lineRule="auto"/>
              <w:ind w:firstLine="480" w:firstLineChars="200"/>
              <w:rPr>
                <w:color w:val="0070C0"/>
                <w:sz w:val="24"/>
                <w:szCs w:val="24"/>
              </w:rPr>
            </w:pPr>
            <w:r>
              <w:rPr>
                <w:rFonts w:hint="eastAsia" w:hAnsi="宋体"/>
                <w:bCs/>
                <w:color w:val="0070C0"/>
                <w:sz w:val="24"/>
              </w:rPr>
              <w:t>营运期有组织</w:t>
            </w:r>
            <w:r>
              <w:rPr>
                <w:rFonts w:hAnsi="宋体"/>
                <w:bCs/>
                <w:color w:val="0070C0"/>
                <w:sz w:val="24"/>
              </w:rPr>
              <w:t>废气排放执行</w:t>
            </w:r>
            <w:r>
              <w:rPr>
                <w:rFonts w:hint="eastAsia" w:hAnsi="宋体"/>
                <w:bCs/>
                <w:color w:val="0070C0"/>
                <w:sz w:val="24"/>
              </w:rPr>
              <w:t>《关中地区重点行业大气污染物排放标准》（GB61 1226-2018）中的表7砖瓦工业大气污染物排放浓度限值；无组织废气执行《大气污染物综合排放标准》（GB16297-1996）中颗粒物周界外浓度最高点要求</w:t>
            </w:r>
            <w:r>
              <w:rPr>
                <w:color w:val="0070C0"/>
                <w:sz w:val="24"/>
                <w:szCs w:val="24"/>
              </w:rPr>
              <w:t>；</w:t>
            </w:r>
          </w:p>
          <w:p>
            <w:pPr>
              <w:widowControl/>
              <w:adjustRightInd w:val="0"/>
              <w:spacing w:before="62" w:beforeLines="20"/>
              <w:jc w:val="center"/>
              <w:rPr>
                <w:b/>
                <w:color w:val="0070C0"/>
                <w:szCs w:val="21"/>
              </w:rPr>
            </w:pPr>
            <w:r>
              <w:rPr>
                <w:b/>
                <w:color w:val="0070C0"/>
                <w:szCs w:val="21"/>
              </w:rPr>
              <w:t>表</w:t>
            </w:r>
            <w:r>
              <w:rPr>
                <w:rFonts w:hint="eastAsia"/>
                <w:b/>
                <w:color w:val="0070C0"/>
                <w:szCs w:val="21"/>
              </w:rPr>
              <w:t>23</w:t>
            </w:r>
            <w:r>
              <w:rPr>
                <w:b/>
                <w:color w:val="0070C0"/>
                <w:szCs w:val="21"/>
              </w:rPr>
              <w:t xml:space="preserve">  </w:t>
            </w:r>
            <w:r>
              <w:rPr>
                <w:rFonts w:hint="eastAsia"/>
                <w:b/>
                <w:color w:val="0070C0"/>
                <w:szCs w:val="21"/>
              </w:rPr>
              <w:t>项目运营期</w:t>
            </w:r>
            <w:r>
              <w:rPr>
                <w:b/>
                <w:color w:val="0070C0"/>
                <w:szCs w:val="21"/>
              </w:rPr>
              <w:t>排放控制标准</w:t>
            </w:r>
          </w:p>
          <w:tbl>
            <w:tblPr>
              <w:tblStyle w:val="24"/>
              <w:tblW w:w="8398"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853"/>
              <w:gridCol w:w="2907"/>
              <w:gridCol w:w="1543"/>
              <w:gridCol w:w="109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853" w:type="dxa"/>
                  <w:vMerge w:val="restart"/>
                  <w:tcMar>
                    <w:left w:w="0" w:type="dxa"/>
                    <w:right w:w="0" w:type="dxa"/>
                  </w:tcMar>
                  <w:vAlign w:val="center"/>
                </w:tcPr>
                <w:p>
                  <w:pPr>
                    <w:jc w:val="center"/>
                    <w:rPr>
                      <w:color w:val="0070C0"/>
                      <w:szCs w:val="21"/>
                    </w:rPr>
                  </w:pPr>
                  <w:r>
                    <w:rPr>
                      <w:color w:val="0070C0"/>
                      <w:szCs w:val="21"/>
                    </w:rPr>
                    <w:t>标准名称及级(类)别</w:t>
                  </w:r>
                </w:p>
              </w:tc>
              <w:tc>
                <w:tcPr>
                  <w:tcW w:w="2907" w:type="dxa"/>
                  <w:vMerge w:val="restart"/>
                  <w:tcMar>
                    <w:left w:w="0" w:type="dxa"/>
                    <w:right w:w="0" w:type="dxa"/>
                  </w:tcMar>
                  <w:vAlign w:val="center"/>
                </w:tcPr>
                <w:p>
                  <w:pPr>
                    <w:jc w:val="center"/>
                    <w:rPr>
                      <w:color w:val="0070C0"/>
                      <w:szCs w:val="21"/>
                    </w:rPr>
                  </w:pPr>
                  <w:r>
                    <w:rPr>
                      <w:color w:val="0070C0"/>
                      <w:szCs w:val="21"/>
                    </w:rPr>
                    <w:t>项目</w:t>
                  </w:r>
                </w:p>
              </w:tc>
              <w:tc>
                <w:tcPr>
                  <w:tcW w:w="2638" w:type="dxa"/>
                  <w:gridSpan w:val="2"/>
                  <w:tcMar>
                    <w:left w:w="0" w:type="dxa"/>
                    <w:right w:w="0" w:type="dxa"/>
                  </w:tcMar>
                  <w:vAlign w:val="center"/>
                </w:tcPr>
                <w:p>
                  <w:pPr>
                    <w:jc w:val="center"/>
                    <w:rPr>
                      <w:color w:val="0070C0"/>
                      <w:szCs w:val="21"/>
                    </w:rPr>
                  </w:pPr>
                  <w:r>
                    <w:rPr>
                      <w:color w:val="0070C0"/>
                      <w:szCs w:val="21"/>
                    </w:rPr>
                    <w:t>标准值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2853" w:type="dxa"/>
                  <w:vMerge w:val="continue"/>
                  <w:tcMar>
                    <w:left w:w="0" w:type="dxa"/>
                    <w:right w:w="0" w:type="dxa"/>
                  </w:tcMar>
                  <w:vAlign w:val="center"/>
                </w:tcPr>
                <w:p>
                  <w:pPr>
                    <w:jc w:val="center"/>
                    <w:rPr>
                      <w:color w:val="0070C0"/>
                      <w:szCs w:val="21"/>
                    </w:rPr>
                  </w:pPr>
                </w:p>
              </w:tc>
              <w:tc>
                <w:tcPr>
                  <w:tcW w:w="2907" w:type="dxa"/>
                  <w:vMerge w:val="continue"/>
                  <w:tcMar>
                    <w:left w:w="0" w:type="dxa"/>
                    <w:right w:w="0" w:type="dxa"/>
                  </w:tcMar>
                  <w:vAlign w:val="center"/>
                </w:tcPr>
                <w:p>
                  <w:pPr>
                    <w:jc w:val="center"/>
                    <w:rPr>
                      <w:color w:val="0070C0"/>
                      <w:szCs w:val="21"/>
                    </w:rPr>
                  </w:pPr>
                </w:p>
              </w:tc>
              <w:tc>
                <w:tcPr>
                  <w:tcW w:w="1543" w:type="dxa"/>
                  <w:tcMar>
                    <w:left w:w="0" w:type="dxa"/>
                    <w:right w:w="0" w:type="dxa"/>
                  </w:tcMar>
                  <w:vAlign w:val="center"/>
                </w:tcPr>
                <w:p>
                  <w:pPr>
                    <w:jc w:val="center"/>
                    <w:rPr>
                      <w:color w:val="0070C0"/>
                      <w:szCs w:val="21"/>
                    </w:rPr>
                  </w:pPr>
                  <w:r>
                    <w:rPr>
                      <w:color w:val="0070C0"/>
                      <w:szCs w:val="21"/>
                    </w:rPr>
                    <w:t>单位</w:t>
                  </w:r>
                </w:p>
              </w:tc>
              <w:tc>
                <w:tcPr>
                  <w:tcW w:w="1095" w:type="dxa"/>
                  <w:tcMar>
                    <w:left w:w="0" w:type="dxa"/>
                    <w:right w:w="0" w:type="dxa"/>
                  </w:tcMar>
                  <w:vAlign w:val="center"/>
                </w:tcPr>
                <w:p>
                  <w:pPr>
                    <w:jc w:val="center"/>
                    <w:rPr>
                      <w:color w:val="0070C0"/>
                      <w:szCs w:val="21"/>
                    </w:rPr>
                  </w:pPr>
                  <w:r>
                    <w:rPr>
                      <w:color w:val="0070C0"/>
                      <w:szCs w:val="21"/>
                    </w:rPr>
                    <w:t>数值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2853" w:type="dxa"/>
                  <w:vMerge w:val="restart"/>
                  <w:tcMar>
                    <w:left w:w="0" w:type="dxa"/>
                    <w:right w:w="0" w:type="dxa"/>
                  </w:tcMar>
                  <w:vAlign w:val="center"/>
                </w:tcPr>
                <w:p>
                  <w:pPr>
                    <w:rPr>
                      <w:color w:val="0070C0"/>
                      <w:szCs w:val="21"/>
                    </w:rPr>
                  </w:pPr>
                  <w:r>
                    <w:rPr>
                      <w:rFonts w:hint="eastAsia"/>
                      <w:color w:val="0070C0"/>
                      <w:szCs w:val="21"/>
                    </w:rPr>
                    <w:t>《关中地区重点行业大气污染物排放标准》（GB61 1226-2018）中的表7砖瓦工业大气污染物排放浓度限值</w:t>
                  </w:r>
                </w:p>
              </w:tc>
              <w:tc>
                <w:tcPr>
                  <w:tcW w:w="2907" w:type="dxa"/>
                  <w:tcMar>
                    <w:left w:w="0" w:type="dxa"/>
                    <w:right w:w="0" w:type="dxa"/>
                  </w:tcMar>
                  <w:vAlign w:val="center"/>
                </w:tcPr>
                <w:p>
                  <w:pPr>
                    <w:jc w:val="center"/>
                    <w:rPr>
                      <w:color w:val="0070C0"/>
                      <w:szCs w:val="21"/>
                    </w:rPr>
                  </w:pPr>
                  <w:r>
                    <w:rPr>
                      <w:rFonts w:hint="eastAsia"/>
                      <w:color w:val="0070C0"/>
                      <w:szCs w:val="21"/>
                    </w:rPr>
                    <w:t>颗粒物（破碎及制备成型）</w:t>
                  </w:r>
                </w:p>
              </w:tc>
              <w:tc>
                <w:tcPr>
                  <w:tcW w:w="1543" w:type="dxa"/>
                  <w:tcMar>
                    <w:left w:w="0" w:type="dxa"/>
                    <w:right w:w="0" w:type="dxa"/>
                  </w:tcMar>
                  <w:vAlign w:val="center"/>
                </w:tcPr>
                <w:p>
                  <w:pPr>
                    <w:jc w:val="center"/>
                    <w:rPr>
                      <w:color w:val="0070C0"/>
                      <w:szCs w:val="21"/>
                    </w:rPr>
                  </w:pPr>
                  <w:r>
                    <w:rPr>
                      <w:color w:val="0070C0"/>
                      <w:szCs w:val="21"/>
                    </w:rPr>
                    <w:t>mg/m</w:t>
                  </w:r>
                  <w:r>
                    <w:rPr>
                      <w:color w:val="0070C0"/>
                      <w:szCs w:val="21"/>
                      <w:vertAlign w:val="superscript"/>
                    </w:rPr>
                    <w:t>3</w:t>
                  </w:r>
                </w:p>
              </w:tc>
              <w:tc>
                <w:tcPr>
                  <w:tcW w:w="1095" w:type="dxa"/>
                  <w:tcMar>
                    <w:left w:w="0" w:type="dxa"/>
                    <w:right w:w="0" w:type="dxa"/>
                  </w:tcMar>
                  <w:vAlign w:val="center"/>
                </w:tcPr>
                <w:p>
                  <w:pPr>
                    <w:jc w:val="center"/>
                    <w:rPr>
                      <w:color w:val="0070C0"/>
                      <w:szCs w:val="21"/>
                    </w:rPr>
                  </w:pPr>
                  <w:r>
                    <w:rPr>
                      <w:rFonts w:hint="eastAsia"/>
                      <w:color w:val="0070C0"/>
                      <w:szCs w:val="21"/>
                    </w:rPr>
                    <w:t>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2853" w:type="dxa"/>
                  <w:vMerge w:val="continue"/>
                  <w:tcMar>
                    <w:left w:w="0" w:type="dxa"/>
                    <w:right w:w="0" w:type="dxa"/>
                  </w:tcMar>
                  <w:vAlign w:val="center"/>
                </w:tcPr>
                <w:p>
                  <w:pPr>
                    <w:rPr>
                      <w:color w:val="0070C0"/>
                      <w:szCs w:val="21"/>
                    </w:rPr>
                  </w:pPr>
                </w:p>
              </w:tc>
              <w:tc>
                <w:tcPr>
                  <w:tcW w:w="2907" w:type="dxa"/>
                  <w:tcMar>
                    <w:left w:w="0" w:type="dxa"/>
                    <w:right w:w="0" w:type="dxa"/>
                  </w:tcMar>
                  <w:vAlign w:val="center"/>
                </w:tcPr>
                <w:p>
                  <w:pPr>
                    <w:jc w:val="center"/>
                    <w:rPr>
                      <w:color w:val="0070C0"/>
                      <w:szCs w:val="21"/>
                    </w:rPr>
                  </w:pPr>
                  <w:r>
                    <w:rPr>
                      <w:rFonts w:hint="eastAsia"/>
                      <w:color w:val="0070C0"/>
                      <w:szCs w:val="21"/>
                    </w:rPr>
                    <w:t>颗粒物(干燥及焙烧)</w:t>
                  </w:r>
                </w:p>
              </w:tc>
              <w:tc>
                <w:tcPr>
                  <w:tcW w:w="1543" w:type="dxa"/>
                  <w:tcMar>
                    <w:left w:w="0" w:type="dxa"/>
                    <w:right w:w="0" w:type="dxa"/>
                  </w:tcMar>
                  <w:vAlign w:val="center"/>
                </w:tcPr>
                <w:p>
                  <w:pPr>
                    <w:jc w:val="center"/>
                    <w:rPr>
                      <w:color w:val="0070C0"/>
                      <w:szCs w:val="21"/>
                    </w:rPr>
                  </w:pPr>
                  <w:r>
                    <w:rPr>
                      <w:color w:val="0070C0"/>
                      <w:szCs w:val="21"/>
                    </w:rPr>
                    <w:t>mg/m</w:t>
                  </w:r>
                  <w:r>
                    <w:rPr>
                      <w:color w:val="0070C0"/>
                      <w:szCs w:val="21"/>
                      <w:vertAlign w:val="superscript"/>
                    </w:rPr>
                    <w:t>3</w:t>
                  </w:r>
                </w:p>
              </w:tc>
              <w:tc>
                <w:tcPr>
                  <w:tcW w:w="1095" w:type="dxa"/>
                  <w:tcMar>
                    <w:left w:w="0" w:type="dxa"/>
                    <w:right w:w="0" w:type="dxa"/>
                  </w:tcMar>
                  <w:vAlign w:val="center"/>
                </w:tcPr>
                <w:p>
                  <w:pPr>
                    <w:jc w:val="center"/>
                    <w:rPr>
                      <w:color w:val="0070C0"/>
                      <w:szCs w:val="21"/>
                    </w:rPr>
                  </w:pPr>
                  <w:r>
                    <w:rPr>
                      <w:rFonts w:hint="eastAsia"/>
                      <w:color w:val="0070C0"/>
                      <w:szCs w:val="21"/>
                    </w:rPr>
                    <w:t>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2853" w:type="dxa"/>
                  <w:vMerge w:val="continue"/>
                  <w:tcMar>
                    <w:left w:w="0" w:type="dxa"/>
                    <w:right w:w="0" w:type="dxa"/>
                  </w:tcMar>
                  <w:vAlign w:val="center"/>
                </w:tcPr>
                <w:p>
                  <w:pPr>
                    <w:rPr>
                      <w:color w:val="0070C0"/>
                      <w:szCs w:val="21"/>
                    </w:rPr>
                  </w:pPr>
                </w:p>
              </w:tc>
              <w:tc>
                <w:tcPr>
                  <w:tcW w:w="2907" w:type="dxa"/>
                  <w:tcMar>
                    <w:left w:w="0" w:type="dxa"/>
                    <w:right w:w="0" w:type="dxa"/>
                  </w:tcMar>
                  <w:vAlign w:val="center"/>
                </w:tcPr>
                <w:p>
                  <w:pPr>
                    <w:jc w:val="center"/>
                    <w:rPr>
                      <w:color w:val="0070C0"/>
                      <w:szCs w:val="21"/>
                    </w:rPr>
                  </w:pPr>
                  <w:r>
                    <w:rPr>
                      <w:rFonts w:hint="eastAsia"/>
                      <w:color w:val="0070C0"/>
                      <w:szCs w:val="21"/>
                    </w:rPr>
                    <w:t>二氧化硫</w:t>
                  </w:r>
                </w:p>
              </w:tc>
              <w:tc>
                <w:tcPr>
                  <w:tcW w:w="1543" w:type="dxa"/>
                  <w:tcMar>
                    <w:left w:w="0" w:type="dxa"/>
                    <w:right w:w="0" w:type="dxa"/>
                  </w:tcMar>
                  <w:vAlign w:val="center"/>
                </w:tcPr>
                <w:p>
                  <w:pPr>
                    <w:jc w:val="center"/>
                    <w:rPr>
                      <w:color w:val="0070C0"/>
                      <w:szCs w:val="21"/>
                    </w:rPr>
                  </w:pPr>
                  <w:r>
                    <w:rPr>
                      <w:color w:val="0070C0"/>
                      <w:szCs w:val="21"/>
                    </w:rPr>
                    <w:t>mg/m</w:t>
                  </w:r>
                  <w:r>
                    <w:rPr>
                      <w:color w:val="0070C0"/>
                      <w:szCs w:val="21"/>
                      <w:vertAlign w:val="superscript"/>
                    </w:rPr>
                    <w:t>3</w:t>
                  </w:r>
                </w:p>
              </w:tc>
              <w:tc>
                <w:tcPr>
                  <w:tcW w:w="1095" w:type="dxa"/>
                  <w:tcMar>
                    <w:left w:w="0" w:type="dxa"/>
                    <w:right w:w="0" w:type="dxa"/>
                  </w:tcMar>
                  <w:vAlign w:val="center"/>
                </w:tcPr>
                <w:p>
                  <w:pPr>
                    <w:jc w:val="center"/>
                    <w:rPr>
                      <w:color w:val="0070C0"/>
                      <w:szCs w:val="21"/>
                    </w:rPr>
                  </w:pPr>
                  <w:r>
                    <w:rPr>
                      <w:rFonts w:hint="eastAsia"/>
                      <w:color w:val="0070C0"/>
                      <w:szCs w:val="21"/>
                    </w:rPr>
                    <w:t>100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2853" w:type="dxa"/>
                  <w:vMerge w:val="continue"/>
                  <w:tcMar>
                    <w:left w:w="0" w:type="dxa"/>
                    <w:right w:w="0" w:type="dxa"/>
                  </w:tcMar>
                  <w:vAlign w:val="center"/>
                </w:tcPr>
                <w:p>
                  <w:pPr>
                    <w:rPr>
                      <w:color w:val="0070C0"/>
                      <w:szCs w:val="21"/>
                    </w:rPr>
                  </w:pPr>
                </w:p>
              </w:tc>
              <w:tc>
                <w:tcPr>
                  <w:tcW w:w="2907" w:type="dxa"/>
                  <w:tcMar>
                    <w:left w:w="0" w:type="dxa"/>
                    <w:right w:w="0" w:type="dxa"/>
                  </w:tcMar>
                  <w:vAlign w:val="center"/>
                </w:tcPr>
                <w:p>
                  <w:pPr>
                    <w:jc w:val="center"/>
                    <w:rPr>
                      <w:color w:val="0070C0"/>
                      <w:szCs w:val="21"/>
                    </w:rPr>
                  </w:pPr>
                  <w:r>
                    <w:rPr>
                      <w:rFonts w:hint="eastAsia"/>
                      <w:color w:val="0070C0"/>
                      <w:szCs w:val="21"/>
                    </w:rPr>
                    <w:t>氮氧化物</w:t>
                  </w:r>
                </w:p>
              </w:tc>
              <w:tc>
                <w:tcPr>
                  <w:tcW w:w="1543" w:type="dxa"/>
                  <w:tcMar>
                    <w:left w:w="0" w:type="dxa"/>
                    <w:right w:w="0" w:type="dxa"/>
                  </w:tcMar>
                  <w:vAlign w:val="center"/>
                </w:tcPr>
                <w:p>
                  <w:pPr>
                    <w:jc w:val="center"/>
                    <w:rPr>
                      <w:color w:val="0070C0"/>
                      <w:szCs w:val="21"/>
                    </w:rPr>
                  </w:pPr>
                  <w:r>
                    <w:rPr>
                      <w:color w:val="0070C0"/>
                      <w:szCs w:val="21"/>
                    </w:rPr>
                    <w:t>mg/m</w:t>
                  </w:r>
                  <w:r>
                    <w:rPr>
                      <w:color w:val="0070C0"/>
                      <w:szCs w:val="21"/>
                      <w:vertAlign w:val="superscript"/>
                    </w:rPr>
                    <w:t>3</w:t>
                  </w:r>
                </w:p>
              </w:tc>
              <w:tc>
                <w:tcPr>
                  <w:tcW w:w="1095" w:type="dxa"/>
                  <w:tcMar>
                    <w:left w:w="0" w:type="dxa"/>
                    <w:right w:w="0" w:type="dxa"/>
                  </w:tcMar>
                  <w:vAlign w:val="center"/>
                </w:tcPr>
                <w:p>
                  <w:pPr>
                    <w:jc w:val="center"/>
                    <w:rPr>
                      <w:color w:val="0070C0"/>
                      <w:szCs w:val="21"/>
                    </w:rPr>
                  </w:pPr>
                  <w:r>
                    <w:rPr>
                      <w:rFonts w:hint="eastAsia"/>
                      <w:color w:val="0070C0"/>
                      <w:szCs w:val="21"/>
                    </w:rPr>
                    <w:t>150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2853" w:type="dxa"/>
                  <w:vMerge w:val="continue"/>
                  <w:tcMar>
                    <w:left w:w="0" w:type="dxa"/>
                    <w:right w:w="0" w:type="dxa"/>
                  </w:tcMar>
                  <w:vAlign w:val="center"/>
                </w:tcPr>
                <w:p>
                  <w:pPr>
                    <w:rPr>
                      <w:color w:val="0070C0"/>
                      <w:szCs w:val="21"/>
                    </w:rPr>
                  </w:pPr>
                </w:p>
              </w:tc>
              <w:tc>
                <w:tcPr>
                  <w:tcW w:w="2907" w:type="dxa"/>
                  <w:tcMar>
                    <w:left w:w="0" w:type="dxa"/>
                    <w:right w:w="0" w:type="dxa"/>
                  </w:tcMar>
                  <w:vAlign w:val="center"/>
                </w:tcPr>
                <w:p>
                  <w:pPr>
                    <w:jc w:val="center"/>
                    <w:rPr>
                      <w:color w:val="0070C0"/>
                      <w:szCs w:val="21"/>
                    </w:rPr>
                  </w:pPr>
                  <w:r>
                    <w:rPr>
                      <w:rFonts w:hint="eastAsia"/>
                      <w:color w:val="0070C0"/>
                      <w:szCs w:val="21"/>
                    </w:rPr>
                    <w:t>氟化物</w:t>
                  </w:r>
                </w:p>
              </w:tc>
              <w:tc>
                <w:tcPr>
                  <w:tcW w:w="1543" w:type="dxa"/>
                  <w:tcMar>
                    <w:left w:w="0" w:type="dxa"/>
                    <w:right w:w="0" w:type="dxa"/>
                  </w:tcMar>
                  <w:vAlign w:val="center"/>
                </w:tcPr>
                <w:p>
                  <w:pPr>
                    <w:jc w:val="center"/>
                    <w:rPr>
                      <w:color w:val="0070C0"/>
                      <w:szCs w:val="21"/>
                    </w:rPr>
                  </w:pPr>
                  <w:r>
                    <w:rPr>
                      <w:color w:val="0070C0"/>
                      <w:szCs w:val="21"/>
                    </w:rPr>
                    <w:t>mg/m</w:t>
                  </w:r>
                  <w:r>
                    <w:rPr>
                      <w:color w:val="0070C0"/>
                      <w:szCs w:val="21"/>
                      <w:vertAlign w:val="superscript"/>
                    </w:rPr>
                    <w:t>3</w:t>
                  </w:r>
                </w:p>
              </w:tc>
              <w:tc>
                <w:tcPr>
                  <w:tcW w:w="1095" w:type="dxa"/>
                  <w:tcMar>
                    <w:left w:w="0" w:type="dxa"/>
                    <w:right w:w="0" w:type="dxa"/>
                  </w:tcMar>
                  <w:vAlign w:val="center"/>
                </w:tcPr>
                <w:p>
                  <w:pPr>
                    <w:jc w:val="center"/>
                    <w:rPr>
                      <w:color w:val="0070C0"/>
                      <w:szCs w:val="21"/>
                    </w:rPr>
                  </w:pPr>
                  <w:r>
                    <w:rPr>
                      <w:rFonts w:hint="eastAsia"/>
                      <w:color w:val="0070C0"/>
                      <w:szCs w:val="21"/>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2853" w:type="dxa"/>
                  <w:tcMar>
                    <w:left w:w="0" w:type="dxa"/>
                    <w:right w:w="0" w:type="dxa"/>
                  </w:tcMar>
                  <w:vAlign w:val="center"/>
                </w:tcPr>
                <w:p>
                  <w:pPr>
                    <w:rPr>
                      <w:color w:val="0070C0"/>
                      <w:szCs w:val="21"/>
                    </w:rPr>
                  </w:pPr>
                  <w:r>
                    <w:rPr>
                      <w:rFonts w:hint="eastAsia"/>
                      <w:color w:val="0070C0"/>
                      <w:szCs w:val="21"/>
                    </w:rPr>
                    <w:t>《大气污染物综合排放标准》（GB16297-1996）</w:t>
                  </w:r>
                </w:p>
              </w:tc>
              <w:tc>
                <w:tcPr>
                  <w:tcW w:w="2907" w:type="dxa"/>
                  <w:tcMar>
                    <w:left w:w="0" w:type="dxa"/>
                    <w:right w:w="0" w:type="dxa"/>
                  </w:tcMar>
                  <w:vAlign w:val="center"/>
                </w:tcPr>
                <w:p>
                  <w:pPr>
                    <w:jc w:val="center"/>
                    <w:rPr>
                      <w:color w:val="0070C0"/>
                      <w:szCs w:val="21"/>
                    </w:rPr>
                  </w:pPr>
                  <w:r>
                    <w:rPr>
                      <w:rFonts w:hint="eastAsia"/>
                      <w:color w:val="0070C0"/>
                      <w:szCs w:val="21"/>
                    </w:rPr>
                    <w:t>颗粒物</w:t>
                  </w:r>
                </w:p>
              </w:tc>
              <w:tc>
                <w:tcPr>
                  <w:tcW w:w="1543" w:type="dxa"/>
                  <w:tcMar>
                    <w:left w:w="0" w:type="dxa"/>
                    <w:right w:w="0" w:type="dxa"/>
                  </w:tcMar>
                  <w:vAlign w:val="center"/>
                </w:tcPr>
                <w:p>
                  <w:pPr>
                    <w:jc w:val="center"/>
                    <w:rPr>
                      <w:color w:val="0070C0"/>
                      <w:szCs w:val="21"/>
                    </w:rPr>
                  </w:pPr>
                  <w:r>
                    <w:rPr>
                      <w:color w:val="0070C0"/>
                      <w:szCs w:val="21"/>
                    </w:rPr>
                    <w:t>mg/m</w:t>
                  </w:r>
                  <w:r>
                    <w:rPr>
                      <w:color w:val="0070C0"/>
                      <w:szCs w:val="21"/>
                      <w:vertAlign w:val="superscript"/>
                    </w:rPr>
                    <w:t>3</w:t>
                  </w:r>
                </w:p>
              </w:tc>
              <w:tc>
                <w:tcPr>
                  <w:tcW w:w="1095" w:type="dxa"/>
                  <w:tcMar>
                    <w:left w:w="0" w:type="dxa"/>
                    <w:right w:w="0" w:type="dxa"/>
                  </w:tcMar>
                  <w:vAlign w:val="center"/>
                </w:tcPr>
                <w:p>
                  <w:pPr>
                    <w:jc w:val="center"/>
                    <w:rPr>
                      <w:color w:val="0070C0"/>
                      <w:szCs w:val="21"/>
                    </w:rPr>
                  </w:pPr>
                  <w:r>
                    <w:rPr>
                      <w:rFonts w:hint="eastAsia"/>
                      <w:color w:val="0070C0"/>
                      <w:szCs w:val="21"/>
                    </w:rPr>
                    <w:t>1.0</w:t>
                  </w:r>
                </w:p>
              </w:tc>
            </w:tr>
          </w:tbl>
          <w:p>
            <w:pPr>
              <w:spacing w:line="360" w:lineRule="auto"/>
              <w:ind w:firstLine="480" w:firstLineChars="200"/>
              <w:rPr>
                <w:sz w:val="24"/>
                <w:szCs w:val="24"/>
              </w:rPr>
            </w:pPr>
            <w:r>
              <w:rPr>
                <w:sz w:val="24"/>
                <w:szCs w:val="24"/>
              </w:rPr>
              <w:t>本项目油烟废气参照《饮食业油烟排放标准》（GB18483-2001）中饮食业单位（小型）的油烟最高允许排放浓度。</w:t>
            </w:r>
          </w:p>
          <w:p>
            <w:pPr>
              <w:widowControl/>
              <w:adjustRightInd w:val="0"/>
              <w:spacing w:before="62" w:beforeLines="20"/>
              <w:jc w:val="center"/>
              <w:rPr>
                <w:b/>
                <w:szCs w:val="21"/>
              </w:rPr>
            </w:pPr>
            <w:r>
              <w:rPr>
                <w:b/>
                <w:szCs w:val="21"/>
              </w:rPr>
              <w:t>表2</w:t>
            </w:r>
            <w:r>
              <w:rPr>
                <w:rFonts w:hint="eastAsia"/>
                <w:b/>
                <w:szCs w:val="21"/>
              </w:rPr>
              <w:t>4</w:t>
            </w:r>
            <w:r>
              <w:rPr>
                <w:b/>
                <w:szCs w:val="21"/>
              </w:rPr>
              <w:t xml:space="preserve"> 饮食业油烟排放标准</w:t>
            </w:r>
          </w:p>
          <w:tbl>
            <w:tblPr>
              <w:tblStyle w:val="24"/>
              <w:tblpPr w:leftFromText="180" w:rightFromText="180" w:vertAnchor="text" w:horzAnchor="margin" w:tblpY="84"/>
              <w:tblOverlap w:val="never"/>
              <w:tblW w:w="8565"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332"/>
              <w:gridCol w:w="3376"/>
              <w:gridCol w:w="285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3" w:hRule="atLeast"/>
              </w:trPr>
              <w:tc>
                <w:tcPr>
                  <w:tcW w:w="2332" w:type="dxa"/>
                  <w:vAlign w:val="center"/>
                </w:tcPr>
                <w:p>
                  <w:pPr>
                    <w:jc w:val="center"/>
                    <w:rPr>
                      <w:szCs w:val="21"/>
                      <w:lang w:val="en-GB"/>
                    </w:rPr>
                  </w:pPr>
                  <w:r>
                    <w:rPr>
                      <w:szCs w:val="21"/>
                      <w:lang w:val="en-GB"/>
                    </w:rPr>
                    <w:t>参照标准</w:t>
                  </w:r>
                </w:p>
              </w:tc>
              <w:tc>
                <w:tcPr>
                  <w:tcW w:w="3376" w:type="dxa"/>
                  <w:vAlign w:val="center"/>
                </w:tcPr>
                <w:p>
                  <w:pPr>
                    <w:rPr>
                      <w:szCs w:val="21"/>
                      <w:lang w:val="en-GB"/>
                    </w:rPr>
                  </w:pPr>
                  <w:r>
                    <w:rPr>
                      <w:szCs w:val="21"/>
                      <w:lang w:val="en-GB"/>
                    </w:rPr>
                    <w:t>最高允许排放浓度（mg/m</w:t>
                  </w:r>
                  <w:r>
                    <w:rPr>
                      <w:szCs w:val="21"/>
                      <w:vertAlign w:val="superscript"/>
                      <w:lang w:val="en-GB"/>
                    </w:rPr>
                    <w:t>3</w:t>
                  </w:r>
                  <w:r>
                    <w:rPr>
                      <w:szCs w:val="21"/>
                      <w:lang w:val="en-GB"/>
                    </w:rPr>
                    <w:t>）</w:t>
                  </w:r>
                </w:p>
              </w:tc>
              <w:tc>
                <w:tcPr>
                  <w:tcW w:w="2857" w:type="dxa"/>
                  <w:vAlign w:val="center"/>
                </w:tcPr>
                <w:p>
                  <w:pPr>
                    <w:ind w:firstLine="105" w:firstLineChars="50"/>
                    <w:rPr>
                      <w:szCs w:val="21"/>
                      <w:lang w:val="en-GB"/>
                    </w:rPr>
                  </w:pPr>
                  <w:r>
                    <w:rPr>
                      <w:szCs w:val="21"/>
                      <w:lang w:val="en-GB"/>
                    </w:rPr>
                    <w:t>净化设施最低去除率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2332" w:type="dxa"/>
                </w:tcPr>
                <w:p>
                  <w:pPr>
                    <w:rPr>
                      <w:szCs w:val="21"/>
                      <w:lang w:val="en-GB"/>
                    </w:rPr>
                  </w:pPr>
                  <w:r>
                    <w:rPr>
                      <w:szCs w:val="21"/>
                      <w:lang w:val="en-GB"/>
                    </w:rPr>
                    <w:t>《饮食业油烟排放标准》（GB18483-2001）</w:t>
                  </w:r>
                </w:p>
              </w:tc>
              <w:tc>
                <w:tcPr>
                  <w:tcW w:w="3376" w:type="dxa"/>
                  <w:vAlign w:val="center"/>
                </w:tcPr>
                <w:p>
                  <w:pPr>
                    <w:jc w:val="center"/>
                    <w:rPr>
                      <w:szCs w:val="21"/>
                      <w:lang w:val="en-GB"/>
                    </w:rPr>
                  </w:pPr>
                  <w:r>
                    <w:rPr>
                      <w:szCs w:val="21"/>
                      <w:lang w:val="en-GB"/>
                    </w:rPr>
                    <w:t>2</w:t>
                  </w:r>
                </w:p>
              </w:tc>
              <w:tc>
                <w:tcPr>
                  <w:tcW w:w="2857" w:type="dxa"/>
                  <w:vAlign w:val="center"/>
                </w:tcPr>
                <w:p>
                  <w:pPr>
                    <w:jc w:val="center"/>
                    <w:rPr>
                      <w:szCs w:val="21"/>
                      <w:lang w:val="en-GB"/>
                    </w:rPr>
                  </w:pPr>
                  <w:r>
                    <w:rPr>
                      <w:szCs w:val="21"/>
                      <w:lang w:val="en-GB"/>
                    </w:rPr>
                    <w:t>60%</w:t>
                  </w:r>
                </w:p>
              </w:tc>
            </w:tr>
          </w:tbl>
          <w:p>
            <w:pPr>
              <w:spacing w:line="360" w:lineRule="auto"/>
              <w:ind w:firstLine="480" w:firstLineChars="200"/>
              <w:rPr>
                <w:rFonts w:hAnsi="宋体"/>
                <w:sz w:val="24"/>
              </w:rPr>
            </w:pPr>
            <w:r>
              <w:rPr>
                <w:sz w:val="24"/>
                <w:szCs w:val="24"/>
              </w:rPr>
              <w:t>2、噪声：</w:t>
            </w:r>
            <w:r>
              <w:rPr>
                <w:rFonts w:hint="eastAsia"/>
                <w:sz w:val="24"/>
              </w:rPr>
              <w:t>施工期噪声执行《建筑施工场界环境噪声排放标准》（GB12523-2011）限值；</w:t>
            </w:r>
            <w:r>
              <w:rPr>
                <w:rFonts w:hAnsi="宋体"/>
                <w:bCs/>
                <w:sz w:val="24"/>
              </w:rPr>
              <w:t>营运期噪声排放执行《工业企业厂界环境噪声排放标准》</w:t>
            </w:r>
            <w:r>
              <w:rPr>
                <w:rFonts w:hint="eastAsia"/>
                <w:bCs/>
                <w:sz w:val="24"/>
              </w:rPr>
              <w:t>（</w:t>
            </w:r>
            <w:r>
              <w:rPr>
                <w:bCs/>
                <w:sz w:val="24"/>
              </w:rPr>
              <w:t>GB12348-2008</w:t>
            </w:r>
            <w:r>
              <w:rPr>
                <w:rFonts w:hint="eastAsia"/>
                <w:bCs/>
                <w:sz w:val="24"/>
              </w:rPr>
              <w:t>）</w:t>
            </w:r>
            <w:r>
              <w:rPr>
                <w:rFonts w:hAnsi="宋体"/>
                <w:sz w:val="24"/>
              </w:rPr>
              <w:t>中</w:t>
            </w:r>
            <w:r>
              <w:rPr>
                <w:sz w:val="24"/>
              </w:rPr>
              <w:t>2</w:t>
            </w:r>
            <w:r>
              <w:rPr>
                <w:rFonts w:hAnsi="宋体"/>
                <w:sz w:val="24"/>
              </w:rPr>
              <w:t>类标准；</w:t>
            </w:r>
          </w:p>
          <w:p>
            <w:pPr>
              <w:widowControl/>
              <w:adjustRightInd w:val="0"/>
              <w:spacing w:before="62" w:beforeLines="20"/>
              <w:jc w:val="center"/>
              <w:rPr>
                <w:szCs w:val="21"/>
              </w:rPr>
            </w:pPr>
            <w:r>
              <w:rPr>
                <w:b/>
                <w:szCs w:val="21"/>
              </w:rPr>
              <w:t>表2</w:t>
            </w:r>
            <w:r>
              <w:rPr>
                <w:rFonts w:hint="eastAsia"/>
                <w:b/>
                <w:szCs w:val="21"/>
              </w:rPr>
              <w:t>5</w:t>
            </w:r>
            <w:r>
              <w:rPr>
                <w:b/>
                <w:szCs w:val="21"/>
              </w:rPr>
              <w:t xml:space="preserve"> 工业企业厂界环境噪声排放限值（单位：dB（A））</w:t>
            </w:r>
          </w:p>
          <w:tbl>
            <w:tblPr>
              <w:tblStyle w:val="24"/>
              <w:tblW w:w="847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79"/>
              <w:gridCol w:w="3775"/>
              <w:gridCol w:w="776"/>
              <w:gridCol w:w="793"/>
              <w:gridCol w:w="1432"/>
              <w:gridCol w:w="101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679" w:type="dxa"/>
                  <w:vMerge w:val="restart"/>
                  <w:tcMar>
                    <w:left w:w="0" w:type="dxa"/>
                    <w:right w:w="0" w:type="dxa"/>
                  </w:tcMar>
                  <w:vAlign w:val="center"/>
                </w:tcPr>
                <w:p>
                  <w:pPr>
                    <w:jc w:val="center"/>
                    <w:rPr>
                      <w:szCs w:val="21"/>
                    </w:rPr>
                  </w:pPr>
                  <w:r>
                    <w:rPr>
                      <w:szCs w:val="21"/>
                    </w:rPr>
                    <w:t>类别</w:t>
                  </w:r>
                </w:p>
              </w:tc>
              <w:tc>
                <w:tcPr>
                  <w:tcW w:w="3775" w:type="dxa"/>
                  <w:vMerge w:val="restart"/>
                  <w:tcMar>
                    <w:left w:w="0" w:type="dxa"/>
                    <w:right w:w="0" w:type="dxa"/>
                  </w:tcMar>
                  <w:vAlign w:val="center"/>
                </w:tcPr>
                <w:p>
                  <w:pPr>
                    <w:jc w:val="center"/>
                    <w:rPr>
                      <w:szCs w:val="21"/>
                    </w:rPr>
                  </w:pPr>
                  <w:r>
                    <w:rPr>
                      <w:szCs w:val="21"/>
                    </w:rPr>
                    <w:t>标准名称及级(类)别</w:t>
                  </w:r>
                </w:p>
              </w:tc>
              <w:tc>
                <w:tcPr>
                  <w:tcW w:w="1569" w:type="dxa"/>
                  <w:gridSpan w:val="2"/>
                  <w:vMerge w:val="restart"/>
                  <w:tcMar>
                    <w:left w:w="0" w:type="dxa"/>
                    <w:right w:w="0" w:type="dxa"/>
                  </w:tcMar>
                  <w:vAlign w:val="center"/>
                </w:tcPr>
                <w:p>
                  <w:pPr>
                    <w:jc w:val="center"/>
                    <w:rPr>
                      <w:szCs w:val="21"/>
                    </w:rPr>
                  </w:pPr>
                  <w:r>
                    <w:rPr>
                      <w:szCs w:val="21"/>
                    </w:rPr>
                    <w:t>项目</w:t>
                  </w:r>
                </w:p>
              </w:tc>
              <w:tc>
                <w:tcPr>
                  <w:tcW w:w="2447" w:type="dxa"/>
                  <w:gridSpan w:val="2"/>
                  <w:tcMar>
                    <w:left w:w="0" w:type="dxa"/>
                    <w:right w:w="0" w:type="dxa"/>
                  </w:tcMar>
                  <w:vAlign w:val="center"/>
                </w:tcPr>
                <w:p>
                  <w:pPr>
                    <w:jc w:val="center"/>
                    <w:rPr>
                      <w:szCs w:val="21"/>
                    </w:rPr>
                  </w:pPr>
                  <w:r>
                    <w:rPr>
                      <w:szCs w:val="21"/>
                    </w:rPr>
                    <w:t>标准值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0" w:hRule="atLeast"/>
                <w:jc w:val="center"/>
              </w:trPr>
              <w:tc>
                <w:tcPr>
                  <w:tcW w:w="679" w:type="dxa"/>
                  <w:vMerge w:val="continue"/>
                  <w:tcMar>
                    <w:left w:w="0" w:type="dxa"/>
                    <w:right w:w="0" w:type="dxa"/>
                  </w:tcMar>
                  <w:vAlign w:val="center"/>
                </w:tcPr>
                <w:p>
                  <w:pPr>
                    <w:jc w:val="center"/>
                    <w:rPr>
                      <w:szCs w:val="21"/>
                    </w:rPr>
                  </w:pPr>
                </w:p>
              </w:tc>
              <w:tc>
                <w:tcPr>
                  <w:tcW w:w="3775" w:type="dxa"/>
                  <w:vMerge w:val="continue"/>
                  <w:tcMar>
                    <w:left w:w="0" w:type="dxa"/>
                    <w:right w:w="0" w:type="dxa"/>
                  </w:tcMar>
                  <w:vAlign w:val="center"/>
                </w:tcPr>
                <w:p>
                  <w:pPr>
                    <w:jc w:val="center"/>
                    <w:rPr>
                      <w:szCs w:val="21"/>
                    </w:rPr>
                  </w:pPr>
                </w:p>
              </w:tc>
              <w:tc>
                <w:tcPr>
                  <w:tcW w:w="1569" w:type="dxa"/>
                  <w:gridSpan w:val="2"/>
                  <w:vMerge w:val="continue"/>
                  <w:tcMar>
                    <w:left w:w="0" w:type="dxa"/>
                    <w:right w:w="0" w:type="dxa"/>
                  </w:tcMar>
                  <w:vAlign w:val="center"/>
                </w:tcPr>
                <w:p>
                  <w:pPr>
                    <w:jc w:val="center"/>
                    <w:rPr>
                      <w:szCs w:val="21"/>
                    </w:rPr>
                  </w:pPr>
                </w:p>
              </w:tc>
              <w:tc>
                <w:tcPr>
                  <w:tcW w:w="1432" w:type="dxa"/>
                  <w:tcMar>
                    <w:left w:w="0" w:type="dxa"/>
                    <w:right w:w="0" w:type="dxa"/>
                  </w:tcMar>
                  <w:vAlign w:val="center"/>
                </w:tcPr>
                <w:p>
                  <w:pPr>
                    <w:jc w:val="center"/>
                    <w:rPr>
                      <w:szCs w:val="21"/>
                    </w:rPr>
                  </w:pPr>
                  <w:r>
                    <w:rPr>
                      <w:szCs w:val="21"/>
                    </w:rPr>
                    <w:t>单位</w:t>
                  </w:r>
                </w:p>
              </w:tc>
              <w:tc>
                <w:tcPr>
                  <w:tcW w:w="1015" w:type="dxa"/>
                  <w:tcMar>
                    <w:left w:w="0" w:type="dxa"/>
                    <w:right w:w="0" w:type="dxa"/>
                  </w:tcMar>
                  <w:vAlign w:val="center"/>
                </w:tcPr>
                <w:p>
                  <w:pPr>
                    <w:jc w:val="center"/>
                    <w:rPr>
                      <w:szCs w:val="21"/>
                    </w:rPr>
                  </w:pPr>
                  <w:r>
                    <w:rPr>
                      <w:szCs w:val="21"/>
                    </w:rPr>
                    <w:t>数值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79" w:type="dxa"/>
                  <w:vMerge w:val="restart"/>
                  <w:tcMar>
                    <w:left w:w="0" w:type="dxa"/>
                    <w:right w:w="0" w:type="dxa"/>
                  </w:tcMar>
                  <w:vAlign w:val="center"/>
                </w:tcPr>
                <w:p>
                  <w:pPr>
                    <w:jc w:val="center"/>
                    <w:rPr>
                      <w:szCs w:val="21"/>
                    </w:rPr>
                  </w:pPr>
                  <w:r>
                    <w:rPr>
                      <w:szCs w:val="21"/>
                    </w:rPr>
                    <w:t>噪声</w:t>
                  </w:r>
                </w:p>
              </w:tc>
              <w:tc>
                <w:tcPr>
                  <w:tcW w:w="3775" w:type="dxa"/>
                  <w:vMerge w:val="restart"/>
                  <w:tcMar>
                    <w:left w:w="0" w:type="dxa"/>
                    <w:right w:w="0" w:type="dxa"/>
                  </w:tcMar>
                  <w:vAlign w:val="center"/>
                </w:tcPr>
                <w:p>
                  <w:pPr>
                    <w:rPr>
                      <w:szCs w:val="21"/>
                    </w:rPr>
                  </w:pPr>
                  <w:r>
                    <w:rPr>
                      <w:szCs w:val="21"/>
                    </w:rPr>
                    <w:t>《工业企业厂界环境噪声排放标准》(GB12348-2008)2类标准</w:t>
                  </w:r>
                </w:p>
              </w:tc>
              <w:tc>
                <w:tcPr>
                  <w:tcW w:w="776" w:type="dxa"/>
                  <w:vMerge w:val="restart"/>
                  <w:tcMar>
                    <w:left w:w="0" w:type="dxa"/>
                    <w:right w:w="0" w:type="dxa"/>
                  </w:tcMar>
                  <w:vAlign w:val="center"/>
                </w:tcPr>
                <w:p>
                  <w:pPr>
                    <w:jc w:val="center"/>
                    <w:rPr>
                      <w:szCs w:val="21"/>
                    </w:rPr>
                  </w:pPr>
                  <w:r>
                    <w:rPr>
                      <w:szCs w:val="21"/>
                    </w:rPr>
                    <w:t>等效 A 声级</w:t>
                  </w:r>
                </w:p>
              </w:tc>
              <w:tc>
                <w:tcPr>
                  <w:tcW w:w="793" w:type="dxa"/>
                  <w:tcMar>
                    <w:left w:w="0" w:type="dxa"/>
                    <w:right w:w="0" w:type="dxa"/>
                  </w:tcMar>
                  <w:vAlign w:val="center"/>
                </w:tcPr>
                <w:p>
                  <w:pPr>
                    <w:jc w:val="center"/>
                    <w:rPr>
                      <w:szCs w:val="21"/>
                    </w:rPr>
                  </w:pPr>
                  <w:r>
                    <w:rPr>
                      <w:szCs w:val="21"/>
                    </w:rPr>
                    <w:t>昼</w:t>
                  </w:r>
                </w:p>
              </w:tc>
              <w:tc>
                <w:tcPr>
                  <w:tcW w:w="1432" w:type="dxa"/>
                  <w:tcMar>
                    <w:left w:w="0" w:type="dxa"/>
                    <w:right w:w="0" w:type="dxa"/>
                  </w:tcMar>
                  <w:vAlign w:val="center"/>
                </w:tcPr>
                <w:p>
                  <w:pPr>
                    <w:jc w:val="center"/>
                    <w:rPr>
                      <w:szCs w:val="21"/>
                    </w:rPr>
                  </w:pPr>
                  <w:r>
                    <w:rPr>
                      <w:szCs w:val="21"/>
                    </w:rPr>
                    <w:t>dB(A)</w:t>
                  </w:r>
                </w:p>
              </w:tc>
              <w:tc>
                <w:tcPr>
                  <w:tcW w:w="1015" w:type="dxa"/>
                  <w:tcMar>
                    <w:left w:w="0" w:type="dxa"/>
                    <w:right w:w="0" w:type="dxa"/>
                  </w:tcMar>
                  <w:vAlign w:val="center"/>
                </w:tcPr>
                <w:p>
                  <w:pPr>
                    <w:jc w:val="center"/>
                    <w:rPr>
                      <w:szCs w:val="21"/>
                    </w:rPr>
                  </w:pPr>
                  <w:r>
                    <w:rPr>
                      <w:szCs w:val="21"/>
                    </w:rPr>
                    <w:t>60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679" w:type="dxa"/>
                  <w:vMerge w:val="continue"/>
                  <w:tcMar>
                    <w:left w:w="0" w:type="dxa"/>
                    <w:right w:w="0" w:type="dxa"/>
                  </w:tcMar>
                  <w:vAlign w:val="center"/>
                </w:tcPr>
                <w:p>
                  <w:pPr>
                    <w:jc w:val="center"/>
                    <w:rPr>
                      <w:szCs w:val="21"/>
                    </w:rPr>
                  </w:pPr>
                </w:p>
              </w:tc>
              <w:tc>
                <w:tcPr>
                  <w:tcW w:w="3775" w:type="dxa"/>
                  <w:vMerge w:val="continue"/>
                  <w:tcMar>
                    <w:left w:w="0" w:type="dxa"/>
                    <w:right w:w="0" w:type="dxa"/>
                  </w:tcMar>
                  <w:vAlign w:val="center"/>
                </w:tcPr>
                <w:p>
                  <w:pPr>
                    <w:rPr>
                      <w:szCs w:val="21"/>
                    </w:rPr>
                  </w:pPr>
                </w:p>
              </w:tc>
              <w:tc>
                <w:tcPr>
                  <w:tcW w:w="776" w:type="dxa"/>
                  <w:vMerge w:val="continue"/>
                  <w:tcMar>
                    <w:left w:w="0" w:type="dxa"/>
                    <w:right w:w="0" w:type="dxa"/>
                  </w:tcMar>
                  <w:vAlign w:val="center"/>
                </w:tcPr>
                <w:p>
                  <w:pPr>
                    <w:jc w:val="center"/>
                    <w:rPr>
                      <w:szCs w:val="21"/>
                    </w:rPr>
                  </w:pPr>
                </w:p>
              </w:tc>
              <w:tc>
                <w:tcPr>
                  <w:tcW w:w="793" w:type="dxa"/>
                  <w:tcMar>
                    <w:left w:w="0" w:type="dxa"/>
                    <w:right w:w="0" w:type="dxa"/>
                  </w:tcMar>
                  <w:vAlign w:val="center"/>
                </w:tcPr>
                <w:p>
                  <w:pPr>
                    <w:jc w:val="center"/>
                    <w:rPr>
                      <w:szCs w:val="21"/>
                    </w:rPr>
                  </w:pPr>
                  <w:r>
                    <w:rPr>
                      <w:szCs w:val="21"/>
                    </w:rPr>
                    <w:t>夜</w:t>
                  </w:r>
                </w:p>
              </w:tc>
              <w:tc>
                <w:tcPr>
                  <w:tcW w:w="1432" w:type="dxa"/>
                  <w:tcMar>
                    <w:left w:w="0" w:type="dxa"/>
                    <w:right w:w="0" w:type="dxa"/>
                  </w:tcMar>
                  <w:vAlign w:val="center"/>
                </w:tcPr>
                <w:p>
                  <w:pPr>
                    <w:jc w:val="center"/>
                    <w:rPr>
                      <w:szCs w:val="21"/>
                    </w:rPr>
                  </w:pPr>
                  <w:r>
                    <w:rPr>
                      <w:szCs w:val="21"/>
                    </w:rPr>
                    <w:t>dB(A)</w:t>
                  </w:r>
                </w:p>
              </w:tc>
              <w:tc>
                <w:tcPr>
                  <w:tcW w:w="1015" w:type="dxa"/>
                  <w:tcMar>
                    <w:left w:w="0" w:type="dxa"/>
                    <w:right w:w="0" w:type="dxa"/>
                  </w:tcMar>
                  <w:vAlign w:val="center"/>
                </w:tcPr>
                <w:p>
                  <w:pPr>
                    <w:jc w:val="center"/>
                    <w:rPr>
                      <w:szCs w:val="21"/>
                    </w:rPr>
                  </w:pPr>
                  <w:r>
                    <w:rPr>
                      <w:szCs w:val="21"/>
                    </w:rPr>
                    <w:t>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679" w:type="dxa"/>
                  <w:vMerge w:val="continue"/>
                  <w:tcMar>
                    <w:left w:w="0" w:type="dxa"/>
                    <w:right w:w="0" w:type="dxa"/>
                  </w:tcMar>
                  <w:vAlign w:val="center"/>
                </w:tcPr>
                <w:p>
                  <w:pPr>
                    <w:jc w:val="center"/>
                    <w:rPr>
                      <w:szCs w:val="21"/>
                    </w:rPr>
                  </w:pPr>
                </w:p>
              </w:tc>
              <w:tc>
                <w:tcPr>
                  <w:tcW w:w="3775" w:type="dxa"/>
                  <w:vMerge w:val="restart"/>
                  <w:tcMar>
                    <w:left w:w="0" w:type="dxa"/>
                    <w:right w:w="0" w:type="dxa"/>
                  </w:tcMar>
                  <w:vAlign w:val="center"/>
                </w:tcPr>
                <w:p>
                  <w:pPr>
                    <w:rPr>
                      <w:szCs w:val="21"/>
                    </w:rPr>
                  </w:pPr>
                  <w:r>
                    <w:rPr>
                      <w:szCs w:val="21"/>
                    </w:rPr>
                    <w:t>《建筑施工场界环境噪声排放标准》(GB12523-2011)</w:t>
                  </w:r>
                </w:p>
              </w:tc>
              <w:tc>
                <w:tcPr>
                  <w:tcW w:w="776" w:type="dxa"/>
                  <w:vMerge w:val="restart"/>
                  <w:tcMar>
                    <w:left w:w="0" w:type="dxa"/>
                    <w:right w:w="0" w:type="dxa"/>
                  </w:tcMar>
                  <w:vAlign w:val="center"/>
                </w:tcPr>
                <w:p>
                  <w:pPr>
                    <w:jc w:val="center"/>
                    <w:rPr>
                      <w:szCs w:val="21"/>
                    </w:rPr>
                  </w:pPr>
                  <w:r>
                    <w:rPr>
                      <w:szCs w:val="21"/>
                    </w:rPr>
                    <w:t>等效 A 声级</w:t>
                  </w:r>
                </w:p>
              </w:tc>
              <w:tc>
                <w:tcPr>
                  <w:tcW w:w="793" w:type="dxa"/>
                  <w:tcMar>
                    <w:left w:w="0" w:type="dxa"/>
                    <w:right w:w="0" w:type="dxa"/>
                  </w:tcMar>
                  <w:vAlign w:val="center"/>
                </w:tcPr>
                <w:p>
                  <w:pPr>
                    <w:jc w:val="center"/>
                    <w:rPr>
                      <w:szCs w:val="21"/>
                    </w:rPr>
                  </w:pPr>
                  <w:r>
                    <w:rPr>
                      <w:szCs w:val="21"/>
                    </w:rPr>
                    <w:t>昼</w:t>
                  </w:r>
                </w:p>
              </w:tc>
              <w:tc>
                <w:tcPr>
                  <w:tcW w:w="1432" w:type="dxa"/>
                  <w:tcMar>
                    <w:left w:w="0" w:type="dxa"/>
                    <w:right w:w="0" w:type="dxa"/>
                  </w:tcMar>
                  <w:vAlign w:val="center"/>
                </w:tcPr>
                <w:p>
                  <w:pPr>
                    <w:jc w:val="center"/>
                    <w:rPr>
                      <w:szCs w:val="21"/>
                    </w:rPr>
                  </w:pPr>
                  <w:r>
                    <w:rPr>
                      <w:szCs w:val="21"/>
                    </w:rPr>
                    <w:t>dB(A)</w:t>
                  </w:r>
                </w:p>
              </w:tc>
              <w:tc>
                <w:tcPr>
                  <w:tcW w:w="1015" w:type="dxa"/>
                  <w:tcMar>
                    <w:left w:w="0" w:type="dxa"/>
                    <w:right w:w="0" w:type="dxa"/>
                  </w:tcMar>
                  <w:vAlign w:val="center"/>
                </w:tcPr>
                <w:p>
                  <w:pPr>
                    <w:jc w:val="center"/>
                    <w:rPr>
                      <w:szCs w:val="21"/>
                    </w:rPr>
                  </w:pPr>
                  <w:r>
                    <w:rPr>
                      <w:rFonts w:hint="eastAsia"/>
                      <w:szCs w:val="21"/>
                    </w:rPr>
                    <w:t>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679" w:type="dxa"/>
                  <w:vMerge w:val="continue"/>
                  <w:tcMar>
                    <w:left w:w="0" w:type="dxa"/>
                    <w:right w:w="0" w:type="dxa"/>
                  </w:tcMar>
                  <w:vAlign w:val="center"/>
                </w:tcPr>
                <w:p>
                  <w:pPr>
                    <w:jc w:val="center"/>
                    <w:rPr>
                      <w:szCs w:val="21"/>
                    </w:rPr>
                  </w:pPr>
                </w:p>
              </w:tc>
              <w:tc>
                <w:tcPr>
                  <w:tcW w:w="3775" w:type="dxa"/>
                  <w:vMerge w:val="continue"/>
                  <w:tcMar>
                    <w:left w:w="0" w:type="dxa"/>
                    <w:right w:w="0" w:type="dxa"/>
                  </w:tcMar>
                  <w:vAlign w:val="center"/>
                </w:tcPr>
                <w:p>
                  <w:pPr>
                    <w:jc w:val="center"/>
                    <w:rPr>
                      <w:szCs w:val="21"/>
                    </w:rPr>
                  </w:pPr>
                </w:p>
              </w:tc>
              <w:tc>
                <w:tcPr>
                  <w:tcW w:w="776" w:type="dxa"/>
                  <w:vMerge w:val="continue"/>
                  <w:tcMar>
                    <w:left w:w="0" w:type="dxa"/>
                    <w:right w:w="0" w:type="dxa"/>
                  </w:tcMar>
                  <w:vAlign w:val="center"/>
                </w:tcPr>
                <w:p>
                  <w:pPr>
                    <w:jc w:val="center"/>
                    <w:rPr>
                      <w:szCs w:val="21"/>
                    </w:rPr>
                  </w:pPr>
                </w:p>
              </w:tc>
              <w:tc>
                <w:tcPr>
                  <w:tcW w:w="793" w:type="dxa"/>
                  <w:tcMar>
                    <w:left w:w="0" w:type="dxa"/>
                    <w:right w:w="0" w:type="dxa"/>
                  </w:tcMar>
                  <w:vAlign w:val="center"/>
                </w:tcPr>
                <w:p>
                  <w:pPr>
                    <w:jc w:val="center"/>
                    <w:rPr>
                      <w:szCs w:val="21"/>
                    </w:rPr>
                  </w:pPr>
                  <w:r>
                    <w:rPr>
                      <w:szCs w:val="21"/>
                    </w:rPr>
                    <w:t>夜</w:t>
                  </w:r>
                </w:p>
              </w:tc>
              <w:tc>
                <w:tcPr>
                  <w:tcW w:w="1432" w:type="dxa"/>
                  <w:tcMar>
                    <w:left w:w="0" w:type="dxa"/>
                    <w:right w:w="0" w:type="dxa"/>
                  </w:tcMar>
                  <w:vAlign w:val="center"/>
                </w:tcPr>
                <w:p>
                  <w:pPr>
                    <w:jc w:val="center"/>
                    <w:rPr>
                      <w:szCs w:val="21"/>
                    </w:rPr>
                  </w:pPr>
                  <w:r>
                    <w:rPr>
                      <w:szCs w:val="21"/>
                    </w:rPr>
                    <w:t>dB(A)</w:t>
                  </w:r>
                </w:p>
              </w:tc>
              <w:tc>
                <w:tcPr>
                  <w:tcW w:w="1015" w:type="dxa"/>
                  <w:tcMar>
                    <w:left w:w="0" w:type="dxa"/>
                    <w:right w:w="0" w:type="dxa"/>
                  </w:tcMar>
                  <w:vAlign w:val="center"/>
                </w:tcPr>
                <w:p>
                  <w:pPr>
                    <w:jc w:val="center"/>
                    <w:rPr>
                      <w:szCs w:val="21"/>
                    </w:rPr>
                  </w:pPr>
                  <w:r>
                    <w:rPr>
                      <w:szCs w:val="21"/>
                    </w:rPr>
                    <w:t>5</w:t>
                  </w:r>
                  <w:r>
                    <w:rPr>
                      <w:rFonts w:hint="eastAsia"/>
                      <w:szCs w:val="21"/>
                    </w:rPr>
                    <w:t>5</w:t>
                  </w:r>
                </w:p>
              </w:tc>
            </w:tr>
          </w:tbl>
          <w:p>
            <w:pPr>
              <w:spacing w:line="360" w:lineRule="auto"/>
              <w:ind w:firstLine="480" w:firstLineChars="200"/>
              <w:rPr>
                <w:bCs/>
                <w:sz w:val="24"/>
                <w:szCs w:val="24"/>
              </w:rPr>
            </w:pPr>
            <w:r>
              <w:rPr>
                <w:sz w:val="24"/>
                <w:szCs w:val="24"/>
              </w:rPr>
              <w:t>3、本项目生产过程</w:t>
            </w:r>
            <w:r>
              <w:rPr>
                <w:rFonts w:hint="eastAsia"/>
                <w:sz w:val="24"/>
                <w:szCs w:val="24"/>
              </w:rPr>
              <w:t>中无废水产生，生活污水经</w:t>
            </w:r>
            <w:r>
              <w:rPr>
                <w:rFonts w:hint="eastAsia"/>
                <w:sz w:val="24"/>
              </w:rPr>
              <w:t>化粪池储存后定期清掏，</w:t>
            </w:r>
            <w:r>
              <w:rPr>
                <w:rFonts w:hint="eastAsia"/>
                <w:sz w:val="24"/>
                <w:szCs w:val="24"/>
              </w:rPr>
              <w:t>废水做到零排放</w:t>
            </w:r>
            <w:r>
              <w:rPr>
                <w:rFonts w:hint="eastAsia"/>
                <w:bCs/>
                <w:sz w:val="24"/>
                <w:szCs w:val="24"/>
              </w:rPr>
              <w:t>；</w:t>
            </w:r>
          </w:p>
          <w:p>
            <w:pPr>
              <w:spacing w:line="360" w:lineRule="auto"/>
              <w:ind w:firstLine="480" w:firstLineChars="200"/>
              <w:rPr>
                <w:sz w:val="24"/>
                <w:szCs w:val="24"/>
              </w:rPr>
            </w:pPr>
            <w:r>
              <w:rPr>
                <w:sz w:val="24"/>
                <w:szCs w:val="24"/>
              </w:rPr>
              <w:t>4、一般固废执行《一般工业固体废物贮存、处置场污染控制标准》(GB18599-2001)及其修改单中相关要求；危险废物执行《危险废物贮存污染物控制标准》(GB18597-2001)及其修改单中相关要求。</w:t>
            </w:r>
          </w:p>
          <w:p>
            <w:pPr>
              <w:spacing w:line="360" w:lineRule="auto"/>
              <w:ind w:firstLine="480" w:firstLineChars="200"/>
              <w:rPr>
                <w:sz w:val="24"/>
                <w:szCs w:val="24"/>
              </w:rPr>
            </w:pPr>
            <w:r>
              <w:rPr>
                <w:sz w:val="24"/>
                <w:szCs w:val="24"/>
              </w:rPr>
              <w:t>5、其他按国家相关规定执行。</w:t>
            </w: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5" w:hRule="atLeast"/>
          <w:jc w:val="center"/>
        </w:trPr>
        <w:tc>
          <w:tcPr>
            <w:tcW w:w="496" w:type="dxa"/>
            <w:vAlign w:val="center"/>
          </w:tcPr>
          <w:p>
            <w:pPr>
              <w:spacing w:line="360" w:lineRule="auto"/>
              <w:jc w:val="center"/>
              <w:rPr>
                <w:b/>
                <w:sz w:val="24"/>
              </w:rPr>
            </w:pPr>
            <w:r>
              <w:rPr>
                <w:b/>
                <w:sz w:val="24"/>
              </w:rPr>
              <w:t>总量控制指标</w:t>
            </w:r>
          </w:p>
        </w:tc>
        <w:tc>
          <w:tcPr>
            <w:tcW w:w="8791" w:type="dxa"/>
            <w:gridSpan w:val="2"/>
            <w:vAlign w:val="center"/>
          </w:tcPr>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jc w:val="left"/>
              <w:rPr>
                <w:kern w:val="10"/>
                <w:sz w:val="24"/>
                <w:szCs w:val="24"/>
              </w:rPr>
            </w:pPr>
            <w:r>
              <w:rPr>
                <w:bCs/>
                <w:sz w:val="24"/>
              </w:rPr>
              <w:t>根据“十三</w:t>
            </w:r>
            <w:r>
              <w:rPr>
                <w:bCs/>
                <w:sz w:val="24"/>
                <w:szCs w:val="24"/>
              </w:rPr>
              <w:t>五</w:t>
            </w:r>
            <w:r>
              <w:rPr>
                <w:bCs/>
                <w:sz w:val="24"/>
              </w:rPr>
              <w:t>”</w:t>
            </w:r>
            <w:r>
              <w:rPr>
                <w:bCs/>
                <w:sz w:val="24"/>
                <w:szCs w:val="24"/>
              </w:rPr>
              <w:t>期间总量控制要求，“十三五”期间污染物控制指标为化学需氧量、氨氮、二氧化硫、氮氧化物、</w:t>
            </w:r>
            <w:r>
              <w:rPr>
                <w:sz w:val="24"/>
                <w:szCs w:val="24"/>
              </w:rPr>
              <w:t>VOCs、</w:t>
            </w:r>
            <w:r>
              <w:rPr>
                <w:bCs/>
                <w:sz w:val="24"/>
                <w:szCs w:val="24"/>
              </w:rPr>
              <w:t>总氮、总磷等。本项目</w:t>
            </w:r>
            <w:r>
              <w:rPr>
                <w:rFonts w:hint="eastAsia"/>
                <w:sz w:val="24"/>
                <w:szCs w:val="24"/>
              </w:rPr>
              <w:t>运营期废水全部回用，不外排，不涉及水污染物控制标准</w:t>
            </w:r>
            <w:r>
              <w:rPr>
                <w:sz w:val="24"/>
                <w:szCs w:val="24"/>
              </w:rPr>
              <w:t>。</w:t>
            </w:r>
            <w:r>
              <w:rPr>
                <w:rFonts w:hint="eastAsia"/>
                <w:kern w:val="10"/>
                <w:sz w:val="24"/>
                <w:szCs w:val="24"/>
              </w:rPr>
              <w:t>项目</w:t>
            </w:r>
            <w:r>
              <w:rPr>
                <w:bCs/>
                <w:sz w:val="24"/>
                <w:szCs w:val="24"/>
              </w:rPr>
              <w:t>涉及总量控制指标为</w:t>
            </w:r>
            <w:r>
              <w:rPr>
                <w:rFonts w:hint="eastAsia"/>
                <w:kern w:val="10"/>
                <w:sz w:val="24"/>
                <w:szCs w:val="24"/>
              </w:rPr>
              <w:t>SO</w:t>
            </w:r>
            <w:r>
              <w:rPr>
                <w:rFonts w:hint="eastAsia"/>
                <w:kern w:val="10"/>
                <w:sz w:val="24"/>
                <w:szCs w:val="24"/>
                <w:vertAlign w:val="subscript"/>
              </w:rPr>
              <w:t>2</w:t>
            </w:r>
            <w:r>
              <w:rPr>
                <w:rFonts w:hint="eastAsia"/>
                <w:kern w:val="10"/>
                <w:sz w:val="24"/>
                <w:szCs w:val="24"/>
              </w:rPr>
              <w:t>：0.681</w:t>
            </w:r>
            <w:r>
              <w:rPr>
                <w:kern w:val="10"/>
                <w:sz w:val="24"/>
                <w:szCs w:val="24"/>
              </w:rPr>
              <w:t>t/a</w:t>
            </w:r>
            <w:r>
              <w:rPr>
                <w:rFonts w:hint="eastAsia"/>
                <w:kern w:val="10"/>
                <w:sz w:val="24"/>
                <w:szCs w:val="24"/>
              </w:rPr>
              <w:t>；NO</w:t>
            </w:r>
            <w:r>
              <w:rPr>
                <w:rFonts w:hint="eastAsia"/>
                <w:kern w:val="10"/>
                <w:sz w:val="24"/>
                <w:szCs w:val="24"/>
                <w:vertAlign w:val="subscript"/>
              </w:rPr>
              <w:t>X</w:t>
            </w:r>
            <w:r>
              <w:rPr>
                <w:rFonts w:hint="eastAsia"/>
                <w:kern w:val="10"/>
                <w:sz w:val="24"/>
                <w:szCs w:val="24"/>
              </w:rPr>
              <w:t>：10.609t/a。</w:t>
            </w:r>
          </w:p>
          <w:p>
            <w:pPr>
              <w:autoSpaceDN w:val="0"/>
              <w:spacing w:line="360" w:lineRule="auto"/>
              <w:ind w:firstLine="480" w:firstLineChars="200"/>
              <w:jc w:val="left"/>
              <w:rPr>
                <w:bCs/>
                <w:sz w:val="24"/>
                <w:szCs w:val="24"/>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color w:val="auto"/>
              </w:rPr>
            </w:pPr>
          </w:p>
          <w:p>
            <w:pPr>
              <w:pStyle w:val="104"/>
              <w:rPr>
                <w:rFonts w:ascii="Times New Roman" w:cs="Times New Roman"/>
                <w:bCs/>
                <w:color w:val="auto"/>
              </w:rPr>
            </w:pPr>
          </w:p>
          <w:p>
            <w:pPr>
              <w:pStyle w:val="104"/>
              <w:rPr>
                <w:rFonts w:ascii="Times New Roman" w:cs="Times New Roman"/>
                <w:bCs/>
                <w:color w:val="auto"/>
              </w:rPr>
            </w:pPr>
          </w:p>
          <w:p>
            <w:pPr>
              <w:pStyle w:val="104"/>
              <w:rPr>
                <w:rFonts w:ascii="Times New Roman" w:cs="Times New Roman"/>
                <w:bCs/>
                <w:color w:val="auto"/>
              </w:rPr>
            </w:pPr>
          </w:p>
          <w:p>
            <w:pPr>
              <w:pStyle w:val="104"/>
              <w:rPr>
                <w:rFonts w:ascii="Times New Roman" w:cs="Times New Roman"/>
                <w:bCs/>
                <w:color w:val="auto"/>
              </w:rPr>
            </w:pPr>
          </w:p>
        </w:tc>
      </w:tr>
    </w:tbl>
    <w:p>
      <w:pPr>
        <w:rPr>
          <w:rFonts w:hAnsi="宋体"/>
          <w:b/>
          <w:sz w:val="24"/>
        </w:rPr>
        <w:sectPr>
          <w:pgSz w:w="11906" w:h="16838"/>
          <w:pgMar w:top="1090" w:right="1418" w:bottom="2025" w:left="1418" w:header="851" w:footer="992" w:gutter="0"/>
          <w:cols w:space="720" w:num="1"/>
          <w:docGrid w:type="lines" w:linePitch="312" w:charSpace="0"/>
        </w:sectPr>
      </w:pPr>
    </w:p>
    <w:p>
      <w:pPr>
        <w:rPr>
          <w:b/>
          <w:sz w:val="24"/>
        </w:rPr>
      </w:pPr>
      <w:r>
        <w:rPr>
          <w:rFonts w:hAnsi="宋体"/>
          <w:b/>
          <w:sz w:val="24"/>
        </w:rPr>
        <w:t>建设项目工程分析</w:t>
      </w:r>
    </w:p>
    <w:tbl>
      <w:tblPr>
        <w:tblStyle w:val="24"/>
        <w:tblW w:w="904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296" w:hRule="atLeast"/>
        </w:trPr>
        <w:tc>
          <w:tcPr>
            <w:tcW w:w="9040" w:type="dxa"/>
          </w:tcPr>
          <w:p>
            <w:pPr>
              <w:spacing w:line="360" w:lineRule="auto"/>
              <w:rPr>
                <w:b/>
                <w:bCs/>
                <w:sz w:val="24"/>
              </w:rPr>
            </w:pPr>
            <w:r>
              <w:rPr>
                <w:b/>
                <w:bCs/>
                <w:sz w:val="24"/>
              </w:rPr>
              <w:t>工艺流程简述（图示）：</w:t>
            </w:r>
          </w:p>
          <w:p>
            <w:pPr>
              <w:spacing w:line="360" w:lineRule="auto"/>
              <w:ind w:firstLine="480" w:firstLineChars="200"/>
              <w:rPr>
                <w:rFonts w:hAnsi="宋体"/>
                <w:sz w:val="24"/>
                <w:szCs w:val="24"/>
              </w:rPr>
            </w:pPr>
            <w:r>
              <w:rPr>
                <w:rFonts w:hAnsi="宋体"/>
                <w:sz w:val="24"/>
                <w:szCs w:val="24"/>
              </w:rPr>
              <w:t>营运期工艺流程及产污环节见</w:t>
            </w:r>
            <w:r>
              <w:rPr>
                <w:rFonts w:hint="eastAsia" w:hAnsi="宋体"/>
                <w:sz w:val="24"/>
                <w:szCs w:val="24"/>
              </w:rPr>
              <w:t>下图</w:t>
            </w:r>
            <w:r>
              <w:rPr>
                <w:rFonts w:hAnsi="宋体"/>
                <w:sz w:val="24"/>
                <w:szCs w:val="24"/>
              </w:rPr>
              <w:t>所示。</w:t>
            </w:r>
          </w:p>
          <w:p>
            <w:pPr>
              <w:spacing w:line="360" w:lineRule="auto"/>
              <w:jc w:val="center"/>
              <w:rPr>
                <w:rFonts w:hAnsi="宋体"/>
                <w:sz w:val="24"/>
                <w:szCs w:val="24"/>
              </w:rPr>
            </w:pPr>
            <w:r>
              <w:object>
                <v:shape id="_x0000_i1026" o:spt="75" type="#_x0000_t75" style="height:578.15pt;width:440.6pt;" o:ole="t" filled="f" o:preferrelative="t" stroked="f" coordsize="21600,21600">
                  <v:path/>
                  <v:fill on="f" focussize="0,0"/>
                  <v:stroke on="f" joinstyle="miter"/>
                  <v:imagedata r:id="rId10" o:title=""/>
                  <o:lock v:ext="edit" aspectratio="t"/>
                  <w10:wrap type="none"/>
                  <w10:anchorlock/>
                </v:shape>
                <o:OLEObject Type="Embed" ProgID="Visio.Drawing.15" ShapeID="_x0000_i1026" DrawAspect="Content" ObjectID="_1468075726" r:id="rId9">
                  <o:LockedField>false</o:LockedField>
                </o:OLEObject>
              </w:object>
            </w:r>
          </w:p>
          <w:p>
            <w:pPr>
              <w:spacing w:line="360" w:lineRule="auto"/>
              <w:jc w:val="center"/>
              <w:rPr>
                <w:b/>
                <w:color w:val="0070C0"/>
                <w:szCs w:val="21"/>
              </w:rPr>
            </w:pPr>
            <w:r>
              <w:rPr>
                <w:rFonts w:hAnsi="宋体"/>
                <w:b/>
                <w:color w:val="0070C0"/>
                <w:szCs w:val="21"/>
              </w:rPr>
              <w:t>图</w:t>
            </w:r>
            <w:r>
              <w:rPr>
                <w:rFonts w:hint="eastAsia"/>
                <w:b/>
                <w:color w:val="0070C0"/>
                <w:szCs w:val="21"/>
              </w:rPr>
              <w:t>2</w:t>
            </w:r>
            <w:r>
              <w:rPr>
                <w:b/>
                <w:color w:val="0070C0"/>
                <w:szCs w:val="21"/>
              </w:rPr>
              <w:t xml:space="preserve"> </w:t>
            </w:r>
            <w:r>
              <w:rPr>
                <w:rFonts w:hAnsi="宋体"/>
                <w:b/>
                <w:color w:val="0070C0"/>
                <w:szCs w:val="21"/>
              </w:rPr>
              <w:t>营运期工艺流程及产污环节图</w:t>
            </w:r>
          </w:p>
          <w:p>
            <w:pPr>
              <w:spacing w:line="360" w:lineRule="auto"/>
              <w:ind w:firstLine="480" w:firstLineChars="200"/>
              <w:rPr>
                <w:rFonts w:hAnsi="宋体"/>
                <w:sz w:val="24"/>
                <w:szCs w:val="24"/>
              </w:rPr>
            </w:pPr>
            <w:r>
              <w:rPr>
                <w:rFonts w:hint="eastAsia" w:hAnsi="宋体"/>
                <w:sz w:val="24"/>
                <w:szCs w:val="24"/>
              </w:rPr>
              <w:t>本项目采用二次码烧工艺，主要生产工艺流程如下：</w:t>
            </w:r>
          </w:p>
          <w:p>
            <w:pPr>
              <w:spacing w:line="360" w:lineRule="auto"/>
              <w:ind w:firstLine="480" w:firstLineChars="200"/>
              <w:rPr>
                <w:rFonts w:hAnsi="宋体"/>
                <w:sz w:val="24"/>
                <w:szCs w:val="24"/>
              </w:rPr>
            </w:pPr>
            <w:r>
              <w:rPr>
                <w:rFonts w:hint="eastAsia" w:hAnsi="宋体"/>
                <w:sz w:val="24"/>
                <w:szCs w:val="24"/>
              </w:rPr>
              <w:t>1、取土</w:t>
            </w:r>
          </w:p>
          <w:p>
            <w:pPr>
              <w:spacing w:line="360" w:lineRule="auto"/>
              <w:ind w:firstLine="480" w:firstLineChars="200"/>
              <w:rPr>
                <w:sz w:val="24"/>
              </w:rPr>
            </w:pPr>
            <w:r>
              <w:rPr>
                <w:rFonts w:hint="eastAsia"/>
                <w:sz w:val="24"/>
              </w:rPr>
              <w:t>根据项目矿产资源开发利用方案，本项目采用露天开采矿山，开采时按照自上而下的顺序逐台阶依次回踩。生产时，1个台阶即可满足生产能力。该粘土矿体较软，工作面回采可用挖掘机直接挖掘，推土机辅助作业，然后由矿用三轮车运至生产区。</w:t>
            </w:r>
          </w:p>
          <w:p>
            <w:pPr>
              <w:spacing w:line="360" w:lineRule="auto"/>
              <w:ind w:firstLine="480" w:firstLineChars="200"/>
              <w:rPr>
                <w:rFonts w:hAnsi="宋体"/>
                <w:sz w:val="24"/>
                <w:szCs w:val="24"/>
              </w:rPr>
            </w:pPr>
            <w:r>
              <w:rPr>
                <w:rFonts w:hint="eastAsia" w:ascii="宋体" w:hAnsi="宋体"/>
                <w:sz w:val="24"/>
                <w:szCs w:val="24"/>
              </w:rPr>
              <w:t>由于该地</w:t>
            </w:r>
            <w:r>
              <w:rPr>
                <w:rFonts w:hint="eastAsia" w:ascii="宋体" w:hAnsi="宋体"/>
                <w:sz w:val="24"/>
              </w:rPr>
              <w:t>区的土壤含湿率较大，在取土过程中粉尘产生较少，挖掘机、推土机、装载机、重型运载车运行时会产生噪声和少量的扬尘。</w:t>
            </w:r>
          </w:p>
          <w:p>
            <w:pPr>
              <w:spacing w:line="360" w:lineRule="auto"/>
              <w:ind w:firstLine="480" w:firstLineChars="200"/>
              <w:rPr>
                <w:rFonts w:hAnsi="宋体"/>
                <w:sz w:val="24"/>
                <w:szCs w:val="24"/>
              </w:rPr>
            </w:pPr>
            <w:r>
              <w:rPr>
                <w:rFonts w:hint="eastAsia" w:hAnsi="宋体"/>
                <w:sz w:val="24"/>
                <w:szCs w:val="24"/>
              </w:rPr>
              <w:t>2、原料制备</w:t>
            </w:r>
          </w:p>
          <w:p>
            <w:pPr>
              <w:spacing w:line="360" w:lineRule="auto"/>
              <w:ind w:firstLine="480" w:firstLineChars="200"/>
              <w:rPr>
                <w:sz w:val="24"/>
                <w:szCs w:val="24"/>
              </w:rPr>
            </w:pPr>
            <w:r>
              <w:rPr>
                <w:rFonts w:hint="eastAsia"/>
                <w:sz w:val="24"/>
                <w:szCs w:val="24"/>
              </w:rPr>
              <w:t>粘土先采用轮碾机粗碎，再经辊式粗碎机进行中碎，再经辊式细碎机细碎 ，一般要求粉碎后的原料最大颗粒不能大于2mm，并且要有合理的级配，颗粒满足工艺要求。</w:t>
            </w:r>
          </w:p>
          <w:p>
            <w:pPr>
              <w:spacing w:line="360" w:lineRule="auto"/>
              <w:ind w:firstLine="480" w:firstLineChars="200"/>
              <w:rPr>
                <w:rFonts w:hAnsi="宋体"/>
                <w:sz w:val="24"/>
                <w:szCs w:val="24"/>
              </w:rPr>
            </w:pPr>
            <w:r>
              <w:rPr>
                <w:rFonts w:hint="eastAsia" w:hAnsi="宋体"/>
                <w:sz w:val="24"/>
                <w:szCs w:val="24"/>
              </w:rPr>
              <w:t>合格的物料进入搅拌机进行搅拌、加水处理后，用胶带输送机送到陈化库中，陈化库储存时间大于72小时，使原料中的水分有足够的时间进行充分迁移，进一步提高原料的均匀性，进而改善泥料的物理性质，保证成型、干燥和焙烧等工序的技术要求。经过陈化后，物料中的水分均化程度提高，颗粒表面和内部性能更加均匀，颗粒容易疏解，物料的成型形得到提高。</w:t>
            </w:r>
          </w:p>
          <w:p>
            <w:pPr>
              <w:spacing w:line="360" w:lineRule="auto"/>
              <w:ind w:firstLine="480" w:firstLineChars="200"/>
              <w:rPr>
                <w:rFonts w:hAnsi="宋体"/>
                <w:sz w:val="24"/>
                <w:szCs w:val="24"/>
              </w:rPr>
            </w:pPr>
            <w:r>
              <w:rPr>
                <w:rFonts w:hint="eastAsia" w:hAnsi="宋体"/>
                <w:sz w:val="24"/>
                <w:szCs w:val="24"/>
              </w:rPr>
              <w:t>项目粉碎车间主要采用粉碎机对粘土矿进行粉碎，粉碎过程中会产生粉尘及噪声。搅拌过程主要环境污染是搅拌噪声。</w:t>
            </w:r>
          </w:p>
          <w:p>
            <w:pPr>
              <w:spacing w:line="360" w:lineRule="auto"/>
              <w:ind w:firstLine="480" w:firstLineChars="200"/>
              <w:rPr>
                <w:rFonts w:hAnsi="宋体"/>
                <w:sz w:val="24"/>
                <w:szCs w:val="24"/>
              </w:rPr>
            </w:pPr>
            <w:r>
              <w:rPr>
                <w:rFonts w:hint="eastAsia" w:hAnsi="宋体"/>
                <w:sz w:val="24"/>
                <w:szCs w:val="24"/>
              </w:rPr>
              <w:t>3、真空挤出、成坯</w:t>
            </w:r>
          </w:p>
          <w:p>
            <w:pPr>
              <w:spacing w:line="360" w:lineRule="auto"/>
              <w:ind w:firstLine="480" w:firstLineChars="200"/>
              <w:rPr>
                <w:sz w:val="24"/>
                <w:szCs w:val="24"/>
              </w:rPr>
            </w:pPr>
            <w:r>
              <w:rPr>
                <w:rFonts w:hint="eastAsia"/>
                <w:sz w:val="24"/>
                <w:szCs w:val="24"/>
              </w:rPr>
              <w:t>陈化后的物料通过取料机及输送系统输送到成型车间，经进一步搅拌、破碎后，由真空挤出机挤出成型。</w:t>
            </w:r>
          </w:p>
          <w:p>
            <w:pPr>
              <w:spacing w:line="360" w:lineRule="auto"/>
              <w:ind w:firstLine="480" w:firstLineChars="200"/>
              <w:rPr>
                <w:sz w:val="24"/>
                <w:szCs w:val="24"/>
              </w:rPr>
            </w:pPr>
            <w:r>
              <w:rPr>
                <w:rFonts w:hint="eastAsia"/>
                <w:sz w:val="24"/>
                <w:szCs w:val="24"/>
              </w:rPr>
              <w:t>4、切坯、码坯</w:t>
            </w:r>
          </w:p>
          <w:p>
            <w:pPr>
              <w:spacing w:line="360" w:lineRule="auto"/>
              <w:ind w:firstLine="480" w:firstLineChars="200"/>
              <w:rPr>
                <w:sz w:val="24"/>
                <w:szCs w:val="24"/>
              </w:rPr>
            </w:pPr>
            <w:r>
              <w:rPr>
                <w:rFonts w:hint="eastAsia"/>
                <w:sz w:val="24"/>
                <w:szCs w:val="24"/>
              </w:rPr>
              <w:t>挤出成型后的泥条经自动切条机、自动切坯机切割成所需尺寸的砖坯。</w:t>
            </w:r>
          </w:p>
          <w:p>
            <w:pPr>
              <w:spacing w:line="360" w:lineRule="auto"/>
              <w:ind w:firstLine="480" w:firstLineChars="200"/>
              <w:rPr>
                <w:sz w:val="24"/>
                <w:szCs w:val="24"/>
              </w:rPr>
            </w:pPr>
            <w:r>
              <w:rPr>
                <w:rFonts w:hint="eastAsia" w:hAnsi="宋体"/>
                <w:sz w:val="24"/>
                <w:szCs w:val="24"/>
              </w:rPr>
              <w:t>坯含水率较高，直接烧结，会造成瓦坯开裂，因此，本项目干燥车间利用隧道窑余热对坯进行烘干。干燥车间</w:t>
            </w:r>
            <w:r>
              <w:rPr>
                <w:rFonts w:hAnsi="宋体"/>
                <w:sz w:val="24"/>
                <w:szCs w:val="24"/>
              </w:rPr>
              <w:t>温度</w:t>
            </w:r>
            <w:r>
              <w:rPr>
                <w:rFonts w:hint="eastAsia" w:hAnsi="宋体"/>
                <w:sz w:val="24"/>
                <w:szCs w:val="24"/>
              </w:rPr>
              <w:t>缓慢升温</w:t>
            </w:r>
            <w:r>
              <w:rPr>
                <w:rFonts w:hAnsi="宋体"/>
                <w:sz w:val="24"/>
                <w:szCs w:val="24"/>
              </w:rPr>
              <w:t>，坯体最初处于烘烧阶段，排出坯体内残余水分，坯体不发生化学变化，只发生体积收缩、强度、孔隙率增加等物理变化。</w:t>
            </w:r>
            <w:r>
              <w:rPr>
                <w:rFonts w:hint="eastAsia" w:hAnsi="宋体"/>
                <w:sz w:val="24"/>
                <w:szCs w:val="24"/>
              </w:rPr>
              <w:t>干燥26h后，坯</w:t>
            </w:r>
            <w:r>
              <w:rPr>
                <w:rFonts w:hint="eastAsia"/>
                <w:sz w:val="24"/>
                <w:szCs w:val="24"/>
              </w:rPr>
              <w:t>由运坯输送带运至码车位，采用自动上架系统将坯码至干燥车，运送至干燥室。经干燥后，通过输送系统将干坯码放到窑车上。</w:t>
            </w:r>
          </w:p>
          <w:p>
            <w:pPr>
              <w:spacing w:line="360" w:lineRule="auto"/>
              <w:ind w:firstLine="480" w:firstLineChars="200"/>
              <w:rPr>
                <w:sz w:val="24"/>
                <w:szCs w:val="24"/>
              </w:rPr>
            </w:pPr>
            <w:r>
              <w:rPr>
                <w:rFonts w:hint="eastAsia"/>
                <w:sz w:val="24"/>
                <w:szCs w:val="24"/>
              </w:rPr>
              <w:t>本项目采用隧道式干燥室，隧道窑高温余热及低温余热经送热风机送至旋风器，旋风器将热风均匀的送入干燥室内，干燥室内潮气由排潮风机排除，确保坯体干燥质量。</w:t>
            </w:r>
          </w:p>
          <w:p>
            <w:pPr>
              <w:spacing w:line="360" w:lineRule="auto"/>
              <w:ind w:firstLine="480" w:firstLineChars="200"/>
              <w:rPr>
                <w:sz w:val="24"/>
              </w:rPr>
            </w:pPr>
            <w:r>
              <w:rPr>
                <w:rFonts w:hint="eastAsia"/>
                <w:sz w:val="24"/>
              </w:rPr>
              <w:t>干燥室主要技术性能见表</w:t>
            </w:r>
            <w:r>
              <w:rPr>
                <w:sz w:val="24"/>
              </w:rPr>
              <w:t>2</w:t>
            </w:r>
            <w:r>
              <w:rPr>
                <w:rFonts w:hint="eastAsia"/>
                <w:sz w:val="24"/>
              </w:rPr>
              <w:t>6。</w:t>
            </w:r>
          </w:p>
          <w:p>
            <w:pPr>
              <w:jc w:val="center"/>
              <w:rPr>
                <w:b/>
              </w:rPr>
            </w:pPr>
            <w:r>
              <w:rPr>
                <w:rFonts w:hAnsi="宋体"/>
                <w:b/>
              </w:rPr>
              <w:t>表2</w:t>
            </w:r>
            <w:r>
              <w:rPr>
                <w:rFonts w:hint="eastAsia" w:hAnsi="宋体"/>
                <w:b/>
              </w:rPr>
              <w:t>6</w:t>
            </w:r>
            <w:r>
              <w:rPr>
                <w:b/>
              </w:rPr>
              <w:t xml:space="preserve">   </w:t>
            </w:r>
            <w:r>
              <w:rPr>
                <w:rFonts w:hint="eastAsia"/>
                <w:b/>
              </w:rPr>
              <w:t>干燥室</w:t>
            </w:r>
            <w:r>
              <w:rPr>
                <w:rFonts w:hint="eastAsia" w:hAnsi="宋体"/>
                <w:b/>
              </w:rPr>
              <w:t>主要技术性能</w:t>
            </w:r>
          </w:p>
          <w:tbl>
            <w:tblPr>
              <w:tblStyle w:val="24"/>
              <w:tblW w:w="865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3"/>
              <w:gridCol w:w="2361"/>
              <w:gridCol w:w="1826"/>
              <w:gridCol w:w="34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szCs w:val="21"/>
                    </w:rPr>
                  </w:pPr>
                  <w:r>
                    <w:rPr>
                      <w:rFonts w:hint="eastAsia"/>
                      <w:szCs w:val="21"/>
                    </w:rPr>
                    <w:t>序号</w:t>
                  </w:r>
                </w:p>
              </w:tc>
              <w:tc>
                <w:tcPr>
                  <w:tcW w:w="2361" w:type="dxa"/>
                  <w:vAlign w:val="center"/>
                </w:tcPr>
                <w:p>
                  <w:pPr>
                    <w:jc w:val="center"/>
                    <w:rPr>
                      <w:szCs w:val="21"/>
                    </w:rPr>
                  </w:pPr>
                  <w:r>
                    <w:rPr>
                      <w:rFonts w:hint="eastAsia"/>
                      <w:szCs w:val="21"/>
                    </w:rPr>
                    <w:t>名称</w:t>
                  </w:r>
                </w:p>
              </w:tc>
              <w:tc>
                <w:tcPr>
                  <w:tcW w:w="1826" w:type="dxa"/>
                  <w:vAlign w:val="center"/>
                </w:tcPr>
                <w:p>
                  <w:pPr>
                    <w:jc w:val="center"/>
                    <w:rPr>
                      <w:szCs w:val="21"/>
                    </w:rPr>
                  </w:pPr>
                  <w:r>
                    <w:rPr>
                      <w:rFonts w:hint="eastAsia"/>
                      <w:szCs w:val="21"/>
                    </w:rPr>
                    <w:t>单位</w:t>
                  </w:r>
                </w:p>
              </w:tc>
              <w:tc>
                <w:tcPr>
                  <w:tcW w:w="3493" w:type="dxa"/>
                  <w:vAlign w:val="center"/>
                </w:tcPr>
                <w:p>
                  <w:pPr>
                    <w:jc w:val="center"/>
                    <w:rPr>
                      <w:szCs w:val="21"/>
                    </w:rPr>
                  </w:pPr>
                  <w:r>
                    <w:rPr>
                      <w:rFonts w:hint="eastAsia"/>
                      <w:szCs w:val="21"/>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szCs w:val="21"/>
                    </w:rPr>
                  </w:pPr>
                  <w:r>
                    <w:rPr>
                      <w:rFonts w:hint="eastAsia"/>
                      <w:szCs w:val="21"/>
                    </w:rPr>
                    <w:t>1</w:t>
                  </w:r>
                </w:p>
              </w:tc>
              <w:tc>
                <w:tcPr>
                  <w:tcW w:w="2361" w:type="dxa"/>
                  <w:vAlign w:val="center"/>
                </w:tcPr>
                <w:p>
                  <w:pPr>
                    <w:jc w:val="center"/>
                    <w:rPr>
                      <w:szCs w:val="21"/>
                    </w:rPr>
                  </w:pPr>
                  <w:r>
                    <w:rPr>
                      <w:rFonts w:hint="eastAsia"/>
                      <w:szCs w:val="21"/>
                    </w:rPr>
                    <w:t>窑炉长度</w:t>
                  </w:r>
                </w:p>
              </w:tc>
              <w:tc>
                <w:tcPr>
                  <w:tcW w:w="1826" w:type="dxa"/>
                  <w:vAlign w:val="center"/>
                </w:tcPr>
                <w:p>
                  <w:pPr>
                    <w:jc w:val="center"/>
                    <w:rPr>
                      <w:szCs w:val="21"/>
                    </w:rPr>
                  </w:pPr>
                  <w:r>
                    <w:rPr>
                      <w:rFonts w:hint="eastAsia"/>
                      <w:szCs w:val="21"/>
                    </w:rPr>
                    <w:t>m</w:t>
                  </w:r>
                </w:p>
              </w:tc>
              <w:tc>
                <w:tcPr>
                  <w:tcW w:w="3493" w:type="dxa"/>
                  <w:vAlign w:val="center"/>
                </w:tcPr>
                <w:p>
                  <w:pPr>
                    <w:jc w:val="center"/>
                    <w:rPr>
                      <w:szCs w:val="21"/>
                    </w:rPr>
                  </w:pPr>
                  <w:r>
                    <w:rPr>
                      <w:rFonts w:hint="eastAsia"/>
                      <w:szCs w:val="21"/>
                    </w:rPr>
                    <w:t>82.83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szCs w:val="21"/>
                    </w:rPr>
                  </w:pPr>
                  <w:r>
                    <w:rPr>
                      <w:rFonts w:hint="eastAsia"/>
                      <w:szCs w:val="21"/>
                    </w:rPr>
                    <w:t>2</w:t>
                  </w:r>
                </w:p>
              </w:tc>
              <w:tc>
                <w:tcPr>
                  <w:tcW w:w="2361" w:type="dxa"/>
                  <w:vAlign w:val="center"/>
                </w:tcPr>
                <w:p>
                  <w:pPr>
                    <w:jc w:val="center"/>
                    <w:rPr>
                      <w:szCs w:val="21"/>
                    </w:rPr>
                  </w:pPr>
                  <w:r>
                    <w:rPr>
                      <w:rFonts w:hint="eastAsia"/>
                      <w:szCs w:val="21"/>
                    </w:rPr>
                    <w:t>窑炉内宽</w:t>
                  </w:r>
                </w:p>
              </w:tc>
              <w:tc>
                <w:tcPr>
                  <w:tcW w:w="1826" w:type="dxa"/>
                  <w:vAlign w:val="center"/>
                </w:tcPr>
                <w:p>
                  <w:pPr>
                    <w:jc w:val="center"/>
                    <w:rPr>
                      <w:szCs w:val="21"/>
                    </w:rPr>
                  </w:pPr>
                  <w:r>
                    <w:rPr>
                      <w:rFonts w:hint="eastAsia"/>
                      <w:szCs w:val="21"/>
                    </w:rPr>
                    <w:t>m</w:t>
                  </w:r>
                </w:p>
              </w:tc>
              <w:tc>
                <w:tcPr>
                  <w:tcW w:w="3493" w:type="dxa"/>
                  <w:vAlign w:val="center"/>
                </w:tcPr>
                <w:p>
                  <w:pPr>
                    <w:jc w:val="center"/>
                    <w:rPr>
                      <w:szCs w:val="21"/>
                    </w:rPr>
                  </w:pPr>
                  <w:r>
                    <w:rPr>
                      <w:rFonts w:hint="eastAsia"/>
                      <w:szCs w:val="21"/>
                    </w:rPr>
                    <w:t>22.62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szCs w:val="21"/>
                    </w:rPr>
                  </w:pPr>
                  <w:r>
                    <w:rPr>
                      <w:rFonts w:hint="eastAsia"/>
                      <w:szCs w:val="21"/>
                    </w:rPr>
                    <w:t>3</w:t>
                  </w:r>
                </w:p>
              </w:tc>
              <w:tc>
                <w:tcPr>
                  <w:tcW w:w="2361" w:type="dxa"/>
                  <w:vAlign w:val="center"/>
                </w:tcPr>
                <w:p>
                  <w:pPr>
                    <w:jc w:val="center"/>
                    <w:rPr>
                      <w:szCs w:val="21"/>
                    </w:rPr>
                  </w:pPr>
                  <w:r>
                    <w:rPr>
                      <w:rFonts w:hint="eastAsia"/>
                      <w:szCs w:val="21"/>
                    </w:rPr>
                    <w:t>内部高度</w:t>
                  </w:r>
                </w:p>
              </w:tc>
              <w:tc>
                <w:tcPr>
                  <w:tcW w:w="1826" w:type="dxa"/>
                  <w:vAlign w:val="center"/>
                </w:tcPr>
                <w:p>
                  <w:pPr>
                    <w:jc w:val="center"/>
                    <w:rPr>
                      <w:szCs w:val="21"/>
                    </w:rPr>
                  </w:pPr>
                  <w:r>
                    <w:rPr>
                      <w:rFonts w:hint="eastAsia"/>
                      <w:szCs w:val="21"/>
                    </w:rPr>
                    <w:t>m</w:t>
                  </w:r>
                </w:p>
              </w:tc>
              <w:tc>
                <w:tcPr>
                  <w:tcW w:w="3493" w:type="dxa"/>
                  <w:vAlign w:val="center"/>
                </w:tcPr>
                <w:p>
                  <w:pPr>
                    <w:jc w:val="center"/>
                    <w:rPr>
                      <w:szCs w:val="21"/>
                    </w:rPr>
                  </w:pPr>
                  <w:r>
                    <w:rPr>
                      <w:rFonts w:hint="eastAsia"/>
                      <w:szCs w:val="21"/>
                    </w:rPr>
                    <w:t>4.595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szCs w:val="21"/>
                    </w:rPr>
                  </w:pPr>
                  <w:r>
                    <w:rPr>
                      <w:rFonts w:hint="eastAsia"/>
                      <w:szCs w:val="21"/>
                    </w:rPr>
                    <w:t>4</w:t>
                  </w:r>
                </w:p>
              </w:tc>
              <w:tc>
                <w:tcPr>
                  <w:tcW w:w="2361" w:type="dxa"/>
                  <w:vAlign w:val="center"/>
                </w:tcPr>
                <w:p>
                  <w:pPr>
                    <w:jc w:val="center"/>
                    <w:rPr>
                      <w:szCs w:val="21"/>
                    </w:rPr>
                  </w:pPr>
                  <w:r>
                    <w:rPr>
                      <w:rFonts w:hint="eastAsia"/>
                      <w:szCs w:val="21"/>
                    </w:rPr>
                    <w:t>干燥窑外形</w:t>
                  </w:r>
                </w:p>
              </w:tc>
              <w:tc>
                <w:tcPr>
                  <w:tcW w:w="1826" w:type="dxa"/>
                  <w:vAlign w:val="center"/>
                </w:tcPr>
                <w:p>
                  <w:pPr>
                    <w:jc w:val="center"/>
                    <w:rPr>
                      <w:szCs w:val="21"/>
                    </w:rPr>
                  </w:pPr>
                  <w:r>
                    <w:rPr>
                      <w:rFonts w:hint="eastAsia"/>
                      <w:szCs w:val="21"/>
                    </w:rPr>
                    <w:t>m</w:t>
                  </w:r>
                </w:p>
              </w:tc>
              <w:tc>
                <w:tcPr>
                  <w:tcW w:w="3493" w:type="dxa"/>
                  <w:vAlign w:val="center"/>
                </w:tcPr>
                <w:p>
                  <w:pPr>
                    <w:jc w:val="center"/>
                    <w:rPr>
                      <w:szCs w:val="21"/>
                    </w:rPr>
                  </w:pPr>
                  <w:r>
                    <w:rPr>
                      <w:rFonts w:hint="eastAsia"/>
                      <w:szCs w:val="21"/>
                    </w:rPr>
                    <w:t>82.83×22.62×4.845m(长×宽×高)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szCs w:val="21"/>
                    </w:rPr>
                  </w:pPr>
                  <w:r>
                    <w:rPr>
                      <w:rFonts w:hint="eastAsia"/>
                      <w:szCs w:val="21"/>
                    </w:rPr>
                    <w:t>5</w:t>
                  </w:r>
                </w:p>
              </w:tc>
              <w:tc>
                <w:tcPr>
                  <w:tcW w:w="2361" w:type="dxa"/>
                  <w:vAlign w:val="center"/>
                </w:tcPr>
                <w:p>
                  <w:pPr>
                    <w:jc w:val="center"/>
                    <w:rPr>
                      <w:szCs w:val="21"/>
                    </w:rPr>
                  </w:pPr>
                  <w:r>
                    <w:rPr>
                      <w:rFonts w:hint="eastAsia"/>
                      <w:szCs w:val="21"/>
                    </w:rPr>
                    <w:t>干燥车规格</w:t>
                  </w:r>
                </w:p>
              </w:tc>
              <w:tc>
                <w:tcPr>
                  <w:tcW w:w="1826" w:type="dxa"/>
                  <w:vAlign w:val="center"/>
                </w:tcPr>
                <w:p>
                  <w:pPr>
                    <w:jc w:val="center"/>
                    <w:rPr>
                      <w:szCs w:val="21"/>
                    </w:rPr>
                  </w:pPr>
                  <w:r>
                    <w:rPr>
                      <w:rFonts w:hint="eastAsia"/>
                      <w:szCs w:val="21"/>
                    </w:rPr>
                    <w:t>mm</w:t>
                  </w:r>
                </w:p>
              </w:tc>
              <w:tc>
                <w:tcPr>
                  <w:tcW w:w="3493" w:type="dxa"/>
                  <w:vAlign w:val="center"/>
                </w:tcPr>
                <w:p>
                  <w:pPr>
                    <w:jc w:val="center"/>
                    <w:rPr>
                      <w:szCs w:val="21"/>
                    </w:rPr>
                  </w:pPr>
                  <w:r>
                    <w:rPr>
                      <w:szCs w:val="21"/>
                    </w:rPr>
                    <w:t>2920x2600x4075mm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szCs w:val="21"/>
                    </w:rPr>
                  </w:pPr>
                  <w:r>
                    <w:rPr>
                      <w:rFonts w:hint="eastAsia"/>
                      <w:szCs w:val="21"/>
                    </w:rPr>
                    <w:t>6</w:t>
                  </w:r>
                </w:p>
              </w:tc>
              <w:tc>
                <w:tcPr>
                  <w:tcW w:w="2361" w:type="dxa"/>
                  <w:vAlign w:val="center"/>
                </w:tcPr>
                <w:p>
                  <w:pPr>
                    <w:jc w:val="center"/>
                    <w:rPr>
                      <w:szCs w:val="21"/>
                    </w:rPr>
                  </w:pPr>
                  <w:r>
                    <w:rPr>
                      <w:rFonts w:hint="eastAsia"/>
                      <w:szCs w:val="21"/>
                    </w:rPr>
                    <w:t>每车装载量</w:t>
                  </w:r>
                </w:p>
              </w:tc>
              <w:tc>
                <w:tcPr>
                  <w:tcW w:w="1826" w:type="dxa"/>
                  <w:vAlign w:val="center"/>
                </w:tcPr>
                <w:p>
                  <w:pPr>
                    <w:jc w:val="center"/>
                    <w:rPr>
                      <w:szCs w:val="21"/>
                    </w:rPr>
                  </w:pPr>
                  <w:r>
                    <w:rPr>
                      <w:rFonts w:hint="eastAsia"/>
                      <w:szCs w:val="21"/>
                    </w:rPr>
                    <w:t>块</w:t>
                  </w:r>
                </w:p>
              </w:tc>
              <w:tc>
                <w:tcPr>
                  <w:tcW w:w="3493" w:type="dxa"/>
                  <w:vAlign w:val="center"/>
                </w:tcPr>
                <w:p>
                  <w:pPr>
                    <w:jc w:val="center"/>
                    <w:rPr>
                      <w:szCs w:val="21"/>
                    </w:rPr>
                  </w:pPr>
                  <w:r>
                    <w:rPr>
                      <w:rFonts w:hint="eastAsia"/>
                      <w:szCs w:val="21"/>
                    </w:rPr>
                    <w:t>600块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szCs w:val="21"/>
                    </w:rPr>
                  </w:pPr>
                  <w:r>
                    <w:rPr>
                      <w:rFonts w:hint="eastAsia"/>
                      <w:szCs w:val="21"/>
                    </w:rPr>
                    <w:t>7</w:t>
                  </w:r>
                </w:p>
              </w:tc>
              <w:tc>
                <w:tcPr>
                  <w:tcW w:w="2361" w:type="dxa"/>
                  <w:vAlign w:val="center"/>
                </w:tcPr>
                <w:p>
                  <w:pPr>
                    <w:jc w:val="center"/>
                    <w:rPr>
                      <w:szCs w:val="21"/>
                    </w:rPr>
                  </w:pPr>
                  <w:r>
                    <w:rPr>
                      <w:rFonts w:hint="eastAsia"/>
                      <w:szCs w:val="21"/>
                    </w:rPr>
                    <w:t>送热温度</w:t>
                  </w:r>
                </w:p>
              </w:tc>
              <w:tc>
                <w:tcPr>
                  <w:tcW w:w="1826" w:type="dxa"/>
                  <w:vAlign w:val="center"/>
                </w:tcPr>
                <w:p>
                  <w:pPr>
                    <w:jc w:val="center"/>
                    <w:rPr>
                      <w:szCs w:val="21"/>
                    </w:rPr>
                  </w:pPr>
                  <w:r>
                    <w:rPr>
                      <w:rFonts w:hint="eastAsia"/>
                      <w:szCs w:val="21"/>
                    </w:rPr>
                    <w:t>℃</w:t>
                  </w:r>
                </w:p>
              </w:tc>
              <w:tc>
                <w:tcPr>
                  <w:tcW w:w="3493" w:type="dxa"/>
                  <w:vAlign w:val="center"/>
                </w:tcPr>
                <w:p>
                  <w:pPr>
                    <w:jc w:val="center"/>
                    <w:rPr>
                      <w:szCs w:val="21"/>
                    </w:rPr>
                  </w:pPr>
                  <w:r>
                    <w:rPr>
                      <w:rFonts w:hint="eastAsia"/>
                      <w:szCs w:val="21"/>
                    </w:rPr>
                    <w:t>110~130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szCs w:val="21"/>
                    </w:rPr>
                  </w:pPr>
                  <w:r>
                    <w:rPr>
                      <w:rFonts w:hint="eastAsia"/>
                      <w:szCs w:val="21"/>
                    </w:rPr>
                    <w:t xml:space="preserve">8 </w:t>
                  </w:r>
                </w:p>
              </w:tc>
              <w:tc>
                <w:tcPr>
                  <w:tcW w:w="2361" w:type="dxa"/>
                  <w:vAlign w:val="center"/>
                </w:tcPr>
                <w:p>
                  <w:pPr>
                    <w:jc w:val="center"/>
                    <w:rPr>
                      <w:szCs w:val="21"/>
                    </w:rPr>
                  </w:pPr>
                  <w:r>
                    <w:rPr>
                      <w:rFonts w:hint="eastAsia"/>
                      <w:szCs w:val="21"/>
                    </w:rPr>
                    <w:t>排潮温度</w:t>
                  </w:r>
                </w:p>
              </w:tc>
              <w:tc>
                <w:tcPr>
                  <w:tcW w:w="1826" w:type="dxa"/>
                  <w:vAlign w:val="center"/>
                </w:tcPr>
                <w:p>
                  <w:pPr>
                    <w:jc w:val="center"/>
                    <w:rPr>
                      <w:szCs w:val="21"/>
                    </w:rPr>
                  </w:pPr>
                  <w:r>
                    <w:rPr>
                      <w:rFonts w:hint="eastAsia"/>
                      <w:szCs w:val="21"/>
                    </w:rPr>
                    <w:t>℃</w:t>
                  </w:r>
                </w:p>
              </w:tc>
              <w:tc>
                <w:tcPr>
                  <w:tcW w:w="3493" w:type="dxa"/>
                  <w:vAlign w:val="center"/>
                </w:tcPr>
                <w:p>
                  <w:pPr>
                    <w:jc w:val="center"/>
                    <w:rPr>
                      <w:szCs w:val="21"/>
                    </w:rPr>
                  </w:pPr>
                  <w:r>
                    <w:rPr>
                      <w:rFonts w:hint="eastAsia"/>
                      <w:szCs w:val="21"/>
                    </w:rPr>
                    <w:t>35~45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szCs w:val="21"/>
                    </w:rPr>
                  </w:pPr>
                  <w:r>
                    <w:rPr>
                      <w:rFonts w:hint="eastAsia"/>
                      <w:szCs w:val="21"/>
                    </w:rPr>
                    <w:t>9</w:t>
                  </w:r>
                </w:p>
              </w:tc>
              <w:tc>
                <w:tcPr>
                  <w:tcW w:w="2361" w:type="dxa"/>
                  <w:vAlign w:val="center"/>
                </w:tcPr>
                <w:p>
                  <w:pPr>
                    <w:jc w:val="center"/>
                    <w:rPr>
                      <w:szCs w:val="21"/>
                    </w:rPr>
                  </w:pPr>
                  <w:r>
                    <w:rPr>
                      <w:rFonts w:hint="eastAsia"/>
                      <w:szCs w:val="21"/>
                    </w:rPr>
                    <w:t>排潮湿度</w:t>
                  </w:r>
                </w:p>
              </w:tc>
              <w:tc>
                <w:tcPr>
                  <w:tcW w:w="1826" w:type="dxa"/>
                  <w:vAlign w:val="center"/>
                </w:tcPr>
                <w:p>
                  <w:pPr>
                    <w:jc w:val="center"/>
                    <w:rPr>
                      <w:szCs w:val="21"/>
                    </w:rPr>
                  </w:pPr>
                  <w:r>
                    <w:rPr>
                      <w:rFonts w:hint="eastAsia"/>
                      <w:szCs w:val="21"/>
                    </w:rPr>
                    <w:t>%</w:t>
                  </w:r>
                </w:p>
              </w:tc>
              <w:tc>
                <w:tcPr>
                  <w:tcW w:w="3493" w:type="dxa"/>
                  <w:vAlign w:val="center"/>
                </w:tcPr>
                <w:p>
                  <w:pPr>
                    <w:jc w:val="center"/>
                    <w:rPr>
                      <w:szCs w:val="21"/>
                    </w:rPr>
                  </w:pPr>
                  <w:r>
                    <w:rPr>
                      <w:rFonts w:hint="eastAsia"/>
                      <w:szCs w:val="21"/>
                    </w:rPr>
                    <w:t>75~90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szCs w:val="21"/>
                    </w:rPr>
                  </w:pPr>
                  <w:r>
                    <w:rPr>
                      <w:rFonts w:hint="eastAsia"/>
                      <w:szCs w:val="21"/>
                    </w:rPr>
                    <w:t>10</w:t>
                  </w:r>
                </w:p>
              </w:tc>
              <w:tc>
                <w:tcPr>
                  <w:tcW w:w="2361" w:type="dxa"/>
                  <w:vAlign w:val="center"/>
                </w:tcPr>
                <w:p>
                  <w:pPr>
                    <w:jc w:val="center"/>
                    <w:rPr>
                      <w:szCs w:val="21"/>
                    </w:rPr>
                  </w:pPr>
                  <w:r>
                    <w:rPr>
                      <w:rFonts w:hint="eastAsia"/>
                      <w:szCs w:val="21"/>
                    </w:rPr>
                    <w:t>干燥周期</w:t>
                  </w:r>
                </w:p>
              </w:tc>
              <w:tc>
                <w:tcPr>
                  <w:tcW w:w="1826" w:type="dxa"/>
                  <w:vAlign w:val="center"/>
                </w:tcPr>
                <w:p>
                  <w:pPr>
                    <w:jc w:val="center"/>
                    <w:rPr>
                      <w:szCs w:val="21"/>
                    </w:rPr>
                  </w:pPr>
                  <w:r>
                    <w:rPr>
                      <w:rFonts w:hint="eastAsia"/>
                      <w:szCs w:val="21"/>
                    </w:rPr>
                    <w:t>h</w:t>
                  </w:r>
                </w:p>
              </w:tc>
              <w:tc>
                <w:tcPr>
                  <w:tcW w:w="3493" w:type="dxa"/>
                  <w:vAlign w:val="center"/>
                </w:tcPr>
                <w:p>
                  <w:pPr>
                    <w:jc w:val="center"/>
                    <w:rPr>
                      <w:szCs w:val="21"/>
                    </w:rPr>
                  </w:pPr>
                  <w:r>
                    <w:rPr>
                      <w:rFonts w:hint="eastAsia"/>
                      <w:szCs w:val="21"/>
                    </w:rPr>
                    <w:t>43</w:t>
                  </w:r>
                </w:p>
              </w:tc>
            </w:tr>
          </w:tbl>
          <w:p>
            <w:pPr>
              <w:spacing w:line="360" w:lineRule="auto"/>
              <w:ind w:firstLine="480" w:firstLineChars="200"/>
              <w:rPr>
                <w:sz w:val="24"/>
                <w:szCs w:val="24"/>
              </w:rPr>
            </w:pPr>
            <w:r>
              <w:rPr>
                <w:rFonts w:hint="eastAsia"/>
                <w:sz w:val="24"/>
                <w:szCs w:val="24"/>
              </w:rPr>
              <w:t>切坯工序产生的少量废坯送回至成型车间，经</w:t>
            </w:r>
            <w:r>
              <w:rPr>
                <w:rFonts w:hint="eastAsia" w:hAnsi="宋体"/>
                <w:sz w:val="24"/>
                <w:szCs w:val="24"/>
              </w:rPr>
              <w:t>破碎机、处理后，</w:t>
            </w:r>
            <w:r>
              <w:rPr>
                <w:rFonts w:hint="eastAsia"/>
                <w:sz w:val="24"/>
                <w:szCs w:val="24"/>
              </w:rPr>
              <w:t>重新回用于生产，对环境的主要影响为设备运行噪声。</w:t>
            </w:r>
          </w:p>
          <w:p>
            <w:pPr>
              <w:spacing w:line="360" w:lineRule="auto"/>
              <w:ind w:firstLine="480" w:firstLineChars="200"/>
              <w:rPr>
                <w:rFonts w:hAnsi="宋体"/>
                <w:sz w:val="24"/>
                <w:szCs w:val="24"/>
              </w:rPr>
            </w:pPr>
            <w:r>
              <w:rPr>
                <w:rFonts w:hint="eastAsia" w:hAnsi="宋体"/>
                <w:sz w:val="24"/>
                <w:szCs w:val="24"/>
              </w:rPr>
              <w:t>5、焙烧</w:t>
            </w:r>
          </w:p>
          <w:p>
            <w:pPr>
              <w:spacing w:line="360" w:lineRule="auto"/>
              <w:ind w:firstLine="480" w:firstLineChars="200"/>
              <w:rPr>
                <w:rFonts w:hAnsi="宋体"/>
                <w:color w:val="0070C0"/>
                <w:sz w:val="24"/>
                <w:szCs w:val="24"/>
              </w:rPr>
            </w:pPr>
            <w:r>
              <w:rPr>
                <w:rFonts w:hint="eastAsia"/>
                <w:color w:val="0070C0"/>
                <w:sz w:val="24"/>
                <w:szCs w:val="24"/>
              </w:rPr>
              <w:t>干坯通过窑车在隧道窑内焙烧。</w:t>
            </w:r>
            <w:r>
              <w:rPr>
                <w:rFonts w:hint="eastAsia" w:hAnsi="宋体"/>
                <w:color w:val="0070C0"/>
                <w:sz w:val="24"/>
                <w:szCs w:val="24"/>
              </w:rPr>
              <w:t>隧道窑</w:t>
            </w:r>
            <w:r>
              <w:rPr>
                <w:rFonts w:hAnsi="宋体"/>
                <w:color w:val="0070C0"/>
                <w:sz w:val="24"/>
                <w:szCs w:val="24"/>
              </w:rPr>
              <w:t>温度范围控制在</w:t>
            </w:r>
            <w:r>
              <w:rPr>
                <w:rFonts w:hint="eastAsia" w:hAnsi="宋体"/>
                <w:color w:val="0070C0"/>
                <w:sz w:val="24"/>
                <w:szCs w:val="24"/>
              </w:rPr>
              <w:t>950~</w:t>
            </w:r>
            <w:r>
              <w:rPr>
                <w:rFonts w:hint="eastAsia"/>
                <w:color w:val="0070C0"/>
                <w:sz w:val="24"/>
                <w:szCs w:val="24"/>
              </w:rPr>
              <w:t>1050</w:t>
            </w:r>
            <w:r>
              <w:rPr>
                <w:rFonts w:hAnsi="宋体"/>
                <w:color w:val="0070C0"/>
                <w:sz w:val="24"/>
                <w:szCs w:val="24"/>
              </w:rPr>
              <w:t>℃，</w:t>
            </w:r>
            <w:r>
              <w:rPr>
                <w:rFonts w:hint="eastAsia" w:hAnsi="宋体"/>
                <w:color w:val="0070C0"/>
                <w:sz w:val="24"/>
                <w:szCs w:val="24"/>
              </w:rPr>
              <w:t>进行氧化分解反应，坯体形成液相及固相熔融，并形成新的结晶相，此时坯体收缩，密度增大，强度增加，气孔率降低，制品在高温下烧结，形成严密的整体。烧制完成后，在隧道窑窑尾通过离心风机进行降温。</w:t>
            </w:r>
          </w:p>
          <w:p>
            <w:pPr>
              <w:spacing w:line="360" w:lineRule="auto"/>
              <w:ind w:firstLine="480" w:firstLineChars="200"/>
              <w:rPr>
                <w:color w:val="0070C0"/>
                <w:sz w:val="24"/>
              </w:rPr>
            </w:pPr>
            <w:r>
              <w:rPr>
                <w:rFonts w:hint="eastAsia"/>
                <w:color w:val="0070C0"/>
                <w:sz w:val="24"/>
              </w:rPr>
              <w:t>本项目采用先进的高效节能大断面隧道窑，提高产品合格率，减少热损失，降低能耗。其中，隧道窑顶部设计成平吊顶结构，顶板上有保温盒密封层，保温层由耐火纤维及岩棉毡组成，吊顶板采用耐火轻质板，使顶面散热减少至最小。隧道窑采用二次进风技术，不但可以搅动气体，使之形成湍流，促使窑的同一横断面温度趋于均匀一致，而且可以促使火前进，达到提高质量，减少制品热耗的目的。</w:t>
            </w:r>
          </w:p>
          <w:p>
            <w:pPr>
              <w:spacing w:line="360" w:lineRule="auto"/>
              <w:ind w:firstLine="480" w:firstLineChars="200"/>
              <w:rPr>
                <w:rFonts w:hAnsi="宋体"/>
                <w:color w:val="0070C0"/>
                <w:sz w:val="24"/>
                <w:szCs w:val="24"/>
              </w:rPr>
            </w:pPr>
            <w:r>
              <w:rPr>
                <w:rFonts w:hint="eastAsia" w:hAnsi="宋体"/>
                <w:color w:val="0070C0"/>
                <w:sz w:val="24"/>
                <w:szCs w:val="24"/>
              </w:rPr>
              <w:t>隧道窑包括冷却系统、余热利用系统、排烟系统、窑底压力平衡系统、窑车运转系统、燃烧系统及监测系统组成。</w:t>
            </w:r>
          </w:p>
          <w:p>
            <w:pPr>
              <w:spacing w:line="360" w:lineRule="auto"/>
              <w:ind w:firstLine="480" w:firstLineChars="200"/>
              <w:rPr>
                <w:rFonts w:hAnsi="宋体"/>
                <w:color w:val="0070C0"/>
                <w:sz w:val="24"/>
                <w:szCs w:val="24"/>
              </w:rPr>
            </w:pPr>
            <w:r>
              <w:rPr>
                <w:rFonts w:hint="eastAsia" w:hAnsi="宋体"/>
                <w:color w:val="0070C0"/>
                <w:sz w:val="24"/>
                <w:szCs w:val="24"/>
              </w:rPr>
              <w:t>（1</w:t>
            </w:r>
            <w:r>
              <w:rPr>
                <w:rFonts w:hAnsi="宋体"/>
                <w:color w:val="0070C0"/>
                <w:sz w:val="24"/>
                <w:szCs w:val="24"/>
              </w:rPr>
              <w:t>）</w:t>
            </w:r>
            <w:r>
              <w:rPr>
                <w:rFonts w:hint="eastAsia" w:hAnsi="宋体"/>
                <w:color w:val="0070C0"/>
                <w:sz w:val="24"/>
                <w:szCs w:val="24"/>
              </w:rPr>
              <w:t>冷却系统：整个隧道窑的冷却分为三部分，急冷段的三台急冷风机产生的急冷气幕有效阻隔了保温区域气流向冷却区域的逆向流动，使得排烟系统的调节更为流畅；急冷使得制品力学性能及制品表观质感得到大幅改善；急冷气体与热制品热交换后产生的高温气体便于高温余热的回收。缓慢冷却带不采取任何冷却措施。加速冷却带由位于窑尾的两台背压风机，鼓入冷风冷却成品，该系统由冷却风机、调节阀门、变频器、减震垫等组成，置于隧道窑冷却段。</w:t>
            </w:r>
          </w:p>
          <w:p>
            <w:pPr>
              <w:spacing w:line="360" w:lineRule="auto"/>
              <w:ind w:firstLine="480" w:firstLineChars="200"/>
              <w:rPr>
                <w:rFonts w:hAnsi="宋体"/>
                <w:color w:val="0070C0"/>
                <w:sz w:val="24"/>
                <w:szCs w:val="24"/>
              </w:rPr>
            </w:pPr>
            <w:r>
              <w:rPr>
                <w:rFonts w:hint="eastAsia" w:hAnsi="宋体"/>
                <w:color w:val="0070C0"/>
                <w:sz w:val="24"/>
                <w:szCs w:val="24"/>
              </w:rPr>
              <w:t>(2)余热利用系统：该系统利用的余热为隧道窑急冷段的高温余热与加速冷却带的低温余热共同组成。它们分别有单独的高温余热回收风机和低温余热回收风机进行热气体的回收，回收的热气体被全部送入隧道干燥室，作为干燥室的热源。该部分由风机、余热利用管道、冷空气进口、闸阀、变频器、减震垫等组成。设置冷空气进口、闸阀及变频器的目的是为了在余热风温较高时，能够从该进风口向管道内注入一定的冷风，调节管内气体的温度，控制送入干燥室的气体温度能够≤120℃。</w:t>
            </w:r>
          </w:p>
          <w:p>
            <w:pPr>
              <w:spacing w:line="360" w:lineRule="auto"/>
              <w:ind w:firstLine="480" w:firstLineChars="200"/>
              <w:rPr>
                <w:rFonts w:hAnsi="宋体"/>
                <w:color w:val="0070C0"/>
                <w:sz w:val="24"/>
                <w:szCs w:val="24"/>
              </w:rPr>
            </w:pPr>
            <w:r>
              <w:rPr>
                <w:rFonts w:hint="eastAsia" w:hAnsi="宋体"/>
                <w:color w:val="0070C0"/>
                <w:sz w:val="24"/>
                <w:szCs w:val="24"/>
              </w:rPr>
              <w:t>(3)排烟系统</w:t>
            </w:r>
          </w:p>
          <w:p>
            <w:pPr>
              <w:spacing w:line="360" w:lineRule="auto"/>
              <w:ind w:firstLine="480" w:firstLineChars="200"/>
              <w:rPr>
                <w:rFonts w:hAnsi="宋体"/>
                <w:color w:val="0070C0"/>
                <w:sz w:val="24"/>
                <w:szCs w:val="24"/>
              </w:rPr>
            </w:pPr>
            <w:r>
              <w:rPr>
                <w:rFonts w:hint="eastAsia" w:hAnsi="宋体"/>
                <w:color w:val="0070C0"/>
                <w:sz w:val="24"/>
                <w:szCs w:val="24"/>
              </w:rPr>
              <w:t>排烟系统由排烟风机、烟气抽出口等组成。通过控制排出烟气量的大小，可以改变窑内的压力曲线，从而改变窑内的温度曲线。同时，该系统可将窑内温度较低、含水量较高的废气排出窑外。</w:t>
            </w:r>
          </w:p>
          <w:p>
            <w:pPr>
              <w:spacing w:line="360" w:lineRule="auto"/>
              <w:ind w:firstLine="480" w:firstLineChars="200"/>
              <w:rPr>
                <w:rFonts w:hAnsi="宋体"/>
                <w:color w:val="0070C0"/>
                <w:sz w:val="24"/>
                <w:szCs w:val="24"/>
              </w:rPr>
            </w:pPr>
            <w:r>
              <w:rPr>
                <w:rFonts w:hint="eastAsia" w:hAnsi="宋体"/>
                <w:color w:val="0070C0"/>
                <w:sz w:val="24"/>
                <w:szCs w:val="24"/>
              </w:rPr>
              <w:t>(4)窑底压力平衡系统</w:t>
            </w:r>
          </w:p>
          <w:p>
            <w:pPr>
              <w:spacing w:line="360" w:lineRule="auto"/>
              <w:ind w:firstLine="480" w:firstLineChars="200"/>
              <w:rPr>
                <w:rFonts w:hAnsi="宋体"/>
                <w:color w:val="0070C0"/>
                <w:sz w:val="24"/>
                <w:szCs w:val="24"/>
              </w:rPr>
            </w:pPr>
            <w:r>
              <w:rPr>
                <w:rFonts w:hint="eastAsia" w:hAnsi="宋体"/>
                <w:color w:val="0070C0"/>
                <w:sz w:val="24"/>
                <w:szCs w:val="24"/>
              </w:rPr>
              <w:t>窑底压力平衡系统由送冷风风机、压力管道两端密封板、热气体抽出口、抽出管道等组成。该系统设置的目的有两个，一是平衡窑内和车下的压力，使其相应部位的压差维持在一定的水平，使得在冷却带和烧成带，窑内的热气体不至于窜到窑车下面去，使车下产生较高温度，防止损坏窑车轴承、车架，不至于使预热带车下的冷空气进入窑内，防止加大预热带的上、下温差，对焙烧坯体的预热产生较大影响。二是冷却窑车，将从窑车衬砖上传来的热量快速地散发出去，防止窑车钢结构和轴承处在较高温度下工作。</w:t>
            </w:r>
          </w:p>
          <w:p>
            <w:pPr>
              <w:spacing w:line="360" w:lineRule="auto"/>
              <w:ind w:firstLine="480" w:firstLineChars="200"/>
              <w:rPr>
                <w:rFonts w:hAnsi="宋体"/>
                <w:color w:val="0070C0"/>
                <w:sz w:val="24"/>
                <w:szCs w:val="24"/>
              </w:rPr>
            </w:pPr>
            <w:r>
              <w:rPr>
                <w:rFonts w:hint="eastAsia" w:hAnsi="宋体"/>
                <w:color w:val="0070C0"/>
                <w:sz w:val="24"/>
                <w:szCs w:val="24"/>
              </w:rPr>
              <w:t>(5)窑车转运系统</w:t>
            </w:r>
          </w:p>
          <w:p>
            <w:pPr>
              <w:spacing w:line="360" w:lineRule="auto"/>
              <w:ind w:firstLine="480" w:firstLineChars="200"/>
              <w:rPr>
                <w:rFonts w:hAnsi="宋体"/>
                <w:color w:val="0070C0"/>
                <w:sz w:val="24"/>
                <w:szCs w:val="24"/>
              </w:rPr>
            </w:pPr>
            <w:r>
              <w:rPr>
                <w:rFonts w:hint="eastAsia" w:hAnsi="宋体"/>
                <w:color w:val="0070C0"/>
                <w:sz w:val="24"/>
                <w:szCs w:val="24"/>
              </w:rPr>
              <w:t>该该系统由液压顶车机、出口拉引机、摆渡车、各种行程开关、自动控制系统等组成。它能按照时间顺序控制窑门的升降，定时进车和出车，及时运送烧成制品到卸砖处，保证窑内焙烧制品按照一定的规律进出窑，维持隧道窑烧成制度的稳定。</w:t>
            </w:r>
          </w:p>
          <w:p>
            <w:pPr>
              <w:spacing w:line="360" w:lineRule="auto"/>
              <w:ind w:firstLine="480" w:firstLineChars="200"/>
              <w:rPr>
                <w:rFonts w:hAnsi="宋体"/>
                <w:color w:val="0070C0"/>
                <w:sz w:val="24"/>
                <w:szCs w:val="24"/>
              </w:rPr>
            </w:pPr>
            <w:r>
              <w:rPr>
                <w:rFonts w:hint="eastAsia" w:hAnsi="宋体"/>
                <w:color w:val="0070C0"/>
                <w:sz w:val="24"/>
                <w:szCs w:val="24"/>
              </w:rPr>
              <w:t>(6)燃烧系统</w:t>
            </w:r>
          </w:p>
          <w:p>
            <w:pPr>
              <w:spacing w:line="360" w:lineRule="auto"/>
              <w:ind w:firstLine="480" w:firstLineChars="200"/>
              <w:rPr>
                <w:rFonts w:hAnsi="宋体"/>
                <w:color w:val="0070C0"/>
                <w:sz w:val="24"/>
                <w:szCs w:val="24"/>
              </w:rPr>
            </w:pPr>
            <w:r>
              <w:rPr>
                <w:rFonts w:hint="eastAsia" w:hAnsi="宋体"/>
                <w:color w:val="0070C0"/>
                <w:sz w:val="24"/>
                <w:szCs w:val="24"/>
              </w:rPr>
              <w:t>生产线以天然气作为外燃，设有助燃风机、天然气输送管道、助燃风输送管道、烧嘴及各种仪器仪表、控制阀门等，该系统能够全自动控制，根据温度测量仪测量的温度实时进行调节，保温窑内的温度曲线尽量接近设定的焙烧温度曲线，保证燃烧系统的稳定与安全。</w:t>
            </w:r>
          </w:p>
          <w:p>
            <w:pPr>
              <w:spacing w:line="360" w:lineRule="auto"/>
              <w:ind w:firstLine="480" w:firstLineChars="200"/>
              <w:rPr>
                <w:rFonts w:hAnsi="宋体"/>
                <w:color w:val="0070C0"/>
                <w:sz w:val="24"/>
                <w:szCs w:val="24"/>
              </w:rPr>
            </w:pPr>
            <w:r>
              <w:rPr>
                <w:rFonts w:hint="eastAsia" w:hAnsi="宋体"/>
                <w:color w:val="0070C0"/>
                <w:sz w:val="24"/>
                <w:szCs w:val="24"/>
              </w:rPr>
              <w:t>(7)监测系统</w:t>
            </w:r>
          </w:p>
          <w:p>
            <w:pPr>
              <w:spacing w:line="360" w:lineRule="auto"/>
              <w:ind w:firstLine="480" w:firstLineChars="200"/>
              <w:rPr>
                <w:rFonts w:hAnsi="宋体"/>
                <w:color w:val="0070C0"/>
                <w:sz w:val="24"/>
                <w:szCs w:val="24"/>
              </w:rPr>
            </w:pPr>
            <w:r>
              <w:rPr>
                <w:rFonts w:hint="eastAsia" w:hAnsi="宋体"/>
                <w:color w:val="0070C0"/>
                <w:sz w:val="24"/>
                <w:szCs w:val="24"/>
              </w:rPr>
              <w:t>隧道窑上设置热电偶温度测量仪，在窑车下设置压力测量仪，在送热风、排烟管道接近风机出口处设置温度、压力测量仪，通过信号线反馈到中心监测室，准确监测干燥、焙烧温度、送热风温度及窑内压力，通过对变频器及电动阀门的调节，保证隧道窑的热工制度。</w:t>
            </w:r>
          </w:p>
          <w:p>
            <w:pPr>
              <w:spacing w:line="360" w:lineRule="auto"/>
              <w:ind w:firstLine="480" w:firstLineChars="200"/>
              <w:rPr>
                <w:color w:val="0070C0"/>
                <w:sz w:val="24"/>
              </w:rPr>
            </w:pPr>
            <w:r>
              <w:rPr>
                <w:rFonts w:hint="eastAsia"/>
                <w:color w:val="0070C0"/>
                <w:sz w:val="24"/>
              </w:rPr>
              <w:t>项目隧道窑主要技术性能见表27。</w:t>
            </w:r>
          </w:p>
          <w:p>
            <w:pPr>
              <w:jc w:val="center"/>
              <w:rPr>
                <w:b/>
                <w:color w:val="0070C0"/>
              </w:rPr>
            </w:pPr>
            <w:r>
              <w:rPr>
                <w:rFonts w:hAnsi="宋体"/>
                <w:b/>
                <w:color w:val="0070C0"/>
              </w:rPr>
              <w:t>表</w:t>
            </w:r>
            <w:r>
              <w:rPr>
                <w:rFonts w:hint="eastAsia" w:hAnsi="宋体"/>
                <w:b/>
                <w:color w:val="0070C0"/>
              </w:rPr>
              <w:t>27</w:t>
            </w:r>
            <w:r>
              <w:rPr>
                <w:b/>
                <w:color w:val="0070C0"/>
              </w:rPr>
              <w:t xml:space="preserve">  </w:t>
            </w:r>
            <w:r>
              <w:rPr>
                <w:rFonts w:hint="eastAsia"/>
                <w:b/>
                <w:color w:val="0070C0"/>
              </w:rPr>
              <w:t>隧道窑</w:t>
            </w:r>
            <w:r>
              <w:rPr>
                <w:rFonts w:hint="eastAsia" w:hAnsi="宋体"/>
                <w:b/>
                <w:color w:val="0070C0"/>
              </w:rPr>
              <w:t>主要技术性能</w:t>
            </w:r>
          </w:p>
          <w:tbl>
            <w:tblPr>
              <w:tblStyle w:val="24"/>
              <w:tblW w:w="865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3"/>
              <w:gridCol w:w="2361"/>
              <w:gridCol w:w="2126"/>
              <w:gridCol w:w="31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color w:val="0070C0"/>
                      <w:szCs w:val="21"/>
                    </w:rPr>
                  </w:pPr>
                  <w:r>
                    <w:rPr>
                      <w:rFonts w:hint="eastAsia"/>
                      <w:color w:val="0070C0"/>
                      <w:szCs w:val="21"/>
                    </w:rPr>
                    <w:t>序号</w:t>
                  </w:r>
                </w:p>
              </w:tc>
              <w:tc>
                <w:tcPr>
                  <w:tcW w:w="2361" w:type="dxa"/>
                  <w:vAlign w:val="center"/>
                </w:tcPr>
                <w:p>
                  <w:pPr>
                    <w:jc w:val="center"/>
                    <w:rPr>
                      <w:color w:val="0070C0"/>
                      <w:szCs w:val="21"/>
                    </w:rPr>
                  </w:pPr>
                  <w:r>
                    <w:rPr>
                      <w:rFonts w:hint="eastAsia"/>
                      <w:color w:val="0070C0"/>
                      <w:szCs w:val="21"/>
                    </w:rPr>
                    <w:t>名称</w:t>
                  </w:r>
                </w:p>
              </w:tc>
              <w:tc>
                <w:tcPr>
                  <w:tcW w:w="2126" w:type="dxa"/>
                  <w:vAlign w:val="center"/>
                </w:tcPr>
                <w:p>
                  <w:pPr>
                    <w:jc w:val="center"/>
                    <w:rPr>
                      <w:color w:val="0070C0"/>
                      <w:szCs w:val="21"/>
                    </w:rPr>
                  </w:pPr>
                  <w:r>
                    <w:rPr>
                      <w:rFonts w:hint="eastAsia"/>
                      <w:color w:val="0070C0"/>
                      <w:szCs w:val="21"/>
                    </w:rPr>
                    <w:t>单位</w:t>
                  </w:r>
                </w:p>
              </w:tc>
              <w:tc>
                <w:tcPr>
                  <w:tcW w:w="3193" w:type="dxa"/>
                  <w:vAlign w:val="center"/>
                </w:tcPr>
                <w:p>
                  <w:pPr>
                    <w:jc w:val="center"/>
                    <w:rPr>
                      <w:color w:val="0070C0"/>
                      <w:szCs w:val="21"/>
                    </w:rPr>
                  </w:pPr>
                  <w:r>
                    <w:rPr>
                      <w:rFonts w:hint="eastAsia"/>
                      <w:color w:val="0070C0"/>
                      <w:szCs w:val="21"/>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color w:val="0070C0"/>
                      <w:szCs w:val="21"/>
                    </w:rPr>
                  </w:pPr>
                  <w:r>
                    <w:rPr>
                      <w:rFonts w:hint="eastAsia"/>
                      <w:color w:val="0070C0"/>
                      <w:szCs w:val="21"/>
                    </w:rPr>
                    <w:t>1</w:t>
                  </w:r>
                </w:p>
              </w:tc>
              <w:tc>
                <w:tcPr>
                  <w:tcW w:w="2361" w:type="dxa"/>
                  <w:vAlign w:val="center"/>
                </w:tcPr>
                <w:p>
                  <w:pPr>
                    <w:jc w:val="center"/>
                    <w:rPr>
                      <w:color w:val="0070C0"/>
                      <w:szCs w:val="21"/>
                    </w:rPr>
                  </w:pPr>
                  <w:r>
                    <w:rPr>
                      <w:rFonts w:hint="eastAsia"/>
                      <w:color w:val="0070C0"/>
                      <w:szCs w:val="21"/>
                    </w:rPr>
                    <w:t>窑炉长度</w:t>
                  </w:r>
                </w:p>
              </w:tc>
              <w:tc>
                <w:tcPr>
                  <w:tcW w:w="2126" w:type="dxa"/>
                  <w:vAlign w:val="center"/>
                </w:tcPr>
                <w:p>
                  <w:pPr>
                    <w:jc w:val="center"/>
                    <w:rPr>
                      <w:color w:val="0070C0"/>
                      <w:szCs w:val="21"/>
                    </w:rPr>
                  </w:pPr>
                  <w:r>
                    <w:rPr>
                      <w:rFonts w:hint="eastAsia"/>
                      <w:color w:val="0070C0"/>
                      <w:szCs w:val="21"/>
                    </w:rPr>
                    <w:t>m</w:t>
                  </w:r>
                </w:p>
              </w:tc>
              <w:tc>
                <w:tcPr>
                  <w:tcW w:w="3193" w:type="dxa"/>
                  <w:vAlign w:val="center"/>
                </w:tcPr>
                <w:p>
                  <w:pPr>
                    <w:jc w:val="center"/>
                    <w:rPr>
                      <w:color w:val="0070C0"/>
                      <w:szCs w:val="21"/>
                    </w:rPr>
                  </w:pPr>
                  <w:r>
                    <w:rPr>
                      <w:rFonts w:hint="eastAsia"/>
                      <w:color w:val="0070C0"/>
                      <w:szCs w:val="21"/>
                    </w:rPr>
                    <w:t>138.35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color w:val="0070C0"/>
                      <w:szCs w:val="21"/>
                    </w:rPr>
                  </w:pPr>
                  <w:r>
                    <w:rPr>
                      <w:rFonts w:hint="eastAsia"/>
                      <w:color w:val="0070C0"/>
                      <w:szCs w:val="21"/>
                    </w:rPr>
                    <w:t>2</w:t>
                  </w:r>
                </w:p>
              </w:tc>
              <w:tc>
                <w:tcPr>
                  <w:tcW w:w="2361" w:type="dxa"/>
                  <w:vAlign w:val="center"/>
                </w:tcPr>
                <w:p>
                  <w:pPr>
                    <w:jc w:val="center"/>
                    <w:rPr>
                      <w:color w:val="0070C0"/>
                      <w:szCs w:val="21"/>
                    </w:rPr>
                  </w:pPr>
                  <w:r>
                    <w:rPr>
                      <w:rFonts w:hint="eastAsia"/>
                      <w:color w:val="0070C0"/>
                      <w:szCs w:val="21"/>
                    </w:rPr>
                    <w:t>窑炉内宽</w:t>
                  </w:r>
                </w:p>
              </w:tc>
              <w:tc>
                <w:tcPr>
                  <w:tcW w:w="2126" w:type="dxa"/>
                  <w:vAlign w:val="center"/>
                </w:tcPr>
                <w:p>
                  <w:pPr>
                    <w:jc w:val="center"/>
                    <w:rPr>
                      <w:color w:val="0070C0"/>
                      <w:szCs w:val="21"/>
                    </w:rPr>
                  </w:pPr>
                  <w:r>
                    <w:rPr>
                      <w:rFonts w:hint="eastAsia"/>
                      <w:color w:val="0070C0"/>
                      <w:szCs w:val="21"/>
                    </w:rPr>
                    <w:t>m</w:t>
                  </w:r>
                </w:p>
              </w:tc>
              <w:tc>
                <w:tcPr>
                  <w:tcW w:w="3193" w:type="dxa"/>
                  <w:vAlign w:val="center"/>
                </w:tcPr>
                <w:p>
                  <w:pPr>
                    <w:jc w:val="center"/>
                    <w:rPr>
                      <w:color w:val="0070C0"/>
                      <w:szCs w:val="21"/>
                    </w:rPr>
                  </w:pPr>
                  <w:r>
                    <w:rPr>
                      <w:rFonts w:hint="eastAsia"/>
                      <w:color w:val="0070C0"/>
                      <w:szCs w:val="21"/>
                    </w:rPr>
                    <w:t>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color w:val="0070C0"/>
                      <w:szCs w:val="21"/>
                    </w:rPr>
                  </w:pPr>
                  <w:r>
                    <w:rPr>
                      <w:rFonts w:hint="eastAsia"/>
                      <w:color w:val="0070C0"/>
                      <w:szCs w:val="21"/>
                    </w:rPr>
                    <w:t>3</w:t>
                  </w:r>
                </w:p>
              </w:tc>
              <w:tc>
                <w:tcPr>
                  <w:tcW w:w="2361" w:type="dxa"/>
                  <w:vAlign w:val="center"/>
                </w:tcPr>
                <w:p>
                  <w:pPr>
                    <w:jc w:val="center"/>
                    <w:rPr>
                      <w:color w:val="0070C0"/>
                      <w:szCs w:val="21"/>
                    </w:rPr>
                  </w:pPr>
                  <w:r>
                    <w:rPr>
                      <w:rFonts w:hint="eastAsia"/>
                      <w:color w:val="0070C0"/>
                      <w:szCs w:val="21"/>
                    </w:rPr>
                    <w:t>码砖高度</w:t>
                  </w:r>
                </w:p>
              </w:tc>
              <w:tc>
                <w:tcPr>
                  <w:tcW w:w="2126" w:type="dxa"/>
                  <w:vAlign w:val="center"/>
                </w:tcPr>
                <w:p>
                  <w:pPr>
                    <w:jc w:val="center"/>
                    <w:rPr>
                      <w:color w:val="0070C0"/>
                      <w:szCs w:val="21"/>
                    </w:rPr>
                  </w:pPr>
                  <w:r>
                    <w:rPr>
                      <w:rFonts w:hint="eastAsia"/>
                      <w:color w:val="0070C0"/>
                      <w:szCs w:val="21"/>
                    </w:rPr>
                    <w:t>m</w:t>
                  </w:r>
                </w:p>
              </w:tc>
              <w:tc>
                <w:tcPr>
                  <w:tcW w:w="3193" w:type="dxa"/>
                  <w:vAlign w:val="center"/>
                </w:tcPr>
                <w:p>
                  <w:pPr>
                    <w:jc w:val="center"/>
                    <w:rPr>
                      <w:color w:val="0070C0"/>
                      <w:szCs w:val="21"/>
                    </w:rPr>
                  </w:pPr>
                  <w:r>
                    <w:rPr>
                      <w:rFonts w:hint="eastAsia"/>
                      <w:color w:val="0070C0"/>
                      <w:szCs w:val="21"/>
                    </w:rPr>
                    <w:t>2.03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color w:val="0070C0"/>
                      <w:szCs w:val="21"/>
                    </w:rPr>
                  </w:pPr>
                  <w:r>
                    <w:rPr>
                      <w:rFonts w:hint="eastAsia"/>
                      <w:color w:val="0070C0"/>
                      <w:szCs w:val="21"/>
                    </w:rPr>
                    <w:t>4</w:t>
                  </w:r>
                </w:p>
              </w:tc>
              <w:tc>
                <w:tcPr>
                  <w:tcW w:w="2361" w:type="dxa"/>
                  <w:vAlign w:val="center"/>
                </w:tcPr>
                <w:p>
                  <w:pPr>
                    <w:jc w:val="center"/>
                    <w:rPr>
                      <w:color w:val="0070C0"/>
                      <w:szCs w:val="21"/>
                    </w:rPr>
                  </w:pPr>
                  <w:r>
                    <w:rPr>
                      <w:rFonts w:ascii="宋体" w:hAnsi="宋体"/>
                      <w:bCs/>
                      <w:color w:val="0070C0"/>
                      <w:szCs w:val="28"/>
                    </w:rPr>
                    <w:t>隧道窑</w:t>
                  </w:r>
                  <w:r>
                    <w:rPr>
                      <w:rFonts w:hint="eastAsia"/>
                      <w:color w:val="0070C0"/>
                      <w:szCs w:val="21"/>
                    </w:rPr>
                    <w:t>外形</w:t>
                  </w:r>
                </w:p>
              </w:tc>
              <w:tc>
                <w:tcPr>
                  <w:tcW w:w="2126" w:type="dxa"/>
                  <w:vAlign w:val="center"/>
                </w:tcPr>
                <w:p>
                  <w:pPr>
                    <w:jc w:val="center"/>
                    <w:rPr>
                      <w:color w:val="0070C0"/>
                      <w:szCs w:val="21"/>
                    </w:rPr>
                  </w:pPr>
                  <w:r>
                    <w:rPr>
                      <w:rFonts w:hint="eastAsia"/>
                      <w:color w:val="0070C0"/>
                      <w:szCs w:val="21"/>
                    </w:rPr>
                    <w:t>m</w:t>
                  </w:r>
                </w:p>
              </w:tc>
              <w:tc>
                <w:tcPr>
                  <w:tcW w:w="3193" w:type="dxa"/>
                  <w:vAlign w:val="center"/>
                </w:tcPr>
                <w:p>
                  <w:pPr>
                    <w:jc w:val="center"/>
                    <w:rPr>
                      <w:color w:val="0070C0"/>
                      <w:szCs w:val="21"/>
                    </w:rPr>
                  </w:pPr>
                  <w:r>
                    <w:rPr>
                      <w:color w:val="0070C0"/>
                      <w:szCs w:val="21"/>
                    </w:rPr>
                    <w:t>138.35×8.6×3.95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color w:val="0070C0"/>
                      <w:szCs w:val="21"/>
                    </w:rPr>
                  </w:pPr>
                  <w:r>
                    <w:rPr>
                      <w:rFonts w:hint="eastAsia"/>
                      <w:color w:val="0070C0"/>
                      <w:szCs w:val="21"/>
                    </w:rPr>
                    <w:t>5</w:t>
                  </w:r>
                </w:p>
              </w:tc>
              <w:tc>
                <w:tcPr>
                  <w:tcW w:w="2361" w:type="dxa"/>
                  <w:vAlign w:val="center"/>
                </w:tcPr>
                <w:p>
                  <w:pPr>
                    <w:jc w:val="center"/>
                    <w:rPr>
                      <w:color w:val="0070C0"/>
                      <w:szCs w:val="21"/>
                    </w:rPr>
                  </w:pPr>
                  <w:r>
                    <w:rPr>
                      <w:rFonts w:hint="eastAsia"/>
                      <w:color w:val="0070C0"/>
                      <w:szCs w:val="21"/>
                    </w:rPr>
                    <w:t>容纳车数</w:t>
                  </w:r>
                </w:p>
              </w:tc>
              <w:tc>
                <w:tcPr>
                  <w:tcW w:w="2126" w:type="dxa"/>
                  <w:vAlign w:val="center"/>
                </w:tcPr>
                <w:p>
                  <w:pPr>
                    <w:jc w:val="center"/>
                    <w:rPr>
                      <w:color w:val="0070C0"/>
                      <w:szCs w:val="21"/>
                    </w:rPr>
                  </w:pPr>
                  <w:r>
                    <w:rPr>
                      <w:rFonts w:hint="eastAsia"/>
                      <w:color w:val="0070C0"/>
                      <w:szCs w:val="21"/>
                    </w:rPr>
                    <w:t>辆</w:t>
                  </w:r>
                </w:p>
              </w:tc>
              <w:tc>
                <w:tcPr>
                  <w:tcW w:w="3193" w:type="dxa"/>
                  <w:vAlign w:val="center"/>
                </w:tcPr>
                <w:p>
                  <w:pPr>
                    <w:jc w:val="center"/>
                    <w:rPr>
                      <w:color w:val="0070C0"/>
                      <w:szCs w:val="21"/>
                    </w:rPr>
                  </w:pPr>
                  <w:r>
                    <w:rPr>
                      <w:rFonts w:hint="eastAsia"/>
                      <w:color w:val="0070C0"/>
                      <w:szCs w:val="21"/>
                    </w:rPr>
                    <w:t>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color w:val="0070C0"/>
                      <w:szCs w:val="21"/>
                    </w:rPr>
                  </w:pPr>
                  <w:r>
                    <w:rPr>
                      <w:rFonts w:hint="eastAsia"/>
                      <w:color w:val="0070C0"/>
                      <w:szCs w:val="21"/>
                    </w:rPr>
                    <w:t>6</w:t>
                  </w:r>
                </w:p>
              </w:tc>
              <w:tc>
                <w:tcPr>
                  <w:tcW w:w="2361" w:type="dxa"/>
                  <w:vAlign w:val="center"/>
                </w:tcPr>
                <w:p>
                  <w:pPr>
                    <w:jc w:val="center"/>
                    <w:rPr>
                      <w:color w:val="0070C0"/>
                      <w:szCs w:val="21"/>
                    </w:rPr>
                  </w:pPr>
                  <w:r>
                    <w:rPr>
                      <w:rFonts w:hint="eastAsia"/>
                      <w:color w:val="0070C0"/>
                      <w:szCs w:val="21"/>
                    </w:rPr>
                    <w:t>烧成温度</w:t>
                  </w:r>
                </w:p>
              </w:tc>
              <w:tc>
                <w:tcPr>
                  <w:tcW w:w="2126" w:type="dxa"/>
                  <w:vAlign w:val="center"/>
                </w:tcPr>
                <w:p>
                  <w:pPr>
                    <w:jc w:val="center"/>
                    <w:rPr>
                      <w:color w:val="0070C0"/>
                      <w:szCs w:val="21"/>
                    </w:rPr>
                  </w:pPr>
                  <w:r>
                    <w:rPr>
                      <w:rFonts w:hint="eastAsia"/>
                      <w:color w:val="0070C0"/>
                      <w:szCs w:val="21"/>
                    </w:rPr>
                    <w:t>℃</w:t>
                  </w:r>
                </w:p>
              </w:tc>
              <w:tc>
                <w:tcPr>
                  <w:tcW w:w="3193" w:type="dxa"/>
                  <w:vAlign w:val="center"/>
                </w:tcPr>
                <w:p>
                  <w:pPr>
                    <w:jc w:val="center"/>
                    <w:rPr>
                      <w:color w:val="0070C0"/>
                      <w:szCs w:val="21"/>
                    </w:rPr>
                  </w:pPr>
                  <w:r>
                    <w:rPr>
                      <w:rFonts w:hint="eastAsia"/>
                      <w:color w:val="0070C0"/>
                      <w:szCs w:val="21"/>
                    </w:rPr>
                    <w:t>950~1050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3" w:type="dxa"/>
                  <w:vAlign w:val="center"/>
                </w:tcPr>
                <w:p>
                  <w:pPr>
                    <w:jc w:val="center"/>
                    <w:rPr>
                      <w:color w:val="0070C0"/>
                      <w:szCs w:val="21"/>
                    </w:rPr>
                  </w:pPr>
                  <w:r>
                    <w:rPr>
                      <w:rFonts w:hint="eastAsia"/>
                      <w:color w:val="0070C0"/>
                      <w:szCs w:val="21"/>
                    </w:rPr>
                    <w:t>7</w:t>
                  </w:r>
                </w:p>
              </w:tc>
              <w:tc>
                <w:tcPr>
                  <w:tcW w:w="2361" w:type="dxa"/>
                  <w:vAlign w:val="center"/>
                </w:tcPr>
                <w:p>
                  <w:pPr>
                    <w:jc w:val="center"/>
                    <w:rPr>
                      <w:color w:val="0070C0"/>
                      <w:szCs w:val="21"/>
                    </w:rPr>
                  </w:pPr>
                  <w:r>
                    <w:rPr>
                      <w:rFonts w:hint="eastAsia"/>
                      <w:color w:val="0070C0"/>
                      <w:szCs w:val="21"/>
                    </w:rPr>
                    <w:t>烧成周期</w:t>
                  </w:r>
                </w:p>
              </w:tc>
              <w:tc>
                <w:tcPr>
                  <w:tcW w:w="2126" w:type="dxa"/>
                  <w:vAlign w:val="center"/>
                </w:tcPr>
                <w:p>
                  <w:pPr>
                    <w:jc w:val="center"/>
                    <w:rPr>
                      <w:color w:val="0070C0"/>
                      <w:szCs w:val="21"/>
                    </w:rPr>
                  </w:pPr>
                  <w:r>
                    <w:rPr>
                      <w:rFonts w:hint="eastAsia"/>
                      <w:color w:val="0070C0"/>
                      <w:szCs w:val="21"/>
                    </w:rPr>
                    <w:t>h</w:t>
                  </w:r>
                </w:p>
              </w:tc>
              <w:tc>
                <w:tcPr>
                  <w:tcW w:w="3193" w:type="dxa"/>
                  <w:vAlign w:val="center"/>
                </w:tcPr>
                <w:p>
                  <w:pPr>
                    <w:jc w:val="center"/>
                    <w:rPr>
                      <w:color w:val="0070C0"/>
                      <w:szCs w:val="21"/>
                    </w:rPr>
                  </w:pPr>
                  <w:r>
                    <w:rPr>
                      <w:rFonts w:hint="eastAsia"/>
                      <w:color w:val="0070C0"/>
                      <w:szCs w:val="21"/>
                    </w:rPr>
                    <w:t>49</w:t>
                  </w:r>
                </w:p>
              </w:tc>
            </w:tr>
          </w:tbl>
          <w:p>
            <w:pPr>
              <w:spacing w:line="360" w:lineRule="auto"/>
              <w:ind w:firstLine="480" w:firstLineChars="200"/>
              <w:rPr>
                <w:rFonts w:hAnsi="宋体"/>
                <w:color w:val="0070C0"/>
                <w:sz w:val="24"/>
                <w:szCs w:val="24"/>
              </w:rPr>
            </w:pPr>
            <w:r>
              <w:rPr>
                <w:rFonts w:hint="eastAsia" w:hAnsi="宋体"/>
                <w:color w:val="0070C0"/>
                <w:sz w:val="24"/>
                <w:szCs w:val="24"/>
              </w:rPr>
              <w:t>（6）出窑</w:t>
            </w:r>
          </w:p>
          <w:p>
            <w:pPr>
              <w:spacing w:line="360" w:lineRule="auto"/>
              <w:ind w:firstLine="480" w:firstLineChars="200"/>
              <w:rPr>
                <w:rFonts w:hAnsi="宋体"/>
                <w:color w:val="0070C0"/>
                <w:sz w:val="24"/>
                <w:szCs w:val="24"/>
              </w:rPr>
            </w:pPr>
            <w:r>
              <w:rPr>
                <w:rFonts w:hint="eastAsia" w:hAnsi="宋体"/>
                <w:color w:val="0070C0"/>
                <w:sz w:val="24"/>
                <w:szCs w:val="24"/>
              </w:rPr>
              <w:t>冷却后的砖及砌块从窑车上卸下，三夹头卸砖机将砖坯卸至木托盘，之后采用横向打带机与竖向打带机进行打包处理，由叉车叉至堆场。</w:t>
            </w:r>
          </w:p>
          <w:p>
            <w:pPr>
              <w:spacing w:line="360" w:lineRule="auto"/>
              <w:rPr>
                <w:b/>
                <w:sz w:val="24"/>
              </w:rPr>
            </w:pPr>
            <w:r>
              <w:rPr>
                <w:rFonts w:hAnsi="宋体"/>
                <w:b/>
                <w:sz w:val="24"/>
              </w:rPr>
              <w:t>主要污染工序</w:t>
            </w:r>
          </w:p>
          <w:p>
            <w:pPr>
              <w:spacing w:line="360" w:lineRule="auto"/>
              <w:ind w:firstLine="482" w:firstLineChars="200"/>
              <w:rPr>
                <w:b/>
                <w:sz w:val="24"/>
              </w:rPr>
            </w:pPr>
            <w:r>
              <w:rPr>
                <w:rFonts w:hAnsi="宋体"/>
                <w:b/>
                <w:sz w:val="24"/>
              </w:rPr>
              <w:t>一、</w:t>
            </w:r>
            <w:r>
              <w:rPr>
                <w:rFonts w:hint="eastAsia" w:hAnsi="宋体"/>
                <w:b/>
                <w:sz w:val="24"/>
              </w:rPr>
              <w:t>施工</w:t>
            </w:r>
            <w:r>
              <w:rPr>
                <w:rFonts w:hAnsi="宋体"/>
                <w:b/>
                <w:sz w:val="24"/>
              </w:rPr>
              <w:t>期</w:t>
            </w:r>
          </w:p>
          <w:p>
            <w:pPr>
              <w:spacing w:line="360" w:lineRule="auto"/>
              <w:ind w:firstLine="480" w:firstLineChars="200"/>
              <w:rPr>
                <w:rFonts w:hAnsi="宋体"/>
                <w:sz w:val="24"/>
              </w:rPr>
            </w:pPr>
            <w:r>
              <w:rPr>
                <w:sz w:val="24"/>
              </w:rPr>
              <w:t>1</w:t>
            </w:r>
            <w:r>
              <w:rPr>
                <w:rFonts w:hAnsi="宋体"/>
                <w:sz w:val="24"/>
              </w:rPr>
              <w:t>、</w:t>
            </w:r>
            <w:r>
              <w:rPr>
                <w:rFonts w:hint="eastAsia" w:hAnsi="宋体"/>
                <w:sz w:val="24"/>
              </w:rPr>
              <w:t>废气</w:t>
            </w:r>
          </w:p>
          <w:p>
            <w:pPr>
              <w:tabs>
                <w:tab w:val="left" w:pos="11"/>
              </w:tabs>
              <w:spacing w:line="360" w:lineRule="auto"/>
              <w:ind w:firstLine="480" w:firstLineChars="200"/>
              <w:rPr>
                <w:rFonts w:hAnsi="宋体"/>
                <w:bCs/>
                <w:sz w:val="24"/>
              </w:rPr>
            </w:pPr>
            <w:r>
              <w:rPr>
                <w:rFonts w:hint="eastAsia" w:hAnsi="宋体"/>
                <w:sz w:val="24"/>
              </w:rPr>
              <w:t>本项目施工过程中产生的废气主要包括施工扬尘、</w:t>
            </w:r>
            <w:r>
              <w:rPr>
                <w:bCs/>
                <w:sz w:val="24"/>
              </w:rPr>
              <w:t>施工机械废气</w:t>
            </w:r>
            <w:r>
              <w:rPr>
                <w:rFonts w:hint="eastAsia"/>
                <w:bCs/>
                <w:sz w:val="24"/>
              </w:rPr>
              <w:t>及</w:t>
            </w:r>
            <w:r>
              <w:rPr>
                <w:bCs/>
                <w:sz w:val="24"/>
              </w:rPr>
              <w:t>运输车辆</w:t>
            </w:r>
            <w:r>
              <w:rPr>
                <w:rFonts w:hint="eastAsia"/>
                <w:bCs/>
                <w:sz w:val="24"/>
              </w:rPr>
              <w:t>废气</w:t>
            </w:r>
            <w:r>
              <w:rPr>
                <w:rFonts w:hint="eastAsia"/>
                <w:sz w:val="24"/>
              </w:rPr>
              <w:t>。</w:t>
            </w:r>
          </w:p>
          <w:p>
            <w:pPr>
              <w:tabs>
                <w:tab w:val="left" w:pos="11"/>
              </w:tabs>
              <w:spacing w:line="360" w:lineRule="auto"/>
              <w:ind w:firstLine="480" w:firstLineChars="200"/>
              <w:rPr>
                <w:rFonts w:hAnsi="宋体"/>
                <w:bCs/>
                <w:sz w:val="24"/>
              </w:rPr>
            </w:pPr>
            <w:r>
              <w:rPr>
                <w:rFonts w:hint="eastAsia" w:hAnsi="宋体"/>
                <w:bCs/>
                <w:sz w:val="24"/>
              </w:rPr>
              <w:t>（1）扬尘</w:t>
            </w:r>
          </w:p>
          <w:p>
            <w:pPr>
              <w:spacing w:line="360" w:lineRule="auto"/>
              <w:ind w:firstLine="480" w:firstLineChars="200"/>
              <w:rPr>
                <w:sz w:val="24"/>
                <w:szCs w:val="24"/>
              </w:rPr>
            </w:pPr>
            <w:r>
              <w:rPr>
                <w:rFonts w:hAnsi="宋体"/>
                <w:sz w:val="24"/>
                <w:szCs w:val="24"/>
              </w:rPr>
              <w:t>施工期产生的大气污染物以扬尘为主，来源于车辆行驶扬尘、土方开挖扬尘、堆土场扬尘。</w:t>
            </w:r>
          </w:p>
          <w:p>
            <w:pPr>
              <w:spacing w:line="360" w:lineRule="auto"/>
              <w:ind w:firstLine="480" w:firstLineChars="200"/>
              <w:rPr>
                <w:sz w:val="24"/>
                <w:szCs w:val="24"/>
              </w:rPr>
            </w:pPr>
            <w:r>
              <w:rPr>
                <w:rFonts w:hAnsi="宋体"/>
                <w:sz w:val="24"/>
                <w:szCs w:val="24"/>
              </w:rPr>
              <w:t>①车辆行驶扬尘</w:t>
            </w:r>
          </w:p>
          <w:p>
            <w:pPr>
              <w:spacing w:line="360" w:lineRule="auto"/>
              <w:ind w:firstLine="480" w:firstLineChars="200"/>
              <w:rPr>
                <w:sz w:val="24"/>
                <w:szCs w:val="24"/>
              </w:rPr>
            </w:pPr>
            <w:r>
              <w:rPr>
                <w:rFonts w:hint="eastAsia" w:hAnsi="宋体"/>
                <w:sz w:val="24"/>
                <w:szCs w:val="24"/>
              </w:rPr>
              <w:t>建筑材料、建筑垃圾等</w:t>
            </w:r>
            <w:r>
              <w:rPr>
                <w:rFonts w:hAnsi="宋体"/>
                <w:sz w:val="24"/>
                <w:szCs w:val="24"/>
              </w:rPr>
              <w:t>通过运输车辆输送，在风速较大或车辆行驶速度较快的情况下，扬尘污染更为严重。有关调查显示，施工工地的扬尘主要是由运输车辆的行驶产生，约占扬尘总量的</w:t>
            </w:r>
            <w:r>
              <w:rPr>
                <w:sz w:val="24"/>
                <w:szCs w:val="24"/>
              </w:rPr>
              <w:t>60%</w:t>
            </w:r>
            <w:r>
              <w:rPr>
                <w:rFonts w:hAnsi="宋体"/>
                <w:sz w:val="24"/>
                <w:szCs w:val="24"/>
              </w:rPr>
              <w:t>。</w:t>
            </w:r>
          </w:p>
          <w:p>
            <w:pPr>
              <w:spacing w:line="360" w:lineRule="auto"/>
              <w:ind w:firstLine="480" w:firstLineChars="200"/>
              <w:rPr>
                <w:sz w:val="24"/>
                <w:szCs w:val="24"/>
              </w:rPr>
            </w:pPr>
            <w:r>
              <w:rPr>
                <w:rFonts w:hAnsi="宋体"/>
                <w:sz w:val="24"/>
                <w:szCs w:val="24"/>
              </w:rPr>
              <w:t>车辆在行驶过程中产生的扬尘，在干燥的情况下，可按下列经验公式计算：</w:t>
            </w:r>
          </w:p>
          <w:p>
            <w:pPr>
              <w:spacing w:line="360" w:lineRule="auto"/>
              <w:ind w:firstLine="480" w:firstLineChars="200"/>
              <w:rPr>
                <w:sz w:val="24"/>
                <w:szCs w:val="24"/>
              </w:rPr>
            </w:pPr>
            <w:r>
              <w:rPr>
                <w:sz w:val="24"/>
                <w:szCs w:val="24"/>
              </w:rPr>
              <w:pict>
                <v:shape id="_x0000_s1095" o:spid="_x0000_s1095" o:spt="75" type="#_x0000_t75" style="position:absolute;left:0pt;margin-left:142.35pt;margin-top:2.95pt;height:31pt;width:146pt;z-index:251657216;mso-width-relative:page;mso-height-relative:page;" o:ole="t" filled="f" o:preferrelative="t" stroked="f" coordsize="21600,21600">
                  <v:path/>
                  <v:fill on="f" focussize="0,0"/>
                  <v:stroke on="f" joinstyle="miter"/>
                  <v:imagedata r:id="rId12" o:title=""/>
                  <o:lock v:ext="edit" aspectratio="t"/>
                </v:shape>
                <o:OLEObject Type="Embed" ProgID="Equation.3" ShapeID="_x0000_s1095" DrawAspect="Content" ObjectID="_1468075727" r:id="rId11">
                  <o:LockedField>false</o:LockedField>
                </o:OLEObject>
              </w:pict>
            </w:r>
          </w:p>
          <w:p>
            <w:pPr>
              <w:spacing w:line="360" w:lineRule="auto"/>
              <w:ind w:firstLine="480" w:firstLineChars="200"/>
              <w:rPr>
                <w:sz w:val="24"/>
                <w:szCs w:val="24"/>
              </w:rPr>
            </w:pPr>
          </w:p>
          <w:p>
            <w:pPr>
              <w:spacing w:line="360" w:lineRule="auto"/>
              <w:ind w:firstLine="480" w:firstLineChars="200"/>
              <w:rPr>
                <w:sz w:val="24"/>
                <w:szCs w:val="24"/>
              </w:rPr>
            </w:pPr>
            <w:r>
              <w:rPr>
                <w:rFonts w:hAnsi="宋体"/>
                <w:sz w:val="24"/>
                <w:szCs w:val="24"/>
              </w:rPr>
              <w:t>式中：</w:t>
            </w:r>
            <w:r>
              <w:rPr>
                <w:sz w:val="24"/>
                <w:szCs w:val="24"/>
              </w:rPr>
              <w:t>Q—</w:t>
            </w:r>
            <w:r>
              <w:rPr>
                <w:rFonts w:hAnsi="宋体"/>
                <w:sz w:val="24"/>
                <w:szCs w:val="24"/>
              </w:rPr>
              <w:t>汽车行驶的扬尘，</w:t>
            </w:r>
            <w:r>
              <w:rPr>
                <w:sz w:val="24"/>
                <w:szCs w:val="24"/>
              </w:rPr>
              <w:t>kg/km·</w:t>
            </w:r>
            <w:r>
              <w:rPr>
                <w:rFonts w:hAnsi="宋体"/>
                <w:sz w:val="24"/>
                <w:szCs w:val="24"/>
              </w:rPr>
              <w:t>辆；</w:t>
            </w:r>
          </w:p>
          <w:p>
            <w:pPr>
              <w:spacing w:line="360" w:lineRule="auto"/>
              <w:ind w:firstLine="1200" w:firstLineChars="500"/>
              <w:rPr>
                <w:sz w:val="24"/>
                <w:szCs w:val="24"/>
              </w:rPr>
            </w:pPr>
            <w:r>
              <w:rPr>
                <w:sz w:val="24"/>
                <w:szCs w:val="24"/>
              </w:rPr>
              <w:t>V—</w:t>
            </w:r>
            <w:r>
              <w:rPr>
                <w:rFonts w:hAnsi="宋体"/>
                <w:sz w:val="24"/>
                <w:szCs w:val="24"/>
              </w:rPr>
              <w:t>汽车速度，</w:t>
            </w:r>
            <w:r>
              <w:rPr>
                <w:sz w:val="24"/>
                <w:szCs w:val="24"/>
              </w:rPr>
              <w:t>km/hr</w:t>
            </w:r>
            <w:r>
              <w:rPr>
                <w:rFonts w:hAnsi="宋体"/>
                <w:sz w:val="24"/>
                <w:szCs w:val="24"/>
              </w:rPr>
              <w:t>；</w:t>
            </w:r>
          </w:p>
          <w:p>
            <w:pPr>
              <w:spacing w:line="360" w:lineRule="auto"/>
              <w:ind w:firstLine="1200" w:firstLineChars="500"/>
              <w:rPr>
                <w:sz w:val="24"/>
                <w:szCs w:val="24"/>
              </w:rPr>
            </w:pPr>
            <w:r>
              <w:rPr>
                <w:sz w:val="24"/>
                <w:szCs w:val="24"/>
              </w:rPr>
              <w:t>W—</w:t>
            </w:r>
            <w:r>
              <w:rPr>
                <w:rFonts w:hAnsi="宋体"/>
                <w:sz w:val="24"/>
                <w:szCs w:val="24"/>
              </w:rPr>
              <w:t>汽车载重量，</w:t>
            </w:r>
            <w:r>
              <w:rPr>
                <w:sz w:val="24"/>
                <w:szCs w:val="24"/>
              </w:rPr>
              <w:t>t</w:t>
            </w:r>
            <w:r>
              <w:rPr>
                <w:rFonts w:hAnsi="宋体"/>
                <w:sz w:val="24"/>
                <w:szCs w:val="24"/>
              </w:rPr>
              <w:t>；</w:t>
            </w:r>
          </w:p>
          <w:p>
            <w:pPr>
              <w:spacing w:line="360" w:lineRule="auto"/>
              <w:ind w:firstLine="1200" w:firstLineChars="500"/>
              <w:rPr>
                <w:sz w:val="24"/>
                <w:szCs w:val="24"/>
              </w:rPr>
            </w:pPr>
            <w:r>
              <w:rPr>
                <w:sz w:val="24"/>
                <w:szCs w:val="24"/>
              </w:rPr>
              <w:t>P—</w:t>
            </w:r>
            <w:r>
              <w:rPr>
                <w:rFonts w:hAnsi="宋体"/>
                <w:sz w:val="24"/>
                <w:szCs w:val="24"/>
              </w:rPr>
              <w:t>道路表面粉尘量，</w:t>
            </w:r>
            <w:r>
              <w:rPr>
                <w:sz w:val="24"/>
                <w:szCs w:val="24"/>
              </w:rPr>
              <w:t>kg/m</w:t>
            </w:r>
            <w:r>
              <w:rPr>
                <w:sz w:val="24"/>
                <w:szCs w:val="24"/>
                <w:vertAlign w:val="superscript"/>
              </w:rPr>
              <w:t>2</w:t>
            </w:r>
            <w:r>
              <w:rPr>
                <w:rFonts w:hAnsi="宋体"/>
                <w:sz w:val="24"/>
                <w:szCs w:val="24"/>
              </w:rPr>
              <w:t>。</w:t>
            </w:r>
          </w:p>
          <w:p>
            <w:pPr>
              <w:spacing w:line="360" w:lineRule="auto"/>
              <w:ind w:firstLine="480" w:firstLineChars="200"/>
              <w:rPr>
                <w:rFonts w:hAnsi="宋体"/>
                <w:sz w:val="24"/>
                <w:szCs w:val="24"/>
              </w:rPr>
            </w:pPr>
            <w:r>
              <w:rPr>
                <w:rFonts w:hint="eastAsia" w:hAnsi="宋体"/>
                <w:sz w:val="24"/>
                <w:szCs w:val="24"/>
              </w:rPr>
              <w:t>下表</w:t>
            </w:r>
            <w:r>
              <w:rPr>
                <w:rFonts w:hAnsi="宋体"/>
                <w:sz w:val="24"/>
                <w:szCs w:val="24"/>
              </w:rPr>
              <w:t>为一辆载重</w:t>
            </w:r>
            <w:r>
              <w:rPr>
                <w:sz w:val="24"/>
                <w:szCs w:val="24"/>
              </w:rPr>
              <w:t>10t</w:t>
            </w:r>
            <w:r>
              <w:rPr>
                <w:rFonts w:hAnsi="宋体"/>
                <w:sz w:val="24"/>
                <w:szCs w:val="24"/>
              </w:rPr>
              <w:t>的卡车，通过一段长度为</w:t>
            </w:r>
            <w:r>
              <w:rPr>
                <w:sz w:val="24"/>
                <w:szCs w:val="24"/>
              </w:rPr>
              <w:t>1km</w:t>
            </w:r>
            <w:r>
              <w:rPr>
                <w:rFonts w:hAnsi="宋体"/>
                <w:sz w:val="24"/>
                <w:szCs w:val="24"/>
              </w:rPr>
              <w:t>的路面时，不同路面清洁程度、不同行驶速度下产生的扬尘量。由此可见，在同样路面清洁程度下，车速越快，扬尘量越大；而在同样车速下，路面清洁度越差，则扬尘量越大。因此限制车辆行驶速度及保持路面的清洁是减少车辆扬尘的最有效手段。</w:t>
            </w:r>
          </w:p>
          <w:p>
            <w:pPr>
              <w:jc w:val="center"/>
              <w:rPr>
                <w:rFonts w:hAnsi="宋体"/>
                <w:b/>
              </w:rPr>
            </w:pPr>
            <w:r>
              <w:rPr>
                <w:rFonts w:hint="eastAsia" w:hAnsi="宋体"/>
                <w:b/>
              </w:rPr>
              <w:t>表28   不同车速和地面清洁程度时的车辆扬尘    单位：kg/（km</w:t>
            </w:r>
            <w:r>
              <w:rPr>
                <w:rFonts w:hAnsi="宋体"/>
                <w:b/>
              </w:rPr>
              <w:t>·</w:t>
            </w:r>
            <w:r>
              <w:rPr>
                <w:rFonts w:hint="eastAsia" w:hAnsi="宋体"/>
                <w:b/>
              </w:rPr>
              <w:t>辆）</w:t>
            </w:r>
          </w:p>
          <w:tbl>
            <w:tblPr>
              <w:tblStyle w:val="24"/>
              <w:tblW w:w="882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255"/>
              <w:gridCol w:w="1255"/>
              <w:gridCol w:w="1256"/>
              <w:gridCol w:w="1256"/>
              <w:gridCol w:w="1256"/>
              <w:gridCol w:w="12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0" w:type="dxa"/>
                  <w:vMerge w:val="restart"/>
                  <w:vAlign w:val="center"/>
                </w:tcPr>
                <w:p>
                  <w:pPr>
                    <w:pStyle w:val="76"/>
                    <w:rPr>
                      <w:rFonts w:hAnsi="Times New Roman"/>
                      <w:sz w:val="21"/>
                      <w:szCs w:val="21"/>
                      <w:lang w:val="en-US"/>
                    </w:rPr>
                  </w:pPr>
                  <w:r>
                    <w:rPr>
                      <w:rFonts w:hAnsi="Times New Roman"/>
                      <w:sz w:val="21"/>
                      <w:szCs w:val="21"/>
                      <w:lang w:val="en-US"/>
                    </w:rPr>
                    <w:t>车速（km/h）</w:t>
                  </w:r>
                </w:p>
              </w:tc>
              <w:tc>
                <w:tcPr>
                  <w:tcW w:w="7534" w:type="dxa"/>
                  <w:gridSpan w:val="6"/>
                  <w:vAlign w:val="center"/>
                </w:tcPr>
                <w:p>
                  <w:pPr>
                    <w:pStyle w:val="76"/>
                    <w:rPr>
                      <w:rFonts w:hAnsi="Times New Roman"/>
                      <w:sz w:val="21"/>
                      <w:szCs w:val="21"/>
                      <w:lang w:val="en-US"/>
                    </w:rPr>
                  </w:pPr>
                  <w:r>
                    <w:rPr>
                      <w:rFonts w:hAnsi="Times New Roman"/>
                      <w:sz w:val="21"/>
                      <w:szCs w:val="21"/>
                      <w:lang w:val="en-US"/>
                    </w:rPr>
                    <w:t>道路表面粉尘量（kg/m</w:t>
                  </w:r>
                  <w:r>
                    <w:rPr>
                      <w:rFonts w:hAnsi="Times New Roman"/>
                      <w:sz w:val="21"/>
                      <w:szCs w:val="21"/>
                      <w:vertAlign w:val="superscript"/>
                      <w:lang w:val="en-US"/>
                    </w:rPr>
                    <w:t>2</w:t>
                  </w:r>
                  <w:r>
                    <w:rPr>
                      <w:rFonts w:hAnsi="Times New Roman"/>
                      <w:sz w:val="21"/>
                      <w:szCs w:val="21"/>
                      <w:lang w:val="en-US"/>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0" w:type="dxa"/>
                  <w:vMerge w:val="continue"/>
                  <w:vAlign w:val="center"/>
                </w:tcPr>
                <w:p>
                  <w:pPr>
                    <w:pStyle w:val="76"/>
                    <w:rPr>
                      <w:rFonts w:hAnsi="Times New Roman"/>
                      <w:sz w:val="21"/>
                      <w:szCs w:val="21"/>
                      <w:lang w:val="en-US"/>
                    </w:rPr>
                  </w:pPr>
                </w:p>
              </w:tc>
              <w:tc>
                <w:tcPr>
                  <w:tcW w:w="1255" w:type="dxa"/>
                  <w:vAlign w:val="center"/>
                </w:tcPr>
                <w:p>
                  <w:pPr>
                    <w:pStyle w:val="76"/>
                    <w:rPr>
                      <w:rFonts w:hAnsi="Times New Roman"/>
                      <w:sz w:val="21"/>
                      <w:szCs w:val="21"/>
                      <w:lang w:val="en-US"/>
                    </w:rPr>
                  </w:pPr>
                  <w:r>
                    <w:rPr>
                      <w:rFonts w:hAnsi="Times New Roman"/>
                      <w:sz w:val="21"/>
                      <w:szCs w:val="21"/>
                      <w:lang w:val="en-US"/>
                    </w:rPr>
                    <w:t>0.1</w:t>
                  </w:r>
                </w:p>
              </w:tc>
              <w:tc>
                <w:tcPr>
                  <w:tcW w:w="1255" w:type="dxa"/>
                  <w:vAlign w:val="center"/>
                </w:tcPr>
                <w:p>
                  <w:pPr>
                    <w:pStyle w:val="76"/>
                    <w:rPr>
                      <w:rFonts w:hAnsi="Times New Roman"/>
                      <w:sz w:val="21"/>
                      <w:szCs w:val="21"/>
                      <w:lang w:val="en-US"/>
                    </w:rPr>
                  </w:pPr>
                  <w:r>
                    <w:rPr>
                      <w:rFonts w:hAnsi="Times New Roman"/>
                      <w:sz w:val="21"/>
                      <w:szCs w:val="21"/>
                      <w:lang w:val="en-US"/>
                    </w:rPr>
                    <w:t>0.2</w:t>
                  </w:r>
                </w:p>
              </w:tc>
              <w:tc>
                <w:tcPr>
                  <w:tcW w:w="1256" w:type="dxa"/>
                  <w:vAlign w:val="center"/>
                </w:tcPr>
                <w:p>
                  <w:pPr>
                    <w:pStyle w:val="76"/>
                    <w:rPr>
                      <w:rFonts w:hAnsi="Times New Roman"/>
                      <w:sz w:val="21"/>
                      <w:szCs w:val="21"/>
                      <w:lang w:val="en-US"/>
                    </w:rPr>
                  </w:pPr>
                  <w:r>
                    <w:rPr>
                      <w:rFonts w:hAnsi="Times New Roman"/>
                      <w:sz w:val="21"/>
                      <w:szCs w:val="21"/>
                      <w:lang w:val="en-US"/>
                    </w:rPr>
                    <w:t>0.3</w:t>
                  </w:r>
                </w:p>
              </w:tc>
              <w:tc>
                <w:tcPr>
                  <w:tcW w:w="1256" w:type="dxa"/>
                  <w:vAlign w:val="center"/>
                </w:tcPr>
                <w:p>
                  <w:pPr>
                    <w:pStyle w:val="76"/>
                    <w:rPr>
                      <w:rFonts w:hAnsi="Times New Roman"/>
                      <w:sz w:val="21"/>
                      <w:szCs w:val="21"/>
                      <w:lang w:val="en-US"/>
                    </w:rPr>
                  </w:pPr>
                  <w:r>
                    <w:rPr>
                      <w:rFonts w:hAnsi="Times New Roman"/>
                      <w:sz w:val="21"/>
                      <w:szCs w:val="21"/>
                      <w:lang w:val="en-US"/>
                    </w:rPr>
                    <w:t>0.4</w:t>
                  </w:r>
                </w:p>
              </w:tc>
              <w:tc>
                <w:tcPr>
                  <w:tcW w:w="1256" w:type="dxa"/>
                  <w:vAlign w:val="center"/>
                </w:tcPr>
                <w:p>
                  <w:pPr>
                    <w:pStyle w:val="76"/>
                    <w:rPr>
                      <w:rFonts w:hAnsi="Times New Roman"/>
                      <w:sz w:val="21"/>
                      <w:szCs w:val="21"/>
                      <w:lang w:val="en-US"/>
                    </w:rPr>
                  </w:pPr>
                  <w:r>
                    <w:rPr>
                      <w:rFonts w:hAnsi="Times New Roman"/>
                      <w:sz w:val="21"/>
                      <w:szCs w:val="21"/>
                      <w:lang w:val="en-US"/>
                    </w:rPr>
                    <w:t>0.5</w:t>
                  </w:r>
                </w:p>
              </w:tc>
              <w:tc>
                <w:tcPr>
                  <w:tcW w:w="1256" w:type="dxa"/>
                  <w:vAlign w:val="center"/>
                </w:tcPr>
                <w:p>
                  <w:pPr>
                    <w:pStyle w:val="76"/>
                    <w:rPr>
                      <w:rFonts w:hAnsi="Times New Roman"/>
                      <w:sz w:val="21"/>
                      <w:szCs w:val="21"/>
                      <w:lang w:val="en-US"/>
                    </w:rPr>
                  </w:pPr>
                  <w:r>
                    <w:rPr>
                      <w:rFonts w:hAnsi="Times New Roman"/>
                      <w:sz w:val="21"/>
                      <w:szCs w:val="21"/>
                      <w:lang w:val="en-US"/>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1290" w:type="dxa"/>
                  <w:vAlign w:val="center"/>
                </w:tcPr>
                <w:p>
                  <w:pPr>
                    <w:pStyle w:val="76"/>
                    <w:rPr>
                      <w:rFonts w:hAnsi="Times New Roman"/>
                      <w:sz w:val="21"/>
                      <w:szCs w:val="21"/>
                      <w:lang w:val="en-US"/>
                    </w:rPr>
                  </w:pPr>
                  <w:r>
                    <w:rPr>
                      <w:rFonts w:hAnsi="Times New Roman"/>
                      <w:sz w:val="21"/>
                      <w:szCs w:val="21"/>
                      <w:lang w:val="en-US"/>
                    </w:rPr>
                    <w:t>1</w:t>
                  </w:r>
                </w:p>
              </w:tc>
              <w:tc>
                <w:tcPr>
                  <w:tcW w:w="1255" w:type="dxa"/>
                  <w:vAlign w:val="center"/>
                </w:tcPr>
                <w:p>
                  <w:pPr>
                    <w:pStyle w:val="76"/>
                    <w:rPr>
                      <w:rFonts w:hAnsi="Times New Roman"/>
                      <w:sz w:val="21"/>
                      <w:szCs w:val="21"/>
                      <w:lang w:val="en-US"/>
                    </w:rPr>
                  </w:pPr>
                  <w:r>
                    <w:rPr>
                      <w:rFonts w:hAnsi="Times New Roman"/>
                      <w:sz w:val="21"/>
                      <w:szCs w:val="21"/>
                      <w:lang w:val="en-US"/>
                    </w:rPr>
                    <w:t>0</w:t>
                  </w:r>
                  <w:r>
                    <w:rPr>
                      <w:rFonts w:hint="eastAsia" w:hAnsi="Times New Roman"/>
                      <w:sz w:val="21"/>
                      <w:szCs w:val="21"/>
                      <w:lang w:val="en-US"/>
                    </w:rPr>
                    <w:t>.</w:t>
                  </w:r>
                  <w:r>
                    <w:rPr>
                      <w:rFonts w:hAnsi="Times New Roman"/>
                      <w:sz w:val="21"/>
                      <w:szCs w:val="21"/>
                      <w:lang w:val="en-US"/>
                    </w:rPr>
                    <w:t>0511</w:t>
                  </w:r>
                </w:p>
              </w:tc>
              <w:tc>
                <w:tcPr>
                  <w:tcW w:w="1255" w:type="dxa"/>
                  <w:vAlign w:val="center"/>
                </w:tcPr>
                <w:p>
                  <w:pPr>
                    <w:pStyle w:val="76"/>
                    <w:rPr>
                      <w:rFonts w:hAnsi="Times New Roman"/>
                      <w:sz w:val="21"/>
                      <w:szCs w:val="21"/>
                      <w:lang w:val="en-US"/>
                    </w:rPr>
                  </w:pPr>
                  <w:r>
                    <w:rPr>
                      <w:rFonts w:hAnsi="Times New Roman"/>
                      <w:sz w:val="21"/>
                      <w:szCs w:val="21"/>
                      <w:lang w:val="en-US"/>
                    </w:rPr>
                    <w:t>0.0859</w:t>
                  </w:r>
                </w:p>
              </w:tc>
              <w:tc>
                <w:tcPr>
                  <w:tcW w:w="1256" w:type="dxa"/>
                  <w:vAlign w:val="center"/>
                </w:tcPr>
                <w:p>
                  <w:pPr>
                    <w:pStyle w:val="76"/>
                    <w:rPr>
                      <w:rFonts w:hAnsi="Times New Roman"/>
                      <w:sz w:val="21"/>
                      <w:szCs w:val="21"/>
                      <w:lang w:val="en-US"/>
                    </w:rPr>
                  </w:pPr>
                  <w:r>
                    <w:rPr>
                      <w:rFonts w:hAnsi="Times New Roman"/>
                      <w:sz w:val="21"/>
                      <w:szCs w:val="21"/>
                      <w:lang w:val="en-US"/>
                    </w:rPr>
                    <w:t>0.116</w:t>
                  </w:r>
                  <w:r>
                    <w:rPr>
                      <w:rFonts w:hint="eastAsia" w:hAnsi="Times New Roman"/>
                      <w:sz w:val="21"/>
                      <w:szCs w:val="21"/>
                      <w:lang w:val="en-US"/>
                    </w:rPr>
                    <w:t>3</w:t>
                  </w:r>
                </w:p>
              </w:tc>
              <w:tc>
                <w:tcPr>
                  <w:tcW w:w="1256" w:type="dxa"/>
                  <w:vAlign w:val="center"/>
                </w:tcPr>
                <w:p>
                  <w:pPr>
                    <w:pStyle w:val="76"/>
                    <w:rPr>
                      <w:rFonts w:hAnsi="Times New Roman"/>
                      <w:sz w:val="21"/>
                      <w:szCs w:val="21"/>
                      <w:lang w:val="en-US"/>
                    </w:rPr>
                  </w:pPr>
                  <w:r>
                    <w:rPr>
                      <w:rFonts w:hAnsi="Times New Roman"/>
                      <w:sz w:val="21"/>
                      <w:szCs w:val="21"/>
                      <w:lang w:val="en-US"/>
                    </w:rPr>
                    <w:t>0</w:t>
                  </w:r>
                  <w:r>
                    <w:rPr>
                      <w:rFonts w:hint="eastAsia" w:hAnsi="Times New Roman"/>
                      <w:sz w:val="21"/>
                      <w:szCs w:val="21"/>
                      <w:lang w:val="en-US"/>
                    </w:rPr>
                    <w:t>.</w:t>
                  </w:r>
                  <w:r>
                    <w:rPr>
                      <w:rFonts w:hAnsi="Times New Roman"/>
                      <w:sz w:val="21"/>
                      <w:szCs w:val="21"/>
                      <w:lang w:val="en-US"/>
                    </w:rPr>
                    <w:t>1444</w:t>
                  </w:r>
                </w:p>
              </w:tc>
              <w:tc>
                <w:tcPr>
                  <w:tcW w:w="1256" w:type="dxa"/>
                  <w:vAlign w:val="center"/>
                </w:tcPr>
                <w:p>
                  <w:pPr>
                    <w:pStyle w:val="76"/>
                    <w:rPr>
                      <w:rFonts w:hAnsi="Times New Roman"/>
                      <w:sz w:val="21"/>
                      <w:szCs w:val="21"/>
                      <w:lang w:val="en-US"/>
                    </w:rPr>
                  </w:pPr>
                  <w:r>
                    <w:rPr>
                      <w:rFonts w:hAnsi="Times New Roman"/>
                      <w:sz w:val="21"/>
                      <w:szCs w:val="21"/>
                      <w:lang w:val="en-US"/>
                    </w:rPr>
                    <w:t>0.1707</w:t>
                  </w:r>
                </w:p>
              </w:tc>
              <w:tc>
                <w:tcPr>
                  <w:tcW w:w="1256" w:type="dxa"/>
                  <w:vAlign w:val="center"/>
                </w:tcPr>
                <w:p>
                  <w:pPr>
                    <w:pStyle w:val="76"/>
                    <w:rPr>
                      <w:rFonts w:hAnsi="Times New Roman"/>
                      <w:sz w:val="21"/>
                      <w:szCs w:val="21"/>
                      <w:lang w:val="en-US"/>
                    </w:rPr>
                  </w:pPr>
                  <w:r>
                    <w:rPr>
                      <w:rFonts w:hAnsi="Times New Roman"/>
                      <w:sz w:val="21"/>
                      <w:szCs w:val="21"/>
                      <w:lang w:val="en-US"/>
                    </w:rPr>
                    <w:t>0</w:t>
                  </w:r>
                  <w:r>
                    <w:rPr>
                      <w:rFonts w:hint="eastAsia" w:hAnsi="Times New Roman"/>
                      <w:sz w:val="21"/>
                      <w:szCs w:val="21"/>
                      <w:lang w:val="en-US"/>
                    </w:rPr>
                    <w:t>.</w:t>
                  </w:r>
                  <w:r>
                    <w:rPr>
                      <w:rFonts w:hAnsi="Times New Roman"/>
                      <w:sz w:val="21"/>
                      <w:szCs w:val="21"/>
                      <w:lang w:val="en-US"/>
                    </w:rPr>
                    <w:t>2871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0" w:type="dxa"/>
                  <w:vAlign w:val="center"/>
                </w:tcPr>
                <w:p>
                  <w:pPr>
                    <w:pStyle w:val="76"/>
                    <w:rPr>
                      <w:rFonts w:hAnsi="Times New Roman"/>
                      <w:sz w:val="21"/>
                      <w:szCs w:val="21"/>
                      <w:lang w:val="en-US"/>
                    </w:rPr>
                  </w:pPr>
                  <w:r>
                    <w:rPr>
                      <w:rFonts w:hAnsi="Times New Roman"/>
                      <w:sz w:val="21"/>
                      <w:szCs w:val="21"/>
                      <w:lang w:val="en-US"/>
                    </w:rPr>
                    <w:t>15</w:t>
                  </w:r>
                </w:p>
              </w:tc>
              <w:tc>
                <w:tcPr>
                  <w:tcW w:w="1255" w:type="dxa"/>
                  <w:vAlign w:val="center"/>
                </w:tcPr>
                <w:p>
                  <w:pPr>
                    <w:pStyle w:val="76"/>
                    <w:rPr>
                      <w:rFonts w:hAnsi="Times New Roman"/>
                      <w:sz w:val="21"/>
                      <w:szCs w:val="21"/>
                      <w:lang w:val="en-US"/>
                    </w:rPr>
                  </w:pPr>
                  <w:r>
                    <w:rPr>
                      <w:rFonts w:hAnsi="Times New Roman"/>
                      <w:sz w:val="21"/>
                      <w:szCs w:val="21"/>
                      <w:lang w:val="en-US"/>
                    </w:rPr>
                    <w:t>0.1021</w:t>
                  </w:r>
                </w:p>
              </w:tc>
              <w:tc>
                <w:tcPr>
                  <w:tcW w:w="1255" w:type="dxa"/>
                  <w:vAlign w:val="center"/>
                </w:tcPr>
                <w:p>
                  <w:pPr>
                    <w:pStyle w:val="76"/>
                    <w:rPr>
                      <w:rFonts w:hAnsi="Times New Roman"/>
                      <w:sz w:val="21"/>
                      <w:szCs w:val="21"/>
                      <w:lang w:val="en-US"/>
                    </w:rPr>
                  </w:pPr>
                  <w:r>
                    <w:rPr>
                      <w:rFonts w:hAnsi="Times New Roman"/>
                      <w:sz w:val="21"/>
                      <w:szCs w:val="21"/>
                      <w:lang w:val="en-US"/>
                    </w:rPr>
                    <w:t>0.1717</w:t>
                  </w:r>
                </w:p>
              </w:tc>
              <w:tc>
                <w:tcPr>
                  <w:tcW w:w="1256" w:type="dxa"/>
                  <w:vAlign w:val="center"/>
                </w:tcPr>
                <w:p>
                  <w:pPr>
                    <w:pStyle w:val="76"/>
                    <w:rPr>
                      <w:rFonts w:hAnsi="Times New Roman"/>
                      <w:sz w:val="21"/>
                      <w:szCs w:val="21"/>
                      <w:lang w:val="en-US"/>
                    </w:rPr>
                  </w:pPr>
                  <w:r>
                    <w:rPr>
                      <w:rFonts w:hAnsi="Times New Roman"/>
                      <w:sz w:val="21"/>
                      <w:szCs w:val="21"/>
                      <w:lang w:val="en-US"/>
                    </w:rPr>
                    <w:t>0</w:t>
                  </w:r>
                  <w:r>
                    <w:rPr>
                      <w:rFonts w:hint="eastAsia" w:hAnsi="Times New Roman"/>
                      <w:sz w:val="21"/>
                      <w:szCs w:val="21"/>
                      <w:lang w:val="en-US"/>
                    </w:rPr>
                    <w:t>.</w:t>
                  </w:r>
                  <w:r>
                    <w:rPr>
                      <w:rFonts w:hAnsi="Times New Roman"/>
                      <w:sz w:val="21"/>
                      <w:szCs w:val="21"/>
                      <w:lang w:val="en-US"/>
                    </w:rPr>
                    <w:t>2328</w:t>
                  </w:r>
                </w:p>
              </w:tc>
              <w:tc>
                <w:tcPr>
                  <w:tcW w:w="1256" w:type="dxa"/>
                  <w:vAlign w:val="center"/>
                </w:tcPr>
                <w:p>
                  <w:pPr>
                    <w:pStyle w:val="76"/>
                    <w:rPr>
                      <w:rFonts w:hAnsi="Times New Roman"/>
                      <w:sz w:val="21"/>
                      <w:szCs w:val="21"/>
                      <w:lang w:val="en-US"/>
                    </w:rPr>
                  </w:pPr>
                  <w:r>
                    <w:rPr>
                      <w:rFonts w:hAnsi="Times New Roman"/>
                      <w:sz w:val="21"/>
                      <w:szCs w:val="21"/>
                      <w:lang w:val="en-US"/>
                    </w:rPr>
                    <w:t>0.28</w:t>
                  </w:r>
                  <w:r>
                    <w:rPr>
                      <w:rFonts w:hint="eastAsia" w:hAnsi="Times New Roman"/>
                      <w:sz w:val="21"/>
                      <w:szCs w:val="21"/>
                      <w:lang w:val="en-US"/>
                    </w:rPr>
                    <w:t>0</w:t>
                  </w:r>
                  <w:r>
                    <w:rPr>
                      <w:rFonts w:hAnsi="Times New Roman"/>
                      <w:sz w:val="21"/>
                      <w:szCs w:val="21"/>
                      <w:lang w:val="en-US"/>
                    </w:rPr>
                    <w:t>8</w:t>
                  </w:r>
                </w:p>
              </w:tc>
              <w:tc>
                <w:tcPr>
                  <w:tcW w:w="1256" w:type="dxa"/>
                  <w:vAlign w:val="center"/>
                </w:tcPr>
                <w:p>
                  <w:pPr>
                    <w:pStyle w:val="76"/>
                    <w:rPr>
                      <w:rFonts w:hAnsi="Times New Roman"/>
                      <w:sz w:val="21"/>
                      <w:szCs w:val="21"/>
                      <w:lang w:val="en-US"/>
                    </w:rPr>
                  </w:pPr>
                  <w:r>
                    <w:rPr>
                      <w:rFonts w:hAnsi="Times New Roman"/>
                      <w:sz w:val="21"/>
                      <w:szCs w:val="21"/>
                      <w:lang w:val="en-US"/>
                    </w:rPr>
                    <w:t>0.3414</w:t>
                  </w:r>
                </w:p>
              </w:tc>
              <w:tc>
                <w:tcPr>
                  <w:tcW w:w="1256" w:type="dxa"/>
                  <w:vAlign w:val="center"/>
                </w:tcPr>
                <w:p>
                  <w:pPr>
                    <w:pStyle w:val="76"/>
                    <w:rPr>
                      <w:rFonts w:hAnsi="Times New Roman"/>
                      <w:sz w:val="21"/>
                      <w:szCs w:val="21"/>
                      <w:lang w:val="en-US"/>
                    </w:rPr>
                  </w:pPr>
                  <w:r>
                    <w:rPr>
                      <w:rFonts w:hAnsi="Times New Roman"/>
                      <w:sz w:val="21"/>
                      <w:szCs w:val="21"/>
                      <w:lang w:val="en-US"/>
                    </w:rPr>
                    <w:t>0.5742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0" w:type="dxa"/>
                  <w:vAlign w:val="center"/>
                </w:tcPr>
                <w:p>
                  <w:pPr>
                    <w:pStyle w:val="76"/>
                    <w:rPr>
                      <w:rFonts w:hAnsi="Times New Roman"/>
                      <w:sz w:val="21"/>
                      <w:szCs w:val="21"/>
                      <w:lang w:val="en-US"/>
                    </w:rPr>
                  </w:pPr>
                  <w:r>
                    <w:rPr>
                      <w:rFonts w:hAnsi="Times New Roman"/>
                      <w:sz w:val="21"/>
                      <w:szCs w:val="21"/>
                      <w:lang w:val="en-US"/>
                    </w:rPr>
                    <w:t>20</w:t>
                  </w:r>
                </w:p>
              </w:tc>
              <w:tc>
                <w:tcPr>
                  <w:tcW w:w="1255" w:type="dxa"/>
                  <w:vAlign w:val="center"/>
                </w:tcPr>
                <w:p>
                  <w:pPr>
                    <w:pStyle w:val="76"/>
                    <w:rPr>
                      <w:rFonts w:hAnsi="Times New Roman"/>
                      <w:sz w:val="21"/>
                      <w:szCs w:val="21"/>
                      <w:lang w:val="en-US"/>
                    </w:rPr>
                  </w:pPr>
                  <w:r>
                    <w:rPr>
                      <w:rFonts w:hint="eastAsia" w:hAnsi="Times New Roman"/>
                      <w:sz w:val="21"/>
                      <w:szCs w:val="21"/>
                      <w:lang w:val="en-US"/>
                    </w:rPr>
                    <w:t>0.</w:t>
                  </w:r>
                  <w:r>
                    <w:rPr>
                      <w:rFonts w:hAnsi="Times New Roman"/>
                      <w:sz w:val="21"/>
                      <w:szCs w:val="21"/>
                      <w:lang w:val="en-US"/>
                    </w:rPr>
                    <w:t>1532</w:t>
                  </w:r>
                </w:p>
              </w:tc>
              <w:tc>
                <w:tcPr>
                  <w:tcW w:w="1255" w:type="dxa"/>
                  <w:vAlign w:val="center"/>
                </w:tcPr>
                <w:p>
                  <w:pPr>
                    <w:pStyle w:val="76"/>
                    <w:rPr>
                      <w:rFonts w:hAnsi="Times New Roman"/>
                      <w:sz w:val="21"/>
                      <w:szCs w:val="21"/>
                      <w:lang w:val="en-US"/>
                    </w:rPr>
                  </w:pPr>
                  <w:r>
                    <w:rPr>
                      <w:rFonts w:hAnsi="Times New Roman"/>
                      <w:sz w:val="21"/>
                      <w:szCs w:val="21"/>
                      <w:lang w:val="en-US"/>
                    </w:rPr>
                    <w:t>0.2576</w:t>
                  </w:r>
                </w:p>
              </w:tc>
              <w:tc>
                <w:tcPr>
                  <w:tcW w:w="1256" w:type="dxa"/>
                  <w:vAlign w:val="center"/>
                </w:tcPr>
                <w:p>
                  <w:pPr>
                    <w:pStyle w:val="76"/>
                    <w:rPr>
                      <w:rFonts w:hAnsi="Times New Roman"/>
                      <w:sz w:val="21"/>
                      <w:szCs w:val="21"/>
                      <w:lang w:val="en-US"/>
                    </w:rPr>
                  </w:pPr>
                  <w:r>
                    <w:rPr>
                      <w:rFonts w:hAnsi="Times New Roman"/>
                      <w:sz w:val="21"/>
                      <w:szCs w:val="21"/>
                      <w:lang w:val="en-US"/>
                    </w:rPr>
                    <w:t>0.3491</w:t>
                  </w:r>
                </w:p>
              </w:tc>
              <w:tc>
                <w:tcPr>
                  <w:tcW w:w="1256" w:type="dxa"/>
                  <w:vAlign w:val="center"/>
                </w:tcPr>
                <w:p>
                  <w:pPr>
                    <w:pStyle w:val="76"/>
                    <w:rPr>
                      <w:rFonts w:hAnsi="Times New Roman"/>
                      <w:sz w:val="21"/>
                      <w:szCs w:val="21"/>
                      <w:lang w:val="en-US"/>
                    </w:rPr>
                  </w:pPr>
                  <w:r>
                    <w:rPr>
                      <w:rFonts w:hAnsi="Times New Roman"/>
                      <w:sz w:val="21"/>
                      <w:szCs w:val="21"/>
                      <w:lang w:val="en-US"/>
                    </w:rPr>
                    <w:t>0.4</w:t>
                  </w:r>
                  <w:r>
                    <w:rPr>
                      <w:rFonts w:hint="eastAsia" w:hAnsi="Times New Roman"/>
                      <w:sz w:val="21"/>
                      <w:szCs w:val="21"/>
                      <w:lang w:val="en-US"/>
                    </w:rPr>
                    <w:t>1</w:t>
                  </w:r>
                  <w:r>
                    <w:rPr>
                      <w:rFonts w:hAnsi="Times New Roman"/>
                      <w:sz w:val="21"/>
                      <w:szCs w:val="21"/>
                      <w:lang w:val="en-US"/>
                    </w:rPr>
                    <w:t>3</w:t>
                  </w:r>
                  <w:r>
                    <w:rPr>
                      <w:rFonts w:hint="eastAsia" w:hAnsi="Times New Roman"/>
                      <w:sz w:val="21"/>
                      <w:szCs w:val="21"/>
                      <w:lang w:val="en-US"/>
                    </w:rPr>
                    <w:t>0</w:t>
                  </w:r>
                </w:p>
              </w:tc>
              <w:tc>
                <w:tcPr>
                  <w:tcW w:w="1256" w:type="dxa"/>
                  <w:vAlign w:val="center"/>
                </w:tcPr>
                <w:p>
                  <w:pPr>
                    <w:pStyle w:val="76"/>
                    <w:rPr>
                      <w:rFonts w:hAnsi="Times New Roman"/>
                      <w:sz w:val="21"/>
                      <w:szCs w:val="21"/>
                      <w:lang w:val="en-US"/>
                    </w:rPr>
                  </w:pPr>
                  <w:r>
                    <w:rPr>
                      <w:rFonts w:hAnsi="Times New Roman"/>
                      <w:sz w:val="21"/>
                      <w:szCs w:val="21"/>
                      <w:lang w:val="en-US"/>
                    </w:rPr>
                    <w:t>0.5121</w:t>
                  </w:r>
                </w:p>
              </w:tc>
              <w:tc>
                <w:tcPr>
                  <w:tcW w:w="1256" w:type="dxa"/>
                  <w:vAlign w:val="center"/>
                </w:tcPr>
                <w:p>
                  <w:pPr>
                    <w:pStyle w:val="76"/>
                    <w:rPr>
                      <w:rFonts w:hAnsi="Times New Roman"/>
                      <w:sz w:val="21"/>
                      <w:szCs w:val="21"/>
                      <w:lang w:val="en-US"/>
                    </w:rPr>
                  </w:pPr>
                  <w:r>
                    <w:rPr>
                      <w:rFonts w:hAnsi="Times New Roman"/>
                      <w:sz w:val="21"/>
                      <w:szCs w:val="21"/>
                      <w:lang w:val="en-US"/>
                    </w:rPr>
                    <w:t>0.8613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0" w:type="dxa"/>
                  <w:vAlign w:val="center"/>
                </w:tcPr>
                <w:p>
                  <w:pPr>
                    <w:pStyle w:val="76"/>
                    <w:rPr>
                      <w:rFonts w:hAnsi="Times New Roman"/>
                      <w:sz w:val="21"/>
                      <w:szCs w:val="21"/>
                      <w:lang w:val="en-US"/>
                    </w:rPr>
                  </w:pPr>
                  <w:r>
                    <w:rPr>
                      <w:rFonts w:hAnsi="Times New Roman"/>
                      <w:sz w:val="21"/>
                      <w:szCs w:val="21"/>
                      <w:lang w:val="en-US"/>
                    </w:rPr>
                    <w:t>30</w:t>
                  </w:r>
                </w:p>
              </w:tc>
              <w:tc>
                <w:tcPr>
                  <w:tcW w:w="1255" w:type="dxa"/>
                  <w:vAlign w:val="center"/>
                </w:tcPr>
                <w:p>
                  <w:pPr>
                    <w:pStyle w:val="76"/>
                    <w:rPr>
                      <w:rFonts w:hAnsi="Times New Roman"/>
                      <w:sz w:val="21"/>
                      <w:szCs w:val="21"/>
                      <w:lang w:val="en-US"/>
                    </w:rPr>
                  </w:pPr>
                  <w:r>
                    <w:rPr>
                      <w:rFonts w:hint="eastAsia" w:hAnsi="Times New Roman"/>
                      <w:sz w:val="21"/>
                      <w:szCs w:val="21"/>
                      <w:lang w:val="en-US"/>
                    </w:rPr>
                    <w:t>0.</w:t>
                  </w:r>
                  <w:r>
                    <w:rPr>
                      <w:rFonts w:hAnsi="Times New Roman"/>
                      <w:sz w:val="21"/>
                      <w:szCs w:val="21"/>
                      <w:lang w:val="en-US"/>
                    </w:rPr>
                    <w:t>2553</w:t>
                  </w:r>
                </w:p>
              </w:tc>
              <w:tc>
                <w:tcPr>
                  <w:tcW w:w="1255" w:type="dxa"/>
                  <w:vAlign w:val="center"/>
                </w:tcPr>
                <w:p>
                  <w:pPr>
                    <w:pStyle w:val="76"/>
                    <w:rPr>
                      <w:rFonts w:hAnsi="Times New Roman"/>
                      <w:sz w:val="21"/>
                      <w:szCs w:val="21"/>
                      <w:lang w:val="en-US"/>
                    </w:rPr>
                  </w:pPr>
                  <w:r>
                    <w:rPr>
                      <w:rFonts w:hint="eastAsia" w:hAnsi="Times New Roman"/>
                      <w:sz w:val="21"/>
                      <w:szCs w:val="21"/>
                      <w:lang w:val="en-US"/>
                    </w:rPr>
                    <w:t>0</w:t>
                  </w:r>
                  <w:r>
                    <w:rPr>
                      <w:rFonts w:hAnsi="Times New Roman"/>
                      <w:sz w:val="21"/>
                      <w:szCs w:val="21"/>
                      <w:lang w:val="en-US"/>
                    </w:rPr>
                    <w:t>.4293</w:t>
                  </w:r>
                </w:p>
              </w:tc>
              <w:tc>
                <w:tcPr>
                  <w:tcW w:w="1256" w:type="dxa"/>
                  <w:vAlign w:val="center"/>
                </w:tcPr>
                <w:p>
                  <w:pPr>
                    <w:pStyle w:val="76"/>
                    <w:rPr>
                      <w:rFonts w:hAnsi="Times New Roman"/>
                      <w:sz w:val="21"/>
                      <w:szCs w:val="21"/>
                      <w:lang w:val="en-US"/>
                    </w:rPr>
                  </w:pPr>
                  <w:r>
                    <w:rPr>
                      <w:rFonts w:hAnsi="Times New Roman"/>
                      <w:sz w:val="21"/>
                      <w:szCs w:val="21"/>
                      <w:lang w:val="en-US"/>
                    </w:rPr>
                    <w:t>0.58</w:t>
                  </w:r>
                  <w:r>
                    <w:rPr>
                      <w:rFonts w:hint="eastAsia" w:hAnsi="Times New Roman"/>
                      <w:sz w:val="21"/>
                      <w:szCs w:val="21"/>
                      <w:lang w:val="en-US"/>
                    </w:rPr>
                    <w:t>1</w:t>
                  </w:r>
                  <w:r>
                    <w:rPr>
                      <w:rFonts w:hAnsi="Times New Roman"/>
                      <w:sz w:val="21"/>
                      <w:szCs w:val="21"/>
                      <w:lang w:val="en-US"/>
                    </w:rPr>
                    <w:t>9</w:t>
                  </w:r>
                </w:p>
              </w:tc>
              <w:tc>
                <w:tcPr>
                  <w:tcW w:w="1256" w:type="dxa"/>
                  <w:vAlign w:val="center"/>
                </w:tcPr>
                <w:p>
                  <w:pPr>
                    <w:pStyle w:val="76"/>
                    <w:rPr>
                      <w:rFonts w:hAnsi="Times New Roman"/>
                      <w:sz w:val="21"/>
                      <w:szCs w:val="21"/>
                      <w:lang w:val="en-US"/>
                    </w:rPr>
                  </w:pPr>
                  <w:r>
                    <w:rPr>
                      <w:rFonts w:hAnsi="Times New Roman"/>
                      <w:sz w:val="21"/>
                      <w:szCs w:val="21"/>
                      <w:lang w:val="en-US"/>
                    </w:rPr>
                    <w:t>0.7220</w:t>
                  </w:r>
                </w:p>
              </w:tc>
              <w:tc>
                <w:tcPr>
                  <w:tcW w:w="1256" w:type="dxa"/>
                  <w:vAlign w:val="center"/>
                </w:tcPr>
                <w:p>
                  <w:pPr>
                    <w:pStyle w:val="76"/>
                    <w:rPr>
                      <w:rFonts w:hAnsi="Times New Roman"/>
                      <w:sz w:val="21"/>
                      <w:szCs w:val="21"/>
                      <w:lang w:val="en-US"/>
                    </w:rPr>
                  </w:pPr>
                  <w:r>
                    <w:rPr>
                      <w:rFonts w:hAnsi="Times New Roman"/>
                      <w:sz w:val="21"/>
                      <w:szCs w:val="21"/>
                      <w:lang w:val="en-US"/>
                    </w:rPr>
                    <w:t>0.</w:t>
                  </w:r>
                  <w:r>
                    <w:rPr>
                      <w:rFonts w:hint="eastAsia" w:hAnsi="Times New Roman"/>
                      <w:sz w:val="21"/>
                      <w:szCs w:val="21"/>
                      <w:lang w:val="en-US"/>
                    </w:rPr>
                    <w:t>8</w:t>
                  </w:r>
                  <w:r>
                    <w:rPr>
                      <w:rFonts w:hAnsi="Times New Roman"/>
                      <w:sz w:val="21"/>
                      <w:szCs w:val="21"/>
                      <w:lang w:val="en-US"/>
                    </w:rPr>
                    <w:t>536</w:t>
                  </w:r>
                </w:p>
              </w:tc>
              <w:tc>
                <w:tcPr>
                  <w:tcW w:w="1256" w:type="dxa"/>
                  <w:vAlign w:val="center"/>
                </w:tcPr>
                <w:p>
                  <w:pPr>
                    <w:pStyle w:val="76"/>
                    <w:rPr>
                      <w:rFonts w:hAnsi="Times New Roman"/>
                      <w:sz w:val="21"/>
                      <w:szCs w:val="21"/>
                      <w:lang w:val="en-US"/>
                    </w:rPr>
                  </w:pPr>
                  <w:r>
                    <w:rPr>
                      <w:rFonts w:hAnsi="Times New Roman"/>
                      <w:sz w:val="21"/>
                      <w:szCs w:val="21"/>
                      <w:lang w:val="en-US"/>
                    </w:rPr>
                    <w:t>1.4355</w:t>
                  </w:r>
                </w:p>
              </w:tc>
            </w:tr>
          </w:tbl>
          <w:p>
            <w:pPr>
              <w:pStyle w:val="79"/>
              <w:spacing w:line="360" w:lineRule="auto"/>
            </w:pPr>
            <w:r>
              <w:t>②土方开挖扬尘</w:t>
            </w:r>
          </w:p>
          <w:p>
            <w:pPr>
              <w:pStyle w:val="79"/>
              <w:spacing w:line="360" w:lineRule="auto"/>
            </w:pPr>
            <w:r>
              <w:t>项目</w:t>
            </w:r>
            <w:r>
              <w:rPr>
                <w:rFonts w:hint="eastAsia"/>
              </w:rPr>
              <w:t>厂区</w:t>
            </w:r>
            <w:r>
              <w:t>开挖工序中有开挖扬尘产生，开挖过程使土质松散，遇风易起尘。</w:t>
            </w:r>
          </w:p>
          <w:p>
            <w:pPr>
              <w:pStyle w:val="79"/>
              <w:spacing w:line="360" w:lineRule="auto"/>
              <w:rPr>
                <w:rFonts w:ascii="Times New Roman"/>
                <w:szCs w:val="24"/>
              </w:rPr>
            </w:pPr>
            <w:r>
              <w:rPr>
                <w:szCs w:val="24"/>
              </w:rPr>
              <w:t>③</w:t>
            </w:r>
            <w:r>
              <w:rPr>
                <w:rFonts w:ascii="Times New Roman"/>
                <w:szCs w:val="24"/>
              </w:rPr>
              <w:t>堆土场扬尘</w:t>
            </w:r>
          </w:p>
          <w:p>
            <w:pPr>
              <w:pStyle w:val="79"/>
              <w:spacing w:line="360" w:lineRule="auto"/>
              <w:rPr>
                <w:rFonts w:ascii="Times New Roman"/>
                <w:szCs w:val="24"/>
              </w:rPr>
            </w:pPr>
            <w:r>
              <w:rPr>
                <w:rFonts w:ascii="Times New Roman"/>
                <w:szCs w:val="24"/>
              </w:rPr>
              <w:t>由于施工需要，一些建筑材料需露天堆放，一些施工作业点表层土壤需人工开挖且临时堆放，在气候干燥又有风的情况下，会产生扬尘。</w:t>
            </w:r>
          </w:p>
          <w:p>
            <w:pPr>
              <w:pStyle w:val="79"/>
              <w:spacing w:line="360" w:lineRule="auto"/>
              <w:rPr>
                <w:rFonts w:ascii="Times New Roman"/>
                <w:szCs w:val="24"/>
              </w:rPr>
            </w:pPr>
            <w:r>
              <w:rPr>
                <w:rFonts w:ascii="Times New Roman"/>
                <w:szCs w:val="24"/>
              </w:rPr>
              <w:t>起尘风速与粒径和含水率有关，粉尘在空气中扩散稀释与风速等气象条件有关，也与粉尘本身的沉降速度有关。不同粒径粉尘的沉降速度见表</w:t>
            </w:r>
            <w:r>
              <w:rPr>
                <w:rFonts w:hint="eastAsia" w:ascii="Times New Roman" w:hAnsi="Times New Roman"/>
                <w:szCs w:val="24"/>
              </w:rPr>
              <w:t>29</w:t>
            </w:r>
            <w:r>
              <w:rPr>
                <w:rFonts w:ascii="Times New Roman"/>
                <w:szCs w:val="24"/>
              </w:rPr>
              <w:t>。</w:t>
            </w:r>
          </w:p>
          <w:p>
            <w:pPr>
              <w:pStyle w:val="18"/>
              <w:spacing w:beforeLines="0"/>
              <w:rPr>
                <w:rFonts w:hAnsi="宋体" w:eastAsia="宋体"/>
                <w:b/>
                <w:bCs w:val="0"/>
                <w:kern w:val="2"/>
                <w:szCs w:val="20"/>
                <w:lang w:val="en-US"/>
              </w:rPr>
            </w:pPr>
            <w:r>
              <w:rPr>
                <w:rFonts w:hint="eastAsia" w:hAnsi="宋体" w:eastAsia="宋体"/>
                <w:b/>
                <w:bCs w:val="0"/>
                <w:kern w:val="2"/>
                <w:szCs w:val="20"/>
                <w:lang w:val="en-US"/>
              </w:rPr>
              <w:t>表29    不同粒径尘粒的沉降速度</w:t>
            </w:r>
          </w:p>
          <w:tbl>
            <w:tblPr>
              <w:tblStyle w:val="24"/>
              <w:tblpPr w:leftFromText="180" w:rightFromText="180" w:vertAnchor="text" w:horzAnchor="page" w:tblpXSpec="center" w:tblpY="63"/>
              <w:tblOverlap w:val="never"/>
              <w:tblW w:w="882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985"/>
              <w:gridCol w:w="985"/>
              <w:gridCol w:w="985"/>
              <w:gridCol w:w="985"/>
              <w:gridCol w:w="985"/>
              <w:gridCol w:w="985"/>
              <w:gridCol w:w="9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24" w:type="dxa"/>
                  <w:vAlign w:val="center"/>
                </w:tcPr>
                <w:p>
                  <w:pPr>
                    <w:pStyle w:val="76"/>
                    <w:rPr>
                      <w:rFonts w:hAnsi="Times New Roman"/>
                      <w:sz w:val="21"/>
                      <w:szCs w:val="21"/>
                      <w:lang w:val="en-US"/>
                    </w:rPr>
                  </w:pPr>
                  <w:r>
                    <w:rPr>
                      <w:rFonts w:hAnsi="Times New Roman"/>
                      <w:sz w:val="21"/>
                      <w:szCs w:val="21"/>
                      <w:lang w:val="en-US"/>
                    </w:rPr>
                    <w:t>粉尘粒径（μm）</w:t>
                  </w:r>
                </w:p>
              </w:tc>
              <w:tc>
                <w:tcPr>
                  <w:tcW w:w="985" w:type="dxa"/>
                  <w:vAlign w:val="center"/>
                </w:tcPr>
                <w:p>
                  <w:pPr>
                    <w:pStyle w:val="76"/>
                    <w:rPr>
                      <w:rFonts w:hAnsi="Times New Roman"/>
                      <w:sz w:val="21"/>
                      <w:szCs w:val="21"/>
                      <w:lang w:val="en-US"/>
                    </w:rPr>
                  </w:pPr>
                  <w:r>
                    <w:rPr>
                      <w:rFonts w:hAnsi="Times New Roman"/>
                      <w:sz w:val="21"/>
                      <w:szCs w:val="21"/>
                      <w:lang w:val="en-US"/>
                    </w:rPr>
                    <w:t>10</w:t>
                  </w:r>
                </w:p>
              </w:tc>
              <w:tc>
                <w:tcPr>
                  <w:tcW w:w="985" w:type="dxa"/>
                  <w:vAlign w:val="center"/>
                </w:tcPr>
                <w:p>
                  <w:pPr>
                    <w:pStyle w:val="76"/>
                    <w:rPr>
                      <w:rFonts w:hAnsi="Times New Roman"/>
                      <w:sz w:val="21"/>
                      <w:szCs w:val="21"/>
                      <w:lang w:val="en-US"/>
                    </w:rPr>
                  </w:pPr>
                  <w:r>
                    <w:rPr>
                      <w:rFonts w:hAnsi="Times New Roman"/>
                      <w:sz w:val="21"/>
                      <w:szCs w:val="21"/>
                      <w:lang w:val="en-US"/>
                    </w:rPr>
                    <w:t>20</w:t>
                  </w:r>
                </w:p>
              </w:tc>
              <w:tc>
                <w:tcPr>
                  <w:tcW w:w="985" w:type="dxa"/>
                  <w:vAlign w:val="center"/>
                </w:tcPr>
                <w:p>
                  <w:pPr>
                    <w:pStyle w:val="76"/>
                    <w:rPr>
                      <w:rFonts w:hAnsi="Times New Roman"/>
                      <w:sz w:val="21"/>
                      <w:szCs w:val="21"/>
                      <w:lang w:val="en-US"/>
                    </w:rPr>
                  </w:pPr>
                  <w:r>
                    <w:rPr>
                      <w:rFonts w:hAnsi="Times New Roman"/>
                      <w:sz w:val="21"/>
                      <w:szCs w:val="21"/>
                      <w:lang w:val="en-US"/>
                    </w:rPr>
                    <w:t>30</w:t>
                  </w:r>
                </w:p>
              </w:tc>
              <w:tc>
                <w:tcPr>
                  <w:tcW w:w="985" w:type="dxa"/>
                  <w:vAlign w:val="center"/>
                </w:tcPr>
                <w:p>
                  <w:pPr>
                    <w:pStyle w:val="76"/>
                    <w:rPr>
                      <w:rFonts w:hAnsi="Times New Roman"/>
                      <w:sz w:val="21"/>
                      <w:szCs w:val="21"/>
                      <w:lang w:val="en-US"/>
                    </w:rPr>
                  </w:pPr>
                  <w:r>
                    <w:rPr>
                      <w:rFonts w:hAnsi="Times New Roman"/>
                      <w:sz w:val="21"/>
                      <w:szCs w:val="21"/>
                      <w:lang w:val="en-US"/>
                    </w:rPr>
                    <w:t>4</w:t>
                  </w:r>
                  <w:r>
                    <w:rPr>
                      <w:rFonts w:hint="eastAsia" w:hAnsi="Times New Roman"/>
                      <w:sz w:val="21"/>
                      <w:szCs w:val="21"/>
                      <w:lang w:val="en-US"/>
                    </w:rPr>
                    <w:t>0</w:t>
                  </w:r>
                </w:p>
              </w:tc>
              <w:tc>
                <w:tcPr>
                  <w:tcW w:w="985" w:type="dxa"/>
                  <w:vAlign w:val="center"/>
                </w:tcPr>
                <w:p>
                  <w:pPr>
                    <w:pStyle w:val="76"/>
                    <w:rPr>
                      <w:rFonts w:hAnsi="Times New Roman"/>
                      <w:sz w:val="21"/>
                      <w:szCs w:val="21"/>
                      <w:lang w:val="en-US"/>
                    </w:rPr>
                  </w:pPr>
                  <w:r>
                    <w:rPr>
                      <w:rFonts w:hAnsi="Times New Roman"/>
                      <w:sz w:val="21"/>
                      <w:szCs w:val="21"/>
                      <w:lang w:val="en-US"/>
                    </w:rPr>
                    <w:t>50</w:t>
                  </w:r>
                </w:p>
              </w:tc>
              <w:tc>
                <w:tcPr>
                  <w:tcW w:w="985" w:type="dxa"/>
                  <w:vAlign w:val="center"/>
                </w:tcPr>
                <w:p>
                  <w:pPr>
                    <w:pStyle w:val="76"/>
                    <w:rPr>
                      <w:rFonts w:hAnsi="Times New Roman"/>
                      <w:sz w:val="21"/>
                      <w:szCs w:val="21"/>
                      <w:lang w:val="en-US"/>
                    </w:rPr>
                  </w:pPr>
                  <w:r>
                    <w:rPr>
                      <w:rFonts w:hAnsi="Times New Roman"/>
                      <w:sz w:val="21"/>
                      <w:szCs w:val="21"/>
                      <w:lang w:val="en-US"/>
                    </w:rPr>
                    <w:t>6</w:t>
                  </w:r>
                  <w:r>
                    <w:rPr>
                      <w:rFonts w:hint="eastAsia" w:hAnsi="Times New Roman"/>
                      <w:sz w:val="21"/>
                      <w:szCs w:val="21"/>
                      <w:lang w:val="en-US"/>
                    </w:rPr>
                    <w:t>0</w:t>
                  </w:r>
                </w:p>
              </w:tc>
              <w:tc>
                <w:tcPr>
                  <w:tcW w:w="990" w:type="dxa"/>
                  <w:vAlign w:val="center"/>
                </w:tcPr>
                <w:p>
                  <w:pPr>
                    <w:pStyle w:val="76"/>
                    <w:rPr>
                      <w:rFonts w:hAnsi="Times New Roman"/>
                      <w:sz w:val="21"/>
                      <w:szCs w:val="21"/>
                      <w:lang w:val="en-US"/>
                    </w:rPr>
                  </w:pPr>
                  <w:r>
                    <w:rPr>
                      <w:rFonts w:hAnsi="Times New Roman"/>
                      <w:sz w:val="21"/>
                      <w:szCs w:val="21"/>
                      <w:lang w:val="en-US"/>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24" w:type="dxa"/>
                  <w:vAlign w:val="center"/>
                </w:tcPr>
                <w:p>
                  <w:pPr>
                    <w:pStyle w:val="76"/>
                    <w:rPr>
                      <w:rFonts w:hAnsi="Times New Roman"/>
                      <w:sz w:val="21"/>
                      <w:szCs w:val="21"/>
                      <w:lang w:val="en-US"/>
                    </w:rPr>
                  </w:pPr>
                  <w:r>
                    <w:rPr>
                      <w:rFonts w:hAnsi="Times New Roman"/>
                      <w:sz w:val="21"/>
                      <w:szCs w:val="21"/>
                      <w:lang w:val="en-US"/>
                    </w:rPr>
                    <w:t>沉降速度（m/</w:t>
                  </w:r>
                  <w:r>
                    <w:rPr>
                      <w:rFonts w:hint="eastAsia" w:hAnsi="Times New Roman"/>
                      <w:sz w:val="21"/>
                      <w:szCs w:val="21"/>
                      <w:lang w:val="en-US"/>
                    </w:rPr>
                    <w:t>s</w:t>
                  </w:r>
                  <w:r>
                    <w:rPr>
                      <w:rFonts w:hAnsi="Times New Roman"/>
                      <w:sz w:val="21"/>
                      <w:szCs w:val="21"/>
                      <w:lang w:val="en-US"/>
                    </w:rPr>
                    <w:t>）</w:t>
                  </w:r>
                </w:p>
              </w:tc>
              <w:tc>
                <w:tcPr>
                  <w:tcW w:w="985" w:type="dxa"/>
                  <w:vAlign w:val="center"/>
                </w:tcPr>
                <w:p>
                  <w:pPr>
                    <w:pStyle w:val="76"/>
                    <w:rPr>
                      <w:rFonts w:hAnsi="Times New Roman"/>
                      <w:sz w:val="21"/>
                      <w:szCs w:val="21"/>
                      <w:lang w:val="en-US"/>
                    </w:rPr>
                  </w:pPr>
                  <w:r>
                    <w:rPr>
                      <w:rFonts w:hAnsi="Times New Roman"/>
                      <w:sz w:val="21"/>
                      <w:szCs w:val="21"/>
                      <w:lang w:val="en-US"/>
                    </w:rPr>
                    <w:t>0.00</w:t>
                  </w:r>
                  <w:r>
                    <w:rPr>
                      <w:rFonts w:hint="eastAsia" w:hAnsi="Times New Roman"/>
                      <w:sz w:val="21"/>
                      <w:szCs w:val="21"/>
                      <w:lang w:val="en-US"/>
                    </w:rPr>
                    <w:t>4</w:t>
                  </w:r>
                </w:p>
              </w:tc>
              <w:tc>
                <w:tcPr>
                  <w:tcW w:w="985" w:type="dxa"/>
                  <w:vAlign w:val="center"/>
                </w:tcPr>
                <w:p>
                  <w:pPr>
                    <w:pStyle w:val="76"/>
                    <w:rPr>
                      <w:rFonts w:hAnsi="Times New Roman"/>
                      <w:sz w:val="21"/>
                      <w:szCs w:val="21"/>
                      <w:lang w:val="en-US"/>
                    </w:rPr>
                  </w:pPr>
                  <w:r>
                    <w:rPr>
                      <w:rFonts w:hAnsi="Times New Roman"/>
                      <w:sz w:val="21"/>
                      <w:szCs w:val="21"/>
                      <w:lang w:val="en-US"/>
                    </w:rPr>
                    <w:t>0</w:t>
                  </w:r>
                  <w:r>
                    <w:rPr>
                      <w:rFonts w:hint="eastAsia" w:hAnsi="Times New Roman"/>
                      <w:sz w:val="21"/>
                      <w:szCs w:val="21"/>
                      <w:lang w:val="en-US"/>
                    </w:rPr>
                    <w:t>.</w:t>
                  </w:r>
                  <w:r>
                    <w:rPr>
                      <w:rFonts w:hAnsi="Times New Roman"/>
                      <w:sz w:val="21"/>
                      <w:szCs w:val="21"/>
                      <w:lang w:val="en-US"/>
                    </w:rPr>
                    <w:t>012</w:t>
                  </w:r>
                </w:p>
              </w:tc>
              <w:tc>
                <w:tcPr>
                  <w:tcW w:w="985" w:type="dxa"/>
                  <w:vAlign w:val="center"/>
                </w:tcPr>
                <w:p>
                  <w:pPr>
                    <w:pStyle w:val="76"/>
                    <w:rPr>
                      <w:rFonts w:hAnsi="Times New Roman"/>
                      <w:sz w:val="21"/>
                      <w:szCs w:val="21"/>
                      <w:lang w:val="en-US"/>
                    </w:rPr>
                  </w:pPr>
                  <w:r>
                    <w:rPr>
                      <w:rFonts w:hAnsi="Times New Roman"/>
                      <w:sz w:val="21"/>
                      <w:szCs w:val="21"/>
                      <w:lang w:val="en-US"/>
                    </w:rPr>
                    <w:t>0.027</w:t>
                  </w:r>
                </w:p>
              </w:tc>
              <w:tc>
                <w:tcPr>
                  <w:tcW w:w="985" w:type="dxa"/>
                  <w:vAlign w:val="center"/>
                </w:tcPr>
                <w:p>
                  <w:pPr>
                    <w:pStyle w:val="76"/>
                    <w:rPr>
                      <w:rFonts w:hAnsi="Times New Roman"/>
                      <w:sz w:val="21"/>
                      <w:szCs w:val="21"/>
                      <w:lang w:val="en-US"/>
                    </w:rPr>
                  </w:pPr>
                  <w:r>
                    <w:rPr>
                      <w:rFonts w:hAnsi="Times New Roman"/>
                      <w:sz w:val="21"/>
                      <w:szCs w:val="21"/>
                      <w:lang w:val="en-US"/>
                    </w:rPr>
                    <w:t>0.048</w:t>
                  </w:r>
                </w:p>
              </w:tc>
              <w:tc>
                <w:tcPr>
                  <w:tcW w:w="985" w:type="dxa"/>
                  <w:vAlign w:val="center"/>
                </w:tcPr>
                <w:p>
                  <w:pPr>
                    <w:pStyle w:val="76"/>
                    <w:rPr>
                      <w:rFonts w:hAnsi="Times New Roman"/>
                      <w:sz w:val="21"/>
                      <w:szCs w:val="21"/>
                      <w:lang w:val="en-US"/>
                    </w:rPr>
                  </w:pPr>
                  <w:r>
                    <w:rPr>
                      <w:rFonts w:hAnsi="Times New Roman"/>
                      <w:sz w:val="21"/>
                      <w:szCs w:val="21"/>
                      <w:lang w:val="en-US"/>
                    </w:rPr>
                    <w:t>0.075</w:t>
                  </w:r>
                </w:p>
              </w:tc>
              <w:tc>
                <w:tcPr>
                  <w:tcW w:w="985" w:type="dxa"/>
                  <w:vAlign w:val="center"/>
                </w:tcPr>
                <w:p>
                  <w:pPr>
                    <w:pStyle w:val="76"/>
                    <w:rPr>
                      <w:rFonts w:hAnsi="Times New Roman"/>
                      <w:sz w:val="21"/>
                      <w:szCs w:val="21"/>
                      <w:lang w:val="en-US"/>
                    </w:rPr>
                  </w:pPr>
                  <w:r>
                    <w:rPr>
                      <w:rFonts w:hAnsi="Times New Roman"/>
                      <w:sz w:val="21"/>
                      <w:szCs w:val="21"/>
                      <w:lang w:val="en-US"/>
                    </w:rPr>
                    <w:t>0.108</w:t>
                  </w:r>
                </w:p>
              </w:tc>
              <w:tc>
                <w:tcPr>
                  <w:tcW w:w="990" w:type="dxa"/>
                  <w:vAlign w:val="center"/>
                </w:tcPr>
                <w:p>
                  <w:pPr>
                    <w:pStyle w:val="76"/>
                    <w:rPr>
                      <w:rFonts w:hAnsi="Times New Roman"/>
                      <w:sz w:val="21"/>
                      <w:szCs w:val="21"/>
                      <w:lang w:val="en-US"/>
                    </w:rPr>
                  </w:pPr>
                  <w:r>
                    <w:rPr>
                      <w:rFonts w:hAnsi="Times New Roman"/>
                      <w:sz w:val="21"/>
                      <w:szCs w:val="21"/>
                      <w:lang w:val="en-US"/>
                    </w:rPr>
                    <w:t>0.147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24" w:type="dxa"/>
                  <w:vAlign w:val="center"/>
                </w:tcPr>
                <w:p>
                  <w:pPr>
                    <w:pStyle w:val="76"/>
                    <w:rPr>
                      <w:rFonts w:hAnsi="Times New Roman"/>
                      <w:sz w:val="21"/>
                      <w:szCs w:val="21"/>
                      <w:lang w:val="en-US"/>
                    </w:rPr>
                  </w:pPr>
                  <w:r>
                    <w:rPr>
                      <w:rFonts w:hAnsi="Times New Roman"/>
                      <w:sz w:val="21"/>
                      <w:szCs w:val="21"/>
                      <w:lang w:val="en-US"/>
                    </w:rPr>
                    <w:t>粉尘粒径（μm）</w:t>
                  </w:r>
                </w:p>
              </w:tc>
              <w:tc>
                <w:tcPr>
                  <w:tcW w:w="985" w:type="dxa"/>
                  <w:vAlign w:val="center"/>
                </w:tcPr>
                <w:p>
                  <w:pPr>
                    <w:pStyle w:val="76"/>
                    <w:rPr>
                      <w:rFonts w:hAnsi="Times New Roman"/>
                      <w:sz w:val="21"/>
                      <w:szCs w:val="21"/>
                      <w:lang w:val="en-US"/>
                    </w:rPr>
                  </w:pPr>
                  <w:r>
                    <w:rPr>
                      <w:rFonts w:hAnsi="Times New Roman"/>
                      <w:sz w:val="21"/>
                      <w:szCs w:val="21"/>
                      <w:lang w:val="en-US"/>
                    </w:rPr>
                    <w:t>80</w:t>
                  </w:r>
                </w:p>
              </w:tc>
              <w:tc>
                <w:tcPr>
                  <w:tcW w:w="985" w:type="dxa"/>
                  <w:vAlign w:val="center"/>
                </w:tcPr>
                <w:p>
                  <w:pPr>
                    <w:pStyle w:val="76"/>
                    <w:rPr>
                      <w:rFonts w:hAnsi="Times New Roman"/>
                      <w:sz w:val="21"/>
                      <w:szCs w:val="21"/>
                      <w:lang w:val="en-US"/>
                    </w:rPr>
                  </w:pPr>
                  <w:r>
                    <w:rPr>
                      <w:rFonts w:hint="eastAsia" w:hAnsi="Times New Roman"/>
                      <w:sz w:val="21"/>
                      <w:szCs w:val="21"/>
                      <w:lang w:val="en-US"/>
                    </w:rPr>
                    <w:t>9</w:t>
                  </w:r>
                  <w:r>
                    <w:rPr>
                      <w:rFonts w:hAnsi="Times New Roman"/>
                      <w:sz w:val="21"/>
                      <w:szCs w:val="21"/>
                      <w:lang w:val="en-US"/>
                    </w:rPr>
                    <w:t>0</w:t>
                  </w:r>
                </w:p>
              </w:tc>
              <w:tc>
                <w:tcPr>
                  <w:tcW w:w="985" w:type="dxa"/>
                  <w:vAlign w:val="center"/>
                </w:tcPr>
                <w:p>
                  <w:pPr>
                    <w:pStyle w:val="76"/>
                    <w:rPr>
                      <w:rFonts w:hAnsi="Times New Roman"/>
                      <w:sz w:val="21"/>
                      <w:szCs w:val="21"/>
                      <w:lang w:val="en-US"/>
                    </w:rPr>
                  </w:pPr>
                  <w:r>
                    <w:rPr>
                      <w:rFonts w:hAnsi="Times New Roman"/>
                      <w:sz w:val="21"/>
                      <w:szCs w:val="21"/>
                      <w:lang w:val="en-US"/>
                    </w:rPr>
                    <w:t>100</w:t>
                  </w:r>
                </w:p>
              </w:tc>
              <w:tc>
                <w:tcPr>
                  <w:tcW w:w="985" w:type="dxa"/>
                  <w:vAlign w:val="center"/>
                </w:tcPr>
                <w:p>
                  <w:pPr>
                    <w:pStyle w:val="76"/>
                    <w:rPr>
                      <w:rFonts w:hAnsi="Times New Roman"/>
                      <w:sz w:val="21"/>
                      <w:szCs w:val="21"/>
                      <w:lang w:val="en-US"/>
                    </w:rPr>
                  </w:pPr>
                  <w:r>
                    <w:rPr>
                      <w:rFonts w:hAnsi="Times New Roman"/>
                      <w:sz w:val="21"/>
                      <w:szCs w:val="21"/>
                      <w:lang w:val="en-US"/>
                    </w:rPr>
                    <w:t>150</w:t>
                  </w:r>
                </w:p>
              </w:tc>
              <w:tc>
                <w:tcPr>
                  <w:tcW w:w="985" w:type="dxa"/>
                  <w:vAlign w:val="center"/>
                </w:tcPr>
                <w:p>
                  <w:pPr>
                    <w:pStyle w:val="76"/>
                    <w:rPr>
                      <w:rFonts w:hAnsi="Times New Roman"/>
                      <w:sz w:val="21"/>
                      <w:szCs w:val="21"/>
                      <w:lang w:val="en-US"/>
                    </w:rPr>
                  </w:pPr>
                  <w:r>
                    <w:rPr>
                      <w:rFonts w:hAnsi="Times New Roman"/>
                      <w:sz w:val="21"/>
                      <w:szCs w:val="21"/>
                      <w:lang w:val="en-US"/>
                    </w:rPr>
                    <w:t>200</w:t>
                  </w:r>
                </w:p>
              </w:tc>
              <w:tc>
                <w:tcPr>
                  <w:tcW w:w="985" w:type="dxa"/>
                  <w:vAlign w:val="center"/>
                </w:tcPr>
                <w:p>
                  <w:pPr>
                    <w:pStyle w:val="76"/>
                    <w:rPr>
                      <w:rFonts w:hAnsi="Times New Roman"/>
                      <w:sz w:val="21"/>
                      <w:szCs w:val="21"/>
                      <w:lang w:val="en-US"/>
                    </w:rPr>
                  </w:pPr>
                  <w:r>
                    <w:rPr>
                      <w:rFonts w:hAnsi="Times New Roman"/>
                      <w:sz w:val="21"/>
                      <w:szCs w:val="21"/>
                      <w:lang w:val="en-US"/>
                    </w:rPr>
                    <w:t>250</w:t>
                  </w:r>
                </w:p>
              </w:tc>
              <w:tc>
                <w:tcPr>
                  <w:tcW w:w="990" w:type="dxa"/>
                  <w:vAlign w:val="center"/>
                </w:tcPr>
                <w:p>
                  <w:pPr>
                    <w:pStyle w:val="76"/>
                    <w:rPr>
                      <w:rFonts w:hAnsi="Times New Roman"/>
                      <w:sz w:val="21"/>
                      <w:szCs w:val="21"/>
                      <w:lang w:val="en-US"/>
                    </w:rPr>
                  </w:pPr>
                  <w:r>
                    <w:rPr>
                      <w:rFonts w:hAnsi="Times New Roman"/>
                      <w:sz w:val="21"/>
                      <w:szCs w:val="21"/>
                      <w:lang w:val="en-US"/>
                    </w:rPr>
                    <w:t>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24" w:type="dxa"/>
                  <w:vAlign w:val="center"/>
                </w:tcPr>
                <w:p>
                  <w:pPr>
                    <w:pStyle w:val="76"/>
                    <w:rPr>
                      <w:rFonts w:hAnsi="Times New Roman"/>
                      <w:sz w:val="21"/>
                      <w:szCs w:val="21"/>
                      <w:lang w:val="en-US"/>
                    </w:rPr>
                  </w:pPr>
                  <w:r>
                    <w:rPr>
                      <w:rFonts w:hAnsi="Times New Roman"/>
                      <w:sz w:val="21"/>
                      <w:szCs w:val="21"/>
                      <w:lang w:val="en-US"/>
                    </w:rPr>
                    <w:t>沉降速度（m/s）</w:t>
                  </w:r>
                </w:p>
              </w:tc>
              <w:tc>
                <w:tcPr>
                  <w:tcW w:w="985" w:type="dxa"/>
                  <w:vAlign w:val="center"/>
                </w:tcPr>
                <w:p>
                  <w:pPr>
                    <w:pStyle w:val="76"/>
                    <w:rPr>
                      <w:rFonts w:hAnsi="Times New Roman"/>
                      <w:sz w:val="21"/>
                      <w:szCs w:val="21"/>
                      <w:lang w:val="en-US"/>
                    </w:rPr>
                  </w:pPr>
                  <w:r>
                    <w:rPr>
                      <w:rFonts w:hAnsi="Times New Roman"/>
                      <w:sz w:val="21"/>
                      <w:szCs w:val="21"/>
                      <w:lang w:val="en-US"/>
                    </w:rPr>
                    <w:t>0.15</w:t>
                  </w:r>
                  <w:r>
                    <w:rPr>
                      <w:rFonts w:hint="eastAsia" w:hAnsi="Times New Roman"/>
                      <w:sz w:val="21"/>
                      <w:szCs w:val="21"/>
                      <w:lang w:val="en-US"/>
                    </w:rPr>
                    <w:t>1</w:t>
                  </w:r>
                </w:p>
              </w:tc>
              <w:tc>
                <w:tcPr>
                  <w:tcW w:w="985" w:type="dxa"/>
                  <w:vAlign w:val="center"/>
                </w:tcPr>
                <w:p>
                  <w:pPr>
                    <w:pStyle w:val="76"/>
                    <w:rPr>
                      <w:rFonts w:hAnsi="Times New Roman"/>
                      <w:sz w:val="21"/>
                      <w:szCs w:val="21"/>
                      <w:lang w:val="en-US"/>
                    </w:rPr>
                  </w:pPr>
                  <w:r>
                    <w:rPr>
                      <w:rFonts w:hAnsi="Times New Roman"/>
                      <w:sz w:val="21"/>
                      <w:szCs w:val="21"/>
                      <w:lang w:val="en-US"/>
                    </w:rPr>
                    <w:t>0</w:t>
                  </w:r>
                  <w:r>
                    <w:rPr>
                      <w:rFonts w:hint="eastAsia" w:hAnsi="Times New Roman"/>
                      <w:sz w:val="21"/>
                      <w:szCs w:val="21"/>
                      <w:lang w:val="en-US"/>
                    </w:rPr>
                    <w:t>.</w:t>
                  </w:r>
                  <w:r>
                    <w:rPr>
                      <w:rFonts w:hAnsi="Times New Roman"/>
                      <w:sz w:val="21"/>
                      <w:szCs w:val="21"/>
                      <w:lang w:val="en-US"/>
                    </w:rPr>
                    <w:t>170</w:t>
                  </w:r>
                </w:p>
              </w:tc>
              <w:tc>
                <w:tcPr>
                  <w:tcW w:w="985" w:type="dxa"/>
                  <w:vAlign w:val="center"/>
                </w:tcPr>
                <w:p>
                  <w:pPr>
                    <w:pStyle w:val="76"/>
                    <w:rPr>
                      <w:rFonts w:hAnsi="Times New Roman"/>
                      <w:sz w:val="21"/>
                      <w:szCs w:val="21"/>
                      <w:lang w:val="en-US"/>
                    </w:rPr>
                  </w:pPr>
                  <w:r>
                    <w:rPr>
                      <w:rFonts w:hAnsi="Times New Roman"/>
                      <w:sz w:val="21"/>
                      <w:szCs w:val="21"/>
                      <w:lang w:val="en-US"/>
                    </w:rPr>
                    <w:t>0.182</w:t>
                  </w:r>
                </w:p>
              </w:tc>
              <w:tc>
                <w:tcPr>
                  <w:tcW w:w="985" w:type="dxa"/>
                  <w:vAlign w:val="center"/>
                </w:tcPr>
                <w:p>
                  <w:pPr>
                    <w:pStyle w:val="76"/>
                    <w:rPr>
                      <w:rFonts w:hAnsi="Times New Roman"/>
                      <w:sz w:val="21"/>
                      <w:szCs w:val="21"/>
                      <w:lang w:val="en-US"/>
                    </w:rPr>
                  </w:pPr>
                  <w:r>
                    <w:rPr>
                      <w:rFonts w:hAnsi="Times New Roman"/>
                      <w:sz w:val="21"/>
                      <w:szCs w:val="21"/>
                      <w:lang w:val="en-US"/>
                    </w:rPr>
                    <w:t>0.239</w:t>
                  </w:r>
                </w:p>
              </w:tc>
              <w:tc>
                <w:tcPr>
                  <w:tcW w:w="985" w:type="dxa"/>
                  <w:vAlign w:val="center"/>
                </w:tcPr>
                <w:p>
                  <w:pPr>
                    <w:pStyle w:val="76"/>
                    <w:rPr>
                      <w:rFonts w:hAnsi="Times New Roman"/>
                      <w:sz w:val="21"/>
                      <w:szCs w:val="21"/>
                      <w:lang w:val="en-US"/>
                    </w:rPr>
                  </w:pPr>
                  <w:r>
                    <w:rPr>
                      <w:rFonts w:hAnsi="Times New Roman"/>
                      <w:sz w:val="21"/>
                      <w:szCs w:val="21"/>
                      <w:lang w:val="en-US"/>
                    </w:rPr>
                    <w:t>0</w:t>
                  </w:r>
                  <w:r>
                    <w:rPr>
                      <w:rFonts w:hint="eastAsia" w:hAnsi="Times New Roman"/>
                      <w:sz w:val="21"/>
                      <w:szCs w:val="21"/>
                      <w:lang w:val="en-US"/>
                    </w:rPr>
                    <w:t>.</w:t>
                  </w:r>
                  <w:r>
                    <w:rPr>
                      <w:rFonts w:hAnsi="Times New Roman"/>
                      <w:sz w:val="21"/>
                      <w:szCs w:val="21"/>
                      <w:lang w:val="en-US"/>
                    </w:rPr>
                    <w:t>80</w:t>
                  </w:r>
                  <w:r>
                    <w:rPr>
                      <w:rFonts w:hint="eastAsia" w:hAnsi="Times New Roman"/>
                      <w:sz w:val="21"/>
                      <w:szCs w:val="21"/>
                      <w:lang w:val="en-US"/>
                    </w:rPr>
                    <w:t>1</w:t>
                  </w:r>
                </w:p>
              </w:tc>
              <w:tc>
                <w:tcPr>
                  <w:tcW w:w="985" w:type="dxa"/>
                  <w:vAlign w:val="center"/>
                </w:tcPr>
                <w:p>
                  <w:pPr>
                    <w:pStyle w:val="76"/>
                    <w:rPr>
                      <w:rFonts w:hAnsi="Times New Roman"/>
                      <w:sz w:val="21"/>
                      <w:szCs w:val="21"/>
                      <w:lang w:val="en-US"/>
                    </w:rPr>
                  </w:pPr>
                  <w:r>
                    <w:rPr>
                      <w:rFonts w:hAnsi="Times New Roman"/>
                      <w:sz w:val="21"/>
                      <w:szCs w:val="21"/>
                      <w:lang w:val="en-US"/>
                    </w:rPr>
                    <w:t>1.005</w:t>
                  </w:r>
                </w:p>
              </w:tc>
              <w:tc>
                <w:tcPr>
                  <w:tcW w:w="990" w:type="dxa"/>
                  <w:vAlign w:val="center"/>
                </w:tcPr>
                <w:p>
                  <w:pPr>
                    <w:pStyle w:val="76"/>
                    <w:rPr>
                      <w:rFonts w:hAnsi="Times New Roman"/>
                      <w:sz w:val="21"/>
                      <w:szCs w:val="21"/>
                      <w:lang w:val="en-US"/>
                    </w:rPr>
                  </w:pPr>
                  <w:r>
                    <w:rPr>
                      <w:rFonts w:hAnsi="Times New Roman"/>
                      <w:sz w:val="21"/>
                      <w:szCs w:val="21"/>
                      <w:lang w:val="en-US"/>
                    </w:rPr>
                    <w:t>1.829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24" w:type="dxa"/>
                  <w:vAlign w:val="center"/>
                </w:tcPr>
                <w:p>
                  <w:pPr>
                    <w:pStyle w:val="76"/>
                    <w:rPr>
                      <w:rFonts w:hAnsi="Times New Roman"/>
                      <w:sz w:val="21"/>
                      <w:szCs w:val="21"/>
                      <w:lang w:val="en-US"/>
                    </w:rPr>
                  </w:pPr>
                  <w:r>
                    <w:rPr>
                      <w:rFonts w:hAnsi="Times New Roman"/>
                      <w:sz w:val="21"/>
                      <w:szCs w:val="21"/>
                      <w:lang w:val="en-US"/>
                    </w:rPr>
                    <w:t>粉尘粒径（μm）</w:t>
                  </w:r>
                </w:p>
              </w:tc>
              <w:tc>
                <w:tcPr>
                  <w:tcW w:w="985" w:type="dxa"/>
                  <w:vAlign w:val="center"/>
                </w:tcPr>
                <w:p>
                  <w:pPr>
                    <w:pStyle w:val="76"/>
                    <w:rPr>
                      <w:rFonts w:hAnsi="Times New Roman"/>
                      <w:sz w:val="21"/>
                      <w:szCs w:val="21"/>
                      <w:lang w:val="en-US"/>
                    </w:rPr>
                  </w:pPr>
                  <w:r>
                    <w:rPr>
                      <w:rFonts w:hAnsi="Times New Roman"/>
                      <w:sz w:val="21"/>
                      <w:szCs w:val="21"/>
                      <w:lang w:val="en-US"/>
                    </w:rPr>
                    <w:t>450</w:t>
                  </w:r>
                </w:p>
              </w:tc>
              <w:tc>
                <w:tcPr>
                  <w:tcW w:w="985" w:type="dxa"/>
                  <w:vAlign w:val="center"/>
                </w:tcPr>
                <w:p>
                  <w:pPr>
                    <w:pStyle w:val="76"/>
                    <w:rPr>
                      <w:rFonts w:hAnsi="Times New Roman"/>
                      <w:sz w:val="21"/>
                      <w:szCs w:val="21"/>
                      <w:lang w:val="en-US"/>
                    </w:rPr>
                  </w:pPr>
                  <w:r>
                    <w:rPr>
                      <w:rFonts w:hAnsi="Times New Roman"/>
                      <w:sz w:val="21"/>
                      <w:szCs w:val="21"/>
                      <w:lang w:val="en-US"/>
                    </w:rPr>
                    <w:t>550</w:t>
                  </w:r>
                </w:p>
              </w:tc>
              <w:tc>
                <w:tcPr>
                  <w:tcW w:w="985" w:type="dxa"/>
                  <w:vAlign w:val="center"/>
                </w:tcPr>
                <w:p>
                  <w:pPr>
                    <w:pStyle w:val="76"/>
                    <w:rPr>
                      <w:rFonts w:hAnsi="Times New Roman"/>
                      <w:sz w:val="21"/>
                      <w:szCs w:val="21"/>
                      <w:lang w:val="en-US"/>
                    </w:rPr>
                  </w:pPr>
                  <w:r>
                    <w:rPr>
                      <w:rFonts w:hAnsi="Times New Roman"/>
                      <w:sz w:val="21"/>
                      <w:szCs w:val="21"/>
                      <w:lang w:val="en-US"/>
                    </w:rPr>
                    <w:t>650</w:t>
                  </w:r>
                </w:p>
              </w:tc>
              <w:tc>
                <w:tcPr>
                  <w:tcW w:w="985" w:type="dxa"/>
                  <w:vAlign w:val="center"/>
                </w:tcPr>
                <w:p>
                  <w:pPr>
                    <w:pStyle w:val="76"/>
                    <w:rPr>
                      <w:rFonts w:hAnsi="Times New Roman"/>
                      <w:sz w:val="21"/>
                      <w:szCs w:val="21"/>
                      <w:lang w:val="en-US"/>
                    </w:rPr>
                  </w:pPr>
                  <w:r>
                    <w:rPr>
                      <w:rFonts w:hAnsi="Times New Roman"/>
                      <w:sz w:val="21"/>
                      <w:szCs w:val="21"/>
                      <w:lang w:val="en-US"/>
                    </w:rPr>
                    <w:t>750</w:t>
                  </w:r>
                </w:p>
              </w:tc>
              <w:tc>
                <w:tcPr>
                  <w:tcW w:w="985" w:type="dxa"/>
                  <w:vAlign w:val="center"/>
                </w:tcPr>
                <w:p>
                  <w:pPr>
                    <w:pStyle w:val="76"/>
                    <w:rPr>
                      <w:rFonts w:hAnsi="Times New Roman"/>
                      <w:sz w:val="21"/>
                      <w:szCs w:val="21"/>
                      <w:lang w:val="en-US"/>
                    </w:rPr>
                  </w:pPr>
                  <w:r>
                    <w:rPr>
                      <w:rFonts w:hAnsi="Times New Roman"/>
                      <w:sz w:val="21"/>
                      <w:szCs w:val="21"/>
                      <w:lang w:val="en-US"/>
                    </w:rPr>
                    <w:t>850</w:t>
                  </w:r>
                </w:p>
              </w:tc>
              <w:tc>
                <w:tcPr>
                  <w:tcW w:w="985" w:type="dxa"/>
                  <w:vAlign w:val="center"/>
                </w:tcPr>
                <w:p>
                  <w:pPr>
                    <w:pStyle w:val="76"/>
                    <w:rPr>
                      <w:rFonts w:hAnsi="Times New Roman"/>
                      <w:sz w:val="21"/>
                      <w:szCs w:val="21"/>
                      <w:lang w:val="en-US"/>
                    </w:rPr>
                  </w:pPr>
                  <w:r>
                    <w:rPr>
                      <w:rFonts w:hAnsi="Times New Roman"/>
                      <w:sz w:val="21"/>
                      <w:szCs w:val="21"/>
                      <w:lang w:val="en-US"/>
                    </w:rPr>
                    <w:t>950</w:t>
                  </w:r>
                </w:p>
              </w:tc>
              <w:tc>
                <w:tcPr>
                  <w:tcW w:w="990" w:type="dxa"/>
                  <w:vAlign w:val="center"/>
                </w:tcPr>
                <w:p>
                  <w:pPr>
                    <w:pStyle w:val="76"/>
                    <w:rPr>
                      <w:rFonts w:hAnsi="Times New Roman"/>
                      <w:sz w:val="21"/>
                      <w:szCs w:val="21"/>
                      <w:lang w:val="en-US"/>
                    </w:rPr>
                  </w:pPr>
                  <w:r>
                    <w:rPr>
                      <w:rFonts w:hAnsi="Times New Roman"/>
                      <w:sz w:val="21"/>
                      <w:szCs w:val="21"/>
                      <w:lang w:val="en-US"/>
                    </w:rPr>
                    <w:t>105</w:t>
                  </w:r>
                  <w:r>
                    <w:rPr>
                      <w:rFonts w:hint="eastAsia" w:hAnsi="Times New Roman"/>
                      <w:sz w:val="21"/>
                      <w:szCs w:val="21"/>
                      <w:lang w:val="en-US"/>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24" w:type="dxa"/>
                  <w:vAlign w:val="center"/>
                </w:tcPr>
                <w:p>
                  <w:pPr>
                    <w:pStyle w:val="76"/>
                    <w:rPr>
                      <w:rFonts w:hAnsi="Times New Roman"/>
                      <w:sz w:val="21"/>
                      <w:szCs w:val="21"/>
                      <w:lang w:val="en-US"/>
                    </w:rPr>
                  </w:pPr>
                  <w:r>
                    <w:rPr>
                      <w:rFonts w:hAnsi="Times New Roman"/>
                      <w:sz w:val="21"/>
                      <w:szCs w:val="21"/>
                      <w:lang w:val="en-US"/>
                    </w:rPr>
                    <w:t>沉降速度（m/s）</w:t>
                  </w:r>
                </w:p>
              </w:tc>
              <w:tc>
                <w:tcPr>
                  <w:tcW w:w="985" w:type="dxa"/>
                  <w:vAlign w:val="center"/>
                </w:tcPr>
                <w:p>
                  <w:pPr>
                    <w:pStyle w:val="76"/>
                    <w:rPr>
                      <w:rFonts w:hAnsi="Times New Roman"/>
                      <w:sz w:val="21"/>
                      <w:szCs w:val="21"/>
                      <w:lang w:val="en-US"/>
                    </w:rPr>
                  </w:pPr>
                  <w:r>
                    <w:rPr>
                      <w:rFonts w:hAnsi="Times New Roman"/>
                      <w:sz w:val="21"/>
                      <w:szCs w:val="21"/>
                      <w:lang w:val="en-US"/>
                    </w:rPr>
                    <w:t>2.211</w:t>
                  </w:r>
                </w:p>
              </w:tc>
              <w:tc>
                <w:tcPr>
                  <w:tcW w:w="985" w:type="dxa"/>
                  <w:vAlign w:val="center"/>
                </w:tcPr>
                <w:p>
                  <w:pPr>
                    <w:pStyle w:val="76"/>
                    <w:rPr>
                      <w:rFonts w:hAnsi="Times New Roman"/>
                      <w:sz w:val="21"/>
                      <w:szCs w:val="21"/>
                      <w:lang w:val="en-US"/>
                    </w:rPr>
                  </w:pPr>
                  <w:r>
                    <w:rPr>
                      <w:rFonts w:hint="eastAsia" w:hAnsi="Times New Roman"/>
                      <w:sz w:val="21"/>
                      <w:szCs w:val="21"/>
                      <w:lang w:val="en-US"/>
                    </w:rPr>
                    <w:t>2</w:t>
                  </w:r>
                  <w:r>
                    <w:rPr>
                      <w:rFonts w:hAnsi="Times New Roman"/>
                      <w:sz w:val="21"/>
                      <w:szCs w:val="21"/>
                      <w:lang w:val="en-US"/>
                    </w:rPr>
                    <w:t>.614</w:t>
                  </w:r>
                </w:p>
              </w:tc>
              <w:tc>
                <w:tcPr>
                  <w:tcW w:w="985" w:type="dxa"/>
                  <w:vAlign w:val="center"/>
                </w:tcPr>
                <w:p>
                  <w:pPr>
                    <w:pStyle w:val="76"/>
                    <w:rPr>
                      <w:rFonts w:hAnsi="Times New Roman"/>
                      <w:sz w:val="21"/>
                      <w:szCs w:val="21"/>
                      <w:lang w:val="en-US"/>
                    </w:rPr>
                  </w:pPr>
                  <w:r>
                    <w:rPr>
                      <w:rFonts w:hAnsi="Times New Roman"/>
                      <w:sz w:val="21"/>
                      <w:szCs w:val="21"/>
                      <w:lang w:val="en-US"/>
                    </w:rPr>
                    <w:t>3.016</w:t>
                  </w:r>
                </w:p>
              </w:tc>
              <w:tc>
                <w:tcPr>
                  <w:tcW w:w="985" w:type="dxa"/>
                  <w:vAlign w:val="center"/>
                </w:tcPr>
                <w:p>
                  <w:pPr>
                    <w:pStyle w:val="76"/>
                    <w:rPr>
                      <w:rFonts w:hAnsi="Times New Roman"/>
                      <w:sz w:val="21"/>
                      <w:szCs w:val="21"/>
                      <w:lang w:val="en-US"/>
                    </w:rPr>
                  </w:pPr>
                  <w:r>
                    <w:rPr>
                      <w:rFonts w:hAnsi="Times New Roman"/>
                      <w:sz w:val="21"/>
                      <w:szCs w:val="21"/>
                      <w:lang w:val="en-US"/>
                    </w:rPr>
                    <w:t>3.148</w:t>
                  </w:r>
                </w:p>
              </w:tc>
              <w:tc>
                <w:tcPr>
                  <w:tcW w:w="985" w:type="dxa"/>
                  <w:vAlign w:val="center"/>
                </w:tcPr>
                <w:p>
                  <w:pPr>
                    <w:pStyle w:val="76"/>
                    <w:rPr>
                      <w:rFonts w:hAnsi="Times New Roman"/>
                      <w:sz w:val="21"/>
                      <w:szCs w:val="21"/>
                      <w:lang w:val="en-US"/>
                    </w:rPr>
                  </w:pPr>
                  <w:r>
                    <w:rPr>
                      <w:rFonts w:hAnsi="Times New Roman"/>
                      <w:sz w:val="21"/>
                      <w:szCs w:val="21"/>
                      <w:lang w:val="en-US"/>
                    </w:rPr>
                    <w:t>3.820</w:t>
                  </w:r>
                </w:p>
              </w:tc>
              <w:tc>
                <w:tcPr>
                  <w:tcW w:w="985" w:type="dxa"/>
                  <w:vAlign w:val="center"/>
                </w:tcPr>
                <w:p>
                  <w:pPr>
                    <w:pStyle w:val="76"/>
                    <w:rPr>
                      <w:rFonts w:hAnsi="Times New Roman"/>
                      <w:sz w:val="21"/>
                      <w:szCs w:val="21"/>
                      <w:lang w:val="en-US"/>
                    </w:rPr>
                  </w:pPr>
                  <w:r>
                    <w:rPr>
                      <w:rFonts w:hint="eastAsia" w:hAnsi="Times New Roman"/>
                      <w:sz w:val="21"/>
                      <w:szCs w:val="21"/>
                      <w:lang w:val="en-US"/>
                    </w:rPr>
                    <w:t>4.1</w:t>
                  </w:r>
                  <w:r>
                    <w:rPr>
                      <w:rFonts w:hAnsi="Times New Roman"/>
                      <w:sz w:val="21"/>
                      <w:szCs w:val="21"/>
                      <w:lang w:val="en-US"/>
                    </w:rPr>
                    <w:t>22</w:t>
                  </w:r>
                </w:p>
              </w:tc>
              <w:tc>
                <w:tcPr>
                  <w:tcW w:w="990" w:type="dxa"/>
                  <w:vAlign w:val="center"/>
                </w:tcPr>
                <w:p>
                  <w:pPr>
                    <w:pStyle w:val="76"/>
                    <w:rPr>
                      <w:rFonts w:hAnsi="Times New Roman"/>
                      <w:sz w:val="21"/>
                      <w:szCs w:val="21"/>
                      <w:lang w:val="en-US"/>
                    </w:rPr>
                  </w:pPr>
                  <w:r>
                    <w:rPr>
                      <w:rFonts w:hAnsi="Times New Roman"/>
                      <w:sz w:val="21"/>
                      <w:szCs w:val="21"/>
                      <w:lang w:val="en-US"/>
                    </w:rPr>
                    <w:t>4.624</w:t>
                  </w:r>
                </w:p>
              </w:tc>
            </w:tr>
          </w:tbl>
          <w:p>
            <w:pPr>
              <w:spacing w:line="360" w:lineRule="auto"/>
              <w:ind w:firstLine="480" w:firstLineChars="200"/>
              <w:rPr>
                <w:rFonts w:hAnsi="宋体"/>
                <w:sz w:val="24"/>
                <w:szCs w:val="24"/>
              </w:rPr>
            </w:pPr>
            <w:r>
              <w:rPr>
                <w:sz w:val="24"/>
                <w:szCs w:val="24"/>
              </w:rPr>
              <w:t>由表可知，粉尘的沉降速度随粒径的增大而迅速增大。当粒径为250μm时，沉降速度为1.005m/s，因此可以认为当尘粒大于250μm时，主要影响范围在扬尘点下风向近距离范围内，而真正对外环境产生影响的是一些微小粒径的粉尘。</w:t>
            </w:r>
          </w:p>
          <w:p>
            <w:pPr>
              <w:spacing w:line="360" w:lineRule="auto"/>
              <w:ind w:firstLine="480" w:firstLineChars="200"/>
              <w:rPr>
                <w:sz w:val="24"/>
                <w:szCs w:val="24"/>
              </w:rPr>
            </w:pPr>
            <w:r>
              <w:rPr>
                <w:rFonts w:hint="eastAsia"/>
                <w:sz w:val="24"/>
                <w:szCs w:val="24"/>
              </w:rPr>
              <w:t>（2）施工机械废气</w:t>
            </w:r>
            <w:r>
              <w:rPr>
                <w:rFonts w:hint="eastAsia"/>
                <w:bCs/>
                <w:sz w:val="24"/>
                <w:szCs w:val="24"/>
              </w:rPr>
              <w:t>及</w:t>
            </w:r>
            <w:r>
              <w:rPr>
                <w:bCs/>
                <w:sz w:val="24"/>
                <w:szCs w:val="24"/>
              </w:rPr>
              <w:t>运输车辆</w:t>
            </w:r>
            <w:r>
              <w:rPr>
                <w:rFonts w:hint="eastAsia"/>
                <w:bCs/>
                <w:sz w:val="24"/>
                <w:szCs w:val="24"/>
              </w:rPr>
              <w:t>废气</w:t>
            </w:r>
          </w:p>
          <w:p>
            <w:pPr>
              <w:spacing w:line="360" w:lineRule="auto"/>
              <w:ind w:firstLine="480" w:firstLineChars="200"/>
              <w:rPr>
                <w:rFonts w:hAnsi="宋体"/>
                <w:sz w:val="24"/>
              </w:rPr>
            </w:pPr>
            <w:r>
              <w:rPr>
                <w:sz w:val="24"/>
              </w:rPr>
              <w:t>运输车辆及施工机械在运行中产生</w:t>
            </w:r>
            <w:r>
              <w:rPr>
                <w:rFonts w:hint="eastAsia"/>
                <w:sz w:val="24"/>
              </w:rPr>
              <w:t>的汽车</w:t>
            </w:r>
            <w:r>
              <w:rPr>
                <w:sz w:val="24"/>
              </w:rPr>
              <w:t>尾气主要有CO、NO</w:t>
            </w:r>
            <w:r>
              <w:rPr>
                <w:sz w:val="24"/>
                <w:vertAlign w:val="subscript"/>
              </w:rPr>
              <w:t>2</w:t>
            </w:r>
            <w:r>
              <w:rPr>
                <w:sz w:val="24"/>
              </w:rPr>
              <w:t>、HC等污染物。</w:t>
            </w:r>
          </w:p>
          <w:p>
            <w:pPr>
              <w:spacing w:line="360" w:lineRule="auto"/>
              <w:ind w:firstLine="482" w:firstLineChars="200"/>
              <w:rPr>
                <w:rFonts w:hAnsi="宋体"/>
                <w:b/>
                <w:sz w:val="24"/>
              </w:rPr>
            </w:pPr>
            <w:r>
              <w:rPr>
                <w:b/>
                <w:sz w:val="24"/>
              </w:rPr>
              <w:t>2</w:t>
            </w:r>
            <w:r>
              <w:rPr>
                <w:rFonts w:hAnsi="宋体"/>
                <w:b/>
                <w:sz w:val="24"/>
              </w:rPr>
              <w:t>、废水</w:t>
            </w:r>
          </w:p>
          <w:p>
            <w:pPr>
              <w:spacing w:line="360" w:lineRule="auto"/>
              <w:ind w:firstLine="480" w:firstLineChars="200"/>
              <w:rPr>
                <w:rFonts w:hAnsi="宋体"/>
                <w:sz w:val="24"/>
                <w:szCs w:val="24"/>
              </w:rPr>
            </w:pPr>
            <w:r>
              <w:rPr>
                <w:rFonts w:hint="eastAsia" w:hAnsi="宋体"/>
                <w:sz w:val="24"/>
                <w:szCs w:val="24"/>
              </w:rPr>
              <w:t>本</w:t>
            </w:r>
            <w:r>
              <w:rPr>
                <w:rFonts w:hAnsi="宋体"/>
                <w:sz w:val="24"/>
                <w:szCs w:val="24"/>
              </w:rPr>
              <w:t>项目施工期产生的</w:t>
            </w:r>
            <w:r>
              <w:rPr>
                <w:rFonts w:hint="eastAsia" w:hAnsi="宋体"/>
                <w:sz w:val="24"/>
                <w:szCs w:val="24"/>
              </w:rPr>
              <w:t>废</w:t>
            </w:r>
            <w:r>
              <w:rPr>
                <w:rFonts w:hAnsi="宋体"/>
                <w:sz w:val="24"/>
                <w:szCs w:val="24"/>
              </w:rPr>
              <w:t>水主要包括</w:t>
            </w:r>
            <w:r>
              <w:rPr>
                <w:rFonts w:hint="eastAsia" w:hAnsi="宋体"/>
                <w:sz w:val="24"/>
                <w:szCs w:val="24"/>
              </w:rPr>
              <w:t>建筑</w:t>
            </w:r>
            <w:r>
              <w:rPr>
                <w:rFonts w:hAnsi="宋体"/>
                <w:sz w:val="24"/>
                <w:szCs w:val="24"/>
              </w:rPr>
              <w:t>生产废水与施工人员生活污水。</w:t>
            </w:r>
          </w:p>
          <w:p>
            <w:pPr>
              <w:spacing w:line="360" w:lineRule="auto"/>
              <w:ind w:firstLine="480" w:firstLineChars="200"/>
              <w:rPr>
                <w:rFonts w:hAnsi="宋体"/>
                <w:sz w:val="24"/>
                <w:szCs w:val="24"/>
              </w:rPr>
            </w:pPr>
            <w:r>
              <w:rPr>
                <w:rFonts w:hint="eastAsia" w:hAnsi="宋体"/>
                <w:sz w:val="24"/>
                <w:szCs w:val="24"/>
              </w:rPr>
              <w:t>（1）建筑施工废水</w:t>
            </w:r>
          </w:p>
          <w:p>
            <w:pPr>
              <w:spacing w:line="360" w:lineRule="auto"/>
              <w:ind w:firstLine="480" w:firstLineChars="200"/>
              <w:rPr>
                <w:rFonts w:hAnsi="宋体"/>
                <w:sz w:val="24"/>
                <w:szCs w:val="24"/>
              </w:rPr>
            </w:pPr>
            <w:r>
              <w:rPr>
                <w:rFonts w:hAnsi="宋体"/>
                <w:sz w:val="24"/>
                <w:szCs w:val="24"/>
              </w:rPr>
              <w:t>生产废水主要</w:t>
            </w:r>
            <w:r>
              <w:rPr>
                <w:rFonts w:hint="eastAsia" w:hAnsi="宋体"/>
                <w:sz w:val="24"/>
                <w:szCs w:val="24"/>
              </w:rPr>
              <w:t>包括场地冲洗水和设备、车辆</w:t>
            </w:r>
            <w:r>
              <w:rPr>
                <w:rFonts w:hAnsi="宋体"/>
                <w:sz w:val="24"/>
                <w:szCs w:val="24"/>
              </w:rPr>
              <w:t>冲洗</w:t>
            </w:r>
            <w:r>
              <w:rPr>
                <w:rFonts w:hint="eastAsia" w:hAnsi="宋体"/>
                <w:sz w:val="24"/>
                <w:szCs w:val="24"/>
              </w:rPr>
              <w:t>废</w:t>
            </w:r>
            <w:r>
              <w:rPr>
                <w:rFonts w:hAnsi="宋体"/>
                <w:sz w:val="24"/>
                <w:szCs w:val="24"/>
              </w:rPr>
              <w:t>水，</w:t>
            </w:r>
            <w:r>
              <w:rPr>
                <w:rFonts w:hint="eastAsia" w:hAnsi="宋体"/>
                <w:sz w:val="24"/>
                <w:szCs w:val="24"/>
              </w:rPr>
              <w:t>产生量约2m</w:t>
            </w:r>
            <w:r>
              <w:rPr>
                <w:rFonts w:hint="eastAsia" w:hAnsi="宋体"/>
                <w:sz w:val="24"/>
                <w:szCs w:val="24"/>
                <w:vertAlign w:val="superscript"/>
              </w:rPr>
              <w:t>3</w:t>
            </w:r>
            <w:r>
              <w:rPr>
                <w:rFonts w:hint="eastAsia" w:hAnsi="宋体"/>
                <w:sz w:val="24"/>
                <w:szCs w:val="24"/>
              </w:rPr>
              <w:t>/d。主要污染物为泥沙、</w:t>
            </w:r>
            <w:r>
              <w:rPr>
                <w:rFonts w:hAnsi="宋体"/>
                <w:sz w:val="24"/>
                <w:szCs w:val="24"/>
              </w:rPr>
              <w:t>悬浮物、石油类等</w:t>
            </w:r>
            <w:r>
              <w:rPr>
                <w:rFonts w:hint="eastAsia" w:hAnsi="宋体"/>
                <w:sz w:val="24"/>
                <w:szCs w:val="24"/>
              </w:rPr>
              <w:t>，施工废水经隔油池、沉淀池处理后回用，不外排。</w:t>
            </w:r>
          </w:p>
          <w:p>
            <w:pPr>
              <w:spacing w:line="360" w:lineRule="auto"/>
              <w:ind w:firstLine="480" w:firstLineChars="200"/>
              <w:rPr>
                <w:rFonts w:hAnsi="宋体"/>
                <w:sz w:val="24"/>
                <w:szCs w:val="24"/>
              </w:rPr>
            </w:pPr>
            <w:r>
              <w:rPr>
                <w:rFonts w:hint="eastAsia" w:hAnsi="宋体"/>
                <w:sz w:val="24"/>
                <w:szCs w:val="24"/>
              </w:rPr>
              <w:t>（2）生活污水</w:t>
            </w:r>
          </w:p>
          <w:p>
            <w:pPr>
              <w:spacing w:line="360" w:lineRule="auto"/>
              <w:ind w:firstLine="480" w:firstLineChars="200"/>
              <w:rPr>
                <w:rFonts w:hAnsi="宋体"/>
                <w:sz w:val="24"/>
                <w:szCs w:val="24"/>
              </w:rPr>
            </w:pPr>
            <w:r>
              <w:rPr>
                <w:rFonts w:hint="eastAsia" w:hAnsi="宋体"/>
                <w:sz w:val="24"/>
                <w:szCs w:val="24"/>
              </w:rPr>
              <w:t>本项目施工工程量小，施工人员人数为20人，依据当地生活条件，按每人每天40L/d计，则生活污水产生量约0.8m</w:t>
            </w:r>
            <w:r>
              <w:rPr>
                <w:rFonts w:hint="eastAsia" w:hAnsi="宋体"/>
                <w:sz w:val="24"/>
                <w:szCs w:val="24"/>
                <w:vertAlign w:val="superscript"/>
              </w:rPr>
              <w:t>3</w:t>
            </w:r>
            <w:r>
              <w:rPr>
                <w:rFonts w:hint="eastAsia" w:hAnsi="宋体"/>
                <w:sz w:val="24"/>
                <w:szCs w:val="24"/>
              </w:rPr>
              <w:t>/d，主要污染物为COD 450mg/L、BOD</w:t>
            </w:r>
            <w:r>
              <w:rPr>
                <w:rFonts w:hint="eastAsia" w:hAnsi="宋体"/>
                <w:sz w:val="24"/>
                <w:szCs w:val="24"/>
                <w:vertAlign w:val="subscript"/>
              </w:rPr>
              <w:t>5</w:t>
            </w:r>
            <w:r>
              <w:rPr>
                <w:rFonts w:hint="eastAsia" w:hAnsi="宋体"/>
                <w:sz w:val="24"/>
                <w:szCs w:val="24"/>
              </w:rPr>
              <w:t xml:space="preserve"> 260mg/L、SS 200mg/L和氨氮 45mg/L。施工人员的生活污水可通过在施工场地内修建临时旱厕进行处理，待施工结束后，由当地村民清掏堆肥后掩埋。</w:t>
            </w:r>
          </w:p>
          <w:p>
            <w:pPr>
              <w:spacing w:line="360" w:lineRule="auto"/>
              <w:ind w:firstLine="482" w:firstLineChars="200"/>
              <w:rPr>
                <w:rFonts w:hAnsi="宋体"/>
                <w:b/>
                <w:sz w:val="24"/>
              </w:rPr>
            </w:pPr>
            <w:r>
              <w:rPr>
                <w:b/>
                <w:sz w:val="24"/>
              </w:rPr>
              <w:t>3</w:t>
            </w:r>
            <w:r>
              <w:rPr>
                <w:rFonts w:hAnsi="宋体"/>
                <w:b/>
                <w:sz w:val="24"/>
              </w:rPr>
              <w:t>、噪声</w:t>
            </w:r>
          </w:p>
          <w:p>
            <w:pPr>
              <w:spacing w:line="360" w:lineRule="auto"/>
              <w:ind w:firstLine="480" w:firstLineChars="200"/>
              <w:rPr>
                <w:rFonts w:hAnsi="宋体"/>
                <w:bCs/>
                <w:sz w:val="24"/>
              </w:rPr>
            </w:pPr>
            <w:r>
              <w:rPr>
                <w:rFonts w:hint="eastAsia" w:hAnsi="宋体"/>
                <w:bCs/>
                <w:sz w:val="24"/>
              </w:rPr>
              <w:t>本项目场地已平整，</w:t>
            </w:r>
            <w:r>
              <w:rPr>
                <w:rFonts w:hAnsi="宋体"/>
                <w:sz w:val="24"/>
              </w:rPr>
              <w:t>产生的噪声源</w:t>
            </w:r>
            <w:r>
              <w:rPr>
                <w:rFonts w:hint="eastAsia" w:hAnsi="宋体"/>
                <w:sz w:val="24"/>
              </w:rPr>
              <w:t>来自厂房建设过程中</w:t>
            </w:r>
            <w:r>
              <w:rPr>
                <w:sz w:val="24"/>
              </w:rPr>
              <w:t>使用</w:t>
            </w:r>
            <w:r>
              <w:rPr>
                <w:rFonts w:hint="eastAsia"/>
                <w:sz w:val="24"/>
              </w:rPr>
              <w:t>机械</w:t>
            </w:r>
            <w:r>
              <w:rPr>
                <w:sz w:val="24"/>
              </w:rPr>
              <w:t>产生的噪声</w:t>
            </w:r>
            <w:r>
              <w:rPr>
                <w:rFonts w:hAnsi="宋体"/>
                <w:bCs/>
                <w:sz w:val="24"/>
                <w:szCs w:val="24"/>
              </w:rPr>
              <w:t>。</w:t>
            </w:r>
            <w:r>
              <w:rPr>
                <w:rFonts w:hint="eastAsia" w:hAnsi="宋体"/>
                <w:bCs/>
                <w:sz w:val="24"/>
              </w:rPr>
              <w:t>噪声源强见表30。</w:t>
            </w:r>
          </w:p>
          <w:p>
            <w:pPr>
              <w:jc w:val="center"/>
              <w:rPr>
                <w:b/>
              </w:rPr>
            </w:pPr>
            <w:r>
              <w:rPr>
                <w:rFonts w:hAnsi="宋体"/>
                <w:b/>
              </w:rPr>
              <w:t>表</w:t>
            </w:r>
            <w:r>
              <w:rPr>
                <w:rFonts w:hint="eastAsia" w:hAnsi="宋体"/>
                <w:b/>
              </w:rPr>
              <w:t>30</w:t>
            </w:r>
            <w:r>
              <w:rPr>
                <w:b/>
              </w:rPr>
              <w:t xml:space="preserve">   </w:t>
            </w:r>
            <w:r>
              <w:rPr>
                <w:rFonts w:hint="eastAsia" w:hAnsi="宋体"/>
                <w:b/>
              </w:rPr>
              <w:t>施工机械噪声值</w:t>
            </w:r>
          </w:p>
          <w:tbl>
            <w:tblPr>
              <w:tblStyle w:val="24"/>
              <w:tblW w:w="882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31"/>
              <w:gridCol w:w="2945"/>
              <w:gridCol w:w="29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31" w:type="dxa"/>
                  <w:vAlign w:val="center"/>
                </w:tcPr>
                <w:p>
                  <w:pPr>
                    <w:jc w:val="center"/>
                  </w:pPr>
                  <w:r>
                    <w:rPr>
                      <w:rFonts w:hint="eastAsia"/>
                    </w:rPr>
                    <w:t>机械设备</w:t>
                  </w:r>
                </w:p>
              </w:tc>
              <w:tc>
                <w:tcPr>
                  <w:tcW w:w="2945" w:type="dxa"/>
                  <w:vAlign w:val="center"/>
                </w:tcPr>
                <w:p>
                  <w:pPr>
                    <w:pStyle w:val="11"/>
                    <w:tabs>
                      <w:tab w:val="left" w:pos="2430"/>
                    </w:tabs>
                    <w:spacing w:line="240" w:lineRule="auto"/>
                    <w:ind w:firstLine="0"/>
                    <w:jc w:val="center"/>
                    <w:rPr>
                      <w:kern w:val="2"/>
                      <w:sz w:val="21"/>
                      <w:szCs w:val="21"/>
                      <w:lang w:val="en-US"/>
                    </w:rPr>
                  </w:pPr>
                  <w:r>
                    <w:rPr>
                      <w:kern w:val="2"/>
                      <w:sz w:val="21"/>
                      <w:szCs w:val="21"/>
                      <w:lang w:val="en-US"/>
                    </w:rPr>
                    <w:t>测</w:t>
                  </w:r>
                  <w:r>
                    <w:rPr>
                      <w:rFonts w:hint="eastAsia"/>
                      <w:kern w:val="2"/>
                      <w:sz w:val="21"/>
                      <w:szCs w:val="21"/>
                      <w:lang w:val="en-US"/>
                    </w:rPr>
                    <w:t>点</w:t>
                  </w:r>
                  <w:r>
                    <w:rPr>
                      <w:kern w:val="2"/>
                      <w:sz w:val="21"/>
                      <w:szCs w:val="21"/>
                      <w:lang w:val="en-US"/>
                    </w:rPr>
                    <w:t>与声源距离（m）</w:t>
                  </w:r>
                </w:p>
              </w:tc>
              <w:tc>
                <w:tcPr>
                  <w:tcW w:w="2948" w:type="dxa"/>
                  <w:vAlign w:val="center"/>
                </w:tcPr>
                <w:p>
                  <w:pPr>
                    <w:pStyle w:val="11"/>
                    <w:tabs>
                      <w:tab w:val="left" w:pos="2430"/>
                    </w:tabs>
                    <w:spacing w:line="240" w:lineRule="auto"/>
                    <w:ind w:firstLine="0"/>
                    <w:jc w:val="center"/>
                    <w:rPr>
                      <w:kern w:val="2"/>
                      <w:sz w:val="21"/>
                      <w:szCs w:val="21"/>
                      <w:lang w:val="en-US"/>
                    </w:rPr>
                  </w:pPr>
                  <w:r>
                    <w:rPr>
                      <w:kern w:val="2"/>
                      <w:sz w:val="21"/>
                      <w:szCs w:val="21"/>
                      <w:lang w:val="en-US"/>
                    </w:rPr>
                    <w:t>声级</w:t>
                  </w:r>
                  <w:r>
                    <w:rPr>
                      <w:rFonts w:hint="eastAsia"/>
                      <w:kern w:val="2"/>
                      <w:sz w:val="21"/>
                      <w:szCs w:val="21"/>
                      <w:lang w:val="en-US"/>
                    </w:rPr>
                    <w:t>（</w:t>
                  </w:r>
                  <w:r>
                    <w:rPr>
                      <w:kern w:val="2"/>
                      <w:sz w:val="21"/>
                      <w:szCs w:val="21"/>
                      <w:lang w:val="en-US"/>
                    </w:rPr>
                    <w:t>dB</w:t>
                  </w:r>
                  <w:r>
                    <w:rPr>
                      <w:rFonts w:hint="eastAsia"/>
                      <w:kern w:val="2"/>
                      <w:sz w:val="21"/>
                      <w:szCs w:val="21"/>
                      <w:lang w:val="en-US"/>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31" w:type="dxa"/>
                  <w:vAlign w:val="center"/>
                </w:tcPr>
                <w:p>
                  <w:pPr>
                    <w:pStyle w:val="11"/>
                    <w:spacing w:line="280" w:lineRule="exact"/>
                    <w:ind w:firstLine="0"/>
                    <w:jc w:val="center"/>
                    <w:rPr>
                      <w:kern w:val="2"/>
                      <w:sz w:val="21"/>
                      <w:szCs w:val="21"/>
                      <w:lang w:val="en-US"/>
                    </w:rPr>
                  </w:pPr>
                  <w:r>
                    <w:rPr>
                      <w:rFonts w:hAnsi="宋体"/>
                      <w:kern w:val="2"/>
                      <w:sz w:val="21"/>
                      <w:szCs w:val="21"/>
                      <w:lang w:val="en-US"/>
                    </w:rPr>
                    <w:t>装载机</w:t>
                  </w:r>
                </w:p>
              </w:tc>
              <w:tc>
                <w:tcPr>
                  <w:tcW w:w="2945" w:type="dxa"/>
                  <w:vAlign w:val="center"/>
                </w:tcPr>
                <w:p>
                  <w:pPr>
                    <w:jc w:val="center"/>
                  </w:pPr>
                  <w:r>
                    <w:rPr>
                      <w:rFonts w:hint="eastAsia"/>
                    </w:rPr>
                    <w:t>5</w:t>
                  </w:r>
                </w:p>
              </w:tc>
              <w:tc>
                <w:tcPr>
                  <w:tcW w:w="2948" w:type="dxa"/>
                  <w:vAlign w:val="center"/>
                </w:tcPr>
                <w:p>
                  <w:pPr>
                    <w:jc w:val="center"/>
                    <w:rPr>
                      <w:szCs w:val="21"/>
                    </w:rPr>
                  </w:pPr>
                  <w:r>
                    <w:rPr>
                      <w:szCs w:val="21"/>
                    </w:rPr>
                    <w:t>8</w:t>
                  </w:r>
                  <w:r>
                    <w:rPr>
                      <w:rFonts w:hint="eastAsia"/>
                      <w:szCs w:val="21"/>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31" w:type="dxa"/>
                  <w:vAlign w:val="center"/>
                </w:tcPr>
                <w:p>
                  <w:pPr>
                    <w:pStyle w:val="11"/>
                    <w:spacing w:line="280" w:lineRule="exact"/>
                    <w:ind w:firstLine="0"/>
                    <w:jc w:val="center"/>
                    <w:rPr>
                      <w:kern w:val="2"/>
                      <w:sz w:val="21"/>
                      <w:szCs w:val="21"/>
                      <w:lang w:val="en-US"/>
                    </w:rPr>
                  </w:pPr>
                  <w:r>
                    <w:rPr>
                      <w:rFonts w:hAnsi="宋体"/>
                      <w:kern w:val="2"/>
                      <w:sz w:val="21"/>
                      <w:szCs w:val="21"/>
                      <w:lang w:val="en-US"/>
                    </w:rPr>
                    <w:t>挖掘机</w:t>
                  </w:r>
                </w:p>
              </w:tc>
              <w:tc>
                <w:tcPr>
                  <w:tcW w:w="2945" w:type="dxa"/>
                  <w:vAlign w:val="center"/>
                </w:tcPr>
                <w:p>
                  <w:pPr>
                    <w:jc w:val="center"/>
                  </w:pPr>
                  <w:r>
                    <w:rPr>
                      <w:rFonts w:hint="eastAsia"/>
                    </w:rPr>
                    <w:t>5</w:t>
                  </w:r>
                </w:p>
              </w:tc>
              <w:tc>
                <w:tcPr>
                  <w:tcW w:w="2948" w:type="dxa"/>
                  <w:vAlign w:val="center"/>
                </w:tcPr>
                <w:p>
                  <w:pPr>
                    <w:jc w:val="center"/>
                    <w:rPr>
                      <w:szCs w:val="21"/>
                    </w:rPr>
                  </w:pPr>
                  <w:r>
                    <w:rPr>
                      <w:szCs w:val="21"/>
                    </w:rPr>
                    <w:t>9</w:t>
                  </w:r>
                  <w:r>
                    <w:rPr>
                      <w:rFonts w:hint="eastAsia"/>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31" w:type="dxa"/>
                  <w:vAlign w:val="center"/>
                </w:tcPr>
                <w:p>
                  <w:pPr>
                    <w:spacing w:line="280" w:lineRule="exact"/>
                    <w:jc w:val="center"/>
                    <w:rPr>
                      <w:szCs w:val="21"/>
                    </w:rPr>
                  </w:pPr>
                  <w:r>
                    <w:rPr>
                      <w:rFonts w:hAnsi="宋体"/>
                      <w:szCs w:val="21"/>
                    </w:rPr>
                    <w:t>振捣</w:t>
                  </w:r>
                  <w:r>
                    <w:rPr>
                      <w:rFonts w:hint="eastAsia" w:hAnsi="宋体"/>
                      <w:szCs w:val="21"/>
                    </w:rPr>
                    <w:t>机</w:t>
                  </w:r>
                </w:p>
              </w:tc>
              <w:tc>
                <w:tcPr>
                  <w:tcW w:w="2945" w:type="dxa"/>
                  <w:vAlign w:val="center"/>
                </w:tcPr>
                <w:p>
                  <w:pPr>
                    <w:jc w:val="center"/>
                  </w:pPr>
                  <w:r>
                    <w:rPr>
                      <w:rFonts w:hint="eastAsia"/>
                    </w:rPr>
                    <w:t>5</w:t>
                  </w:r>
                </w:p>
              </w:tc>
              <w:tc>
                <w:tcPr>
                  <w:tcW w:w="2948" w:type="dxa"/>
                  <w:vAlign w:val="center"/>
                </w:tcPr>
                <w:p>
                  <w:pPr>
                    <w:jc w:val="center"/>
                    <w:rPr>
                      <w:szCs w:val="21"/>
                    </w:rPr>
                  </w:pPr>
                  <w:r>
                    <w:rPr>
                      <w:szCs w:val="21"/>
                    </w:rPr>
                    <w:t>95</w:t>
                  </w:r>
                </w:p>
              </w:tc>
            </w:tr>
          </w:tbl>
          <w:p>
            <w:pPr>
              <w:spacing w:line="360" w:lineRule="auto"/>
              <w:ind w:firstLine="482" w:firstLineChars="200"/>
              <w:rPr>
                <w:rFonts w:hAnsi="宋体"/>
                <w:b/>
                <w:sz w:val="24"/>
              </w:rPr>
            </w:pPr>
            <w:r>
              <w:rPr>
                <w:b/>
                <w:sz w:val="24"/>
              </w:rPr>
              <w:t>4</w:t>
            </w:r>
            <w:r>
              <w:rPr>
                <w:rFonts w:hAnsi="宋体"/>
                <w:b/>
                <w:sz w:val="24"/>
              </w:rPr>
              <w:t>、</w:t>
            </w:r>
            <w:r>
              <w:rPr>
                <w:rFonts w:hint="eastAsia" w:hAnsi="宋体"/>
                <w:b/>
                <w:sz w:val="24"/>
              </w:rPr>
              <w:t>固废</w:t>
            </w:r>
          </w:p>
          <w:p>
            <w:pPr>
              <w:spacing w:line="360" w:lineRule="auto"/>
              <w:ind w:firstLine="480" w:firstLineChars="200"/>
              <w:rPr>
                <w:sz w:val="24"/>
              </w:rPr>
            </w:pPr>
            <w:r>
              <w:rPr>
                <w:rFonts w:hint="eastAsia" w:hAnsi="宋体"/>
                <w:bCs/>
                <w:sz w:val="24"/>
              </w:rPr>
              <w:t>本项目</w:t>
            </w:r>
            <w:r>
              <w:rPr>
                <w:rFonts w:hint="eastAsia"/>
                <w:sz w:val="24"/>
              </w:rPr>
              <w:t>施工期产生的固体废物主要为施工过程产生的建筑废料等建筑垃圾、施工人员产生的生活垃圾和</w:t>
            </w:r>
            <w:r>
              <w:rPr>
                <w:rFonts w:hint="eastAsia" w:ascii="宋体" w:hAnsi="宋体"/>
                <w:sz w:val="24"/>
              </w:rPr>
              <w:t>施工机械运输、维修产生的废机油</w:t>
            </w:r>
            <w:r>
              <w:rPr>
                <w:rFonts w:hint="eastAsia"/>
                <w:sz w:val="24"/>
              </w:rPr>
              <w:t>。</w:t>
            </w:r>
          </w:p>
          <w:p>
            <w:pPr>
              <w:spacing w:line="360" w:lineRule="auto"/>
              <w:ind w:firstLine="480" w:firstLineChars="200"/>
              <w:rPr>
                <w:sz w:val="24"/>
              </w:rPr>
            </w:pPr>
            <w:r>
              <w:rPr>
                <w:rFonts w:ascii="宋体" w:hAnsi="宋体"/>
                <w:bCs/>
                <w:sz w:val="24"/>
                <w:szCs w:val="24"/>
              </w:rPr>
              <w:t>⑴</w:t>
            </w:r>
            <w:r>
              <w:rPr>
                <w:rFonts w:hint="eastAsia" w:ascii="宋体" w:hAnsi="宋体"/>
                <w:bCs/>
                <w:sz w:val="24"/>
                <w:szCs w:val="24"/>
              </w:rPr>
              <w:t>建筑垃圾</w:t>
            </w:r>
          </w:p>
          <w:p>
            <w:pPr>
              <w:spacing w:line="360" w:lineRule="auto"/>
              <w:ind w:firstLine="480" w:firstLineChars="200"/>
              <w:rPr>
                <w:sz w:val="24"/>
                <w:szCs w:val="24"/>
              </w:rPr>
            </w:pPr>
            <w:r>
              <w:rPr>
                <w:rFonts w:hint="eastAsia"/>
                <w:sz w:val="24"/>
              </w:rPr>
              <w:t>施工期建筑垃圾</w:t>
            </w:r>
            <w:r>
              <w:rPr>
                <w:rFonts w:hint="eastAsia"/>
                <w:sz w:val="24"/>
                <w:szCs w:val="24"/>
              </w:rPr>
              <w:t>产量采用建筑面积发展预测，预测模型为：</w:t>
            </w:r>
          </w:p>
          <w:p>
            <w:pPr>
              <w:spacing w:line="360" w:lineRule="auto"/>
              <w:ind w:firstLine="2520" w:firstLineChars="1050"/>
              <w:rPr>
                <w:sz w:val="24"/>
                <w:szCs w:val="24"/>
                <w:vertAlign w:val="subscript"/>
              </w:rPr>
            </w:pPr>
            <w:r>
              <w:rPr>
                <w:rFonts w:hint="eastAsia"/>
                <w:sz w:val="24"/>
                <w:szCs w:val="24"/>
              </w:rPr>
              <w:t>J</w:t>
            </w:r>
            <w:r>
              <w:rPr>
                <w:rFonts w:hint="eastAsia"/>
                <w:sz w:val="24"/>
                <w:szCs w:val="24"/>
                <w:vertAlign w:val="subscript"/>
              </w:rPr>
              <w:t>s</w:t>
            </w:r>
            <w:r>
              <w:rPr>
                <w:rFonts w:hint="eastAsia"/>
                <w:sz w:val="24"/>
                <w:szCs w:val="24"/>
              </w:rPr>
              <w:t>=Q</w:t>
            </w:r>
            <w:r>
              <w:rPr>
                <w:sz w:val="24"/>
                <w:szCs w:val="24"/>
                <w:vertAlign w:val="subscript"/>
              </w:rPr>
              <w:t>s</w:t>
            </w:r>
            <w:r>
              <w:rPr>
                <w:rFonts w:hint="eastAsia"/>
                <w:sz w:val="24"/>
                <w:szCs w:val="24"/>
              </w:rPr>
              <w:t>×C</w:t>
            </w:r>
            <w:r>
              <w:rPr>
                <w:rFonts w:hint="eastAsia"/>
                <w:sz w:val="24"/>
                <w:szCs w:val="24"/>
                <w:vertAlign w:val="subscript"/>
              </w:rPr>
              <w:t>s</w:t>
            </w:r>
          </w:p>
          <w:p>
            <w:pPr>
              <w:spacing w:line="360" w:lineRule="auto"/>
              <w:ind w:firstLine="480" w:firstLineChars="200"/>
              <w:rPr>
                <w:sz w:val="24"/>
                <w:szCs w:val="24"/>
              </w:rPr>
            </w:pPr>
            <w:r>
              <w:rPr>
                <w:rFonts w:hint="eastAsia"/>
                <w:sz w:val="24"/>
                <w:szCs w:val="24"/>
              </w:rPr>
              <w:t>式中：J</w:t>
            </w:r>
            <w:r>
              <w:rPr>
                <w:rFonts w:hint="eastAsia"/>
                <w:sz w:val="24"/>
                <w:szCs w:val="24"/>
                <w:vertAlign w:val="subscript"/>
              </w:rPr>
              <w:t>s</w:t>
            </w:r>
            <w:r>
              <w:rPr>
                <w:rFonts w:hint="eastAsia"/>
                <w:sz w:val="24"/>
                <w:szCs w:val="24"/>
              </w:rPr>
              <w:t>-建筑垃圾产生量（t）；</w:t>
            </w:r>
          </w:p>
          <w:p>
            <w:pPr>
              <w:spacing w:line="360" w:lineRule="auto"/>
              <w:ind w:firstLine="1200" w:firstLineChars="500"/>
              <w:rPr>
                <w:sz w:val="24"/>
                <w:szCs w:val="24"/>
              </w:rPr>
            </w:pPr>
            <w:r>
              <w:rPr>
                <w:rFonts w:hint="eastAsia"/>
                <w:sz w:val="24"/>
                <w:szCs w:val="24"/>
              </w:rPr>
              <w:t>Q</w:t>
            </w:r>
            <w:r>
              <w:rPr>
                <w:rFonts w:hint="eastAsia"/>
                <w:sz w:val="24"/>
                <w:szCs w:val="24"/>
                <w:vertAlign w:val="subscript"/>
              </w:rPr>
              <w:t>s</w:t>
            </w:r>
            <w:r>
              <w:rPr>
                <w:rFonts w:hint="eastAsia"/>
                <w:sz w:val="24"/>
                <w:szCs w:val="24"/>
              </w:rPr>
              <w:t>-建筑面积（m</w:t>
            </w:r>
            <w:r>
              <w:rPr>
                <w:rFonts w:hint="eastAsia"/>
                <w:sz w:val="24"/>
                <w:szCs w:val="24"/>
                <w:vertAlign w:val="superscript"/>
              </w:rPr>
              <w:t>2</w:t>
            </w:r>
            <w:r>
              <w:rPr>
                <w:rFonts w:hint="eastAsia"/>
                <w:sz w:val="24"/>
                <w:szCs w:val="24"/>
              </w:rPr>
              <w:t>）；</w:t>
            </w:r>
          </w:p>
          <w:p>
            <w:pPr>
              <w:spacing w:line="360" w:lineRule="auto"/>
              <w:ind w:firstLine="1200" w:firstLineChars="500"/>
              <w:rPr>
                <w:sz w:val="24"/>
                <w:szCs w:val="24"/>
              </w:rPr>
            </w:pPr>
            <w:r>
              <w:rPr>
                <w:rFonts w:hint="eastAsia"/>
                <w:sz w:val="24"/>
                <w:szCs w:val="24"/>
              </w:rPr>
              <w:t>C</w:t>
            </w:r>
            <w:r>
              <w:rPr>
                <w:rFonts w:hint="eastAsia"/>
                <w:sz w:val="24"/>
                <w:szCs w:val="24"/>
                <w:vertAlign w:val="subscript"/>
              </w:rPr>
              <w:t>s</w:t>
            </w:r>
            <w:r>
              <w:rPr>
                <w:rFonts w:hint="eastAsia"/>
                <w:sz w:val="24"/>
                <w:szCs w:val="24"/>
              </w:rPr>
              <w:t>-平均每平方米建筑垃圾产生量（t/m</w:t>
            </w:r>
            <w:r>
              <w:rPr>
                <w:rFonts w:hint="eastAsia"/>
                <w:sz w:val="24"/>
                <w:szCs w:val="24"/>
                <w:vertAlign w:val="superscript"/>
              </w:rPr>
              <w:t>2</w:t>
            </w:r>
            <w:r>
              <w:rPr>
                <w:rFonts w:hint="eastAsia"/>
                <w:sz w:val="24"/>
                <w:szCs w:val="24"/>
              </w:rPr>
              <w:t>）。</w:t>
            </w:r>
          </w:p>
          <w:p>
            <w:pPr>
              <w:tabs>
                <w:tab w:val="left" w:pos="11"/>
              </w:tabs>
              <w:spacing w:line="360" w:lineRule="auto"/>
              <w:ind w:firstLine="480" w:firstLineChars="200"/>
              <w:jc w:val="left"/>
              <w:rPr>
                <w:rFonts w:hAnsi="宋体"/>
                <w:bCs/>
                <w:sz w:val="24"/>
              </w:rPr>
            </w:pPr>
            <w:r>
              <w:rPr>
                <w:rFonts w:hint="eastAsia" w:hAnsi="宋体"/>
                <w:bCs/>
                <w:sz w:val="24"/>
                <w:szCs w:val="24"/>
              </w:rPr>
              <w:t>本项目</w:t>
            </w:r>
            <w:r>
              <w:rPr>
                <w:rFonts w:hAnsi="宋体"/>
                <w:bCs/>
                <w:sz w:val="24"/>
                <w:szCs w:val="24"/>
              </w:rPr>
              <w:t>建筑垃圾产生量</w:t>
            </w:r>
            <w:r>
              <w:rPr>
                <w:rFonts w:hint="eastAsia" w:hAnsi="宋体"/>
                <w:bCs/>
                <w:sz w:val="24"/>
                <w:szCs w:val="24"/>
              </w:rPr>
              <w:t>按</w:t>
            </w:r>
            <w:r>
              <w:rPr>
                <w:rFonts w:hint="eastAsia"/>
                <w:bCs/>
                <w:sz w:val="24"/>
              </w:rPr>
              <w:t>1</w:t>
            </w:r>
            <w:r>
              <w:rPr>
                <w:bCs/>
                <w:sz w:val="24"/>
              </w:rPr>
              <w:t>0kg/m</w:t>
            </w:r>
            <w:r>
              <w:rPr>
                <w:bCs/>
                <w:sz w:val="24"/>
                <w:vertAlign w:val="superscript"/>
              </w:rPr>
              <w:t>2</w:t>
            </w:r>
            <w:r>
              <w:rPr>
                <w:rFonts w:hint="eastAsia"/>
                <w:bCs/>
                <w:sz w:val="24"/>
              </w:rPr>
              <w:t>估算</w:t>
            </w:r>
            <w:r>
              <w:rPr>
                <w:rFonts w:hAnsi="宋体"/>
                <w:bCs/>
                <w:sz w:val="24"/>
              </w:rPr>
              <w:t>，本项目的建筑面积为</w:t>
            </w:r>
            <w:r>
              <w:rPr>
                <w:rFonts w:hint="eastAsia" w:hAnsi="宋体"/>
                <w:bCs/>
                <w:sz w:val="24"/>
              </w:rPr>
              <w:t>17064</w:t>
            </w:r>
            <w:r>
              <w:rPr>
                <w:bCs/>
                <w:sz w:val="24"/>
              </w:rPr>
              <w:t>m</w:t>
            </w:r>
            <w:r>
              <w:rPr>
                <w:bCs/>
                <w:sz w:val="24"/>
                <w:vertAlign w:val="superscript"/>
              </w:rPr>
              <w:t>2</w:t>
            </w:r>
            <w:r>
              <w:rPr>
                <w:rFonts w:hAnsi="宋体"/>
                <w:bCs/>
                <w:sz w:val="24"/>
              </w:rPr>
              <w:t>，则建筑垃圾产生量为</w:t>
            </w:r>
            <w:r>
              <w:rPr>
                <w:rFonts w:hint="eastAsia" w:hAnsi="宋体"/>
                <w:bCs/>
                <w:sz w:val="24"/>
              </w:rPr>
              <w:t>170.6</w:t>
            </w:r>
            <w:r>
              <w:rPr>
                <w:bCs/>
                <w:sz w:val="24"/>
              </w:rPr>
              <w:t>t</w:t>
            </w:r>
            <w:r>
              <w:rPr>
                <w:rFonts w:hAnsi="宋体"/>
                <w:bCs/>
                <w:sz w:val="24"/>
              </w:rPr>
              <w:t>，</w:t>
            </w:r>
            <w:r>
              <w:rPr>
                <w:sz w:val="24"/>
                <w:szCs w:val="24"/>
              </w:rPr>
              <w:t>运至建筑垃圾填埋场处置，</w:t>
            </w:r>
            <w:r>
              <w:rPr>
                <w:rFonts w:hAnsi="宋体"/>
                <w:sz w:val="24"/>
              </w:rPr>
              <w:t>评价要求建设单位</w:t>
            </w:r>
            <w:r>
              <w:rPr>
                <w:rFonts w:hAnsi="宋体"/>
                <w:bCs/>
                <w:sz w:val="24"/>
                <w:szCs w:val="24"/>
              </w:rPr>
              <w:t>对于挖方产生的弃土弃渣不允许随意堆弃，应边挖边填或外运。</w:t>
            </w:r>
          </w:p>
          <w:p>
            <w:pPr>
              <w:tabs>
                <w:tab w:val="left" w:pos="11"/>
              </w:tabs>
              <w:spacing w:line="360" w:lineRule="auto"/>
              <w:ind w:firstLine="480" w:firstLineChars="200"/>
              <w:jc w:val="left"/>
              <w:rPr>
                <w:rFonts w:hAnsi="宋体"/>
                <w:bCs/>
                <w:sz w:val="24"/>
              </w:rPr>
            </w:pPr>
            <w:r>
              <w:rPr>
                <w:rFonts w:ascii="宋体" w:hAnsi="宋体"/>
                <w:bCs/>
                <w:sz w:val="24"/>
              </w:rPr>
              <w:t>⑵</w:t>
            </w:r>
            <w:r>
              <w:rPr>
                <w:rFonts w:hint="eastAsia" w:ascii="宋体" w:hAnsi="宋体"/>
                <w:bCs/>
                <w:sz w:val="24"/>
              </w:rPr>
              <w:t>生活垃圾</w:t>
            </w:r>
          </w:p>
          <w:p>
            <w:pPr>
              <w:spacing w:line="360" w:lineRule="auto"/>
              <w:ind w:firstLine="480" w:firstLineChars="200"/>
              <w:rPr>
                <w:rFonts w:hAnsi="宋体"/>
                <w:bCs/>
                <w:sz w:val="24"/>
              </w:rPr>
            </w:pPr>
            <w:r>
              <w:rPr>
                <w:rFonts w:hint="eastAsia" w:hAnsi="宋体"/>
                <w:bCs/>
                <w:sz w:val="24"/>
              </w:rPr>
              <w:t>施工人员</w:t>
            </w:r>
            <w:r>
              <w:rPr>
                <w:sz w:val="24"/>
              </w:rPr>
              <w:t>生活垃圾产生量按0.5kg</w:t>
            </w:r>
            <w:r>
              <w:rPr>
                <w:rFonts w:hint="eastAsia"/>
                <w:sz w:val="24"/>
              </w:rPr>
              <w:t>/（人</w:t>
            </w:r>
            <w:r>
              <w:rPr>
                <w:sz w:val="24"/>
              </w:rPr>
              <w:t>·</w:t>
            </w:r>
            <w:r>
              <w:rPr>
                <w:rFonts w:hint="eastAsia"/>
                <w:sz w:val="24"/>
              </w:rPr>
              <w:t>d）</w:t>
            </w:r>
            <w:r>
              <w:rPr>
                <w:sz w:val="24"/>
              </w:rPr>
              <w:t>计，施工人员按</w:t>
            </w:r>
            <w:r>
              <w:rPr>
                <w:rFonts w:hint="eastAsia"/>
                <w:sz w:val="24"/>
              </w:rPr>
              <w:t>20</w:t>
            </w:r>
            <w:r>
              <w:rPr>
                <w:sz w:val="24"/>
              </w:rPr>
              <w:t>人计，生活垃圾产生</w:t>
            </w:r>
            <w:r>
              <w:rPr>
                <w:rFonts w:hint="eastAsia"/>
                <w:sz w:val="24"/>
              </w:rPr>
              <w:t>量</w:t>
            </w:r>
            <w:r>
              <w:rPr>
                <w:sz w:val="24"/>
              </w:rPr>
              <w:t>为</w:t>
            </w:r>
            <w:r>
              <w:rPr>
                <w:rFonts w:hint="eastAsia"/>
                <w:sz w:val="24"/>
              </w:rPr>
              <w:t>10kg/d</w:t>
            </w:r>
            <w:r>
              <w:rPr>
                <w:sz w:val="24"/>
              </w:rPr>
              <w:t>。</w:t>
            </w:r>
            <w:r>
              <w:rPr>
                <w:rFonts w:hint="eastAsia" w:hAnsi="宋体"/>
                <w:bCs/>
                <w:sz w:val="24"/>
              </w:rPr>
              <w:t>生活垃圾由施工队设置临时生活垃圾收集桶，统一收集后清运至临时收集点堆放，由当地环卫部门处置。</w:t>
            </w:r>
          </w:p>
          <w:p>
            <w:pPr>
              <w:spacing w:line="360" w:lineRule="auto"/>
              <w:ind w:firstLine="482" w:firstLineChars="200"/>
              <w:rPr>
                <w:b/>
                <w:sz w:val="24"/>
              </w:rPr>
            </w:pPr>
            <w:r>
              <w:rPr>
                <w:rFonts w:hAnsi="宋体"/>
                <w:b/>
                <w:sz w:val="24"/>
              </w:rPr>
              <w:t>二、营运期</w:t>
            </w:r>
          </w:p>
          <w:p>
            <w:pPr>
              <w:spacing w:line="360" w:lineRule="auto"/>
              <w:ind w:firstLine="482" w:firstLineChars="200"/>
              <w:rPr>
                <w:rFonts w:hAnsi="宋体"/>
                <w:b/>
                <w:sz w:val="24"/>
              </w:rPr>
            </w:pPr>
            <w:r>
              <w:rPr>
                <w:b/>
                <w:sz w:val="24"/>
              </w:rPr>
              <w:t>1</w:t>
            </w:r>
            <w:r>
              <w:rPr>
                <w:rFonts w:hAnsi="宋体"/>
                <w:b/>
                <w:sz w:val="24"/>
              </w:rPr>
              <w:t>、废气</w:t>
            </w:r>
          </w:p>
          <w:p>
            <w:pPr>
              <w:spacing w:line="360" w:lineRule="auto"/>
              <w:ind w:firstLine="480" w:firstLineChars="200"/>
              <w:rPr>
                <w:rFonts w:ascii="宋体" w:hAnsi="宋体"/>
                <w:bCs/>
                <w:sz w:val="24"/>
                <w:szCs w:val="24"/>
              </w:rPr>
            </w:pPr>
            <w:r>
              <w:rPr>
                <w:rFonts w:hAnsi="宋体"/>
                <w:sz w:val="24"/>
              </w:rPr>
              <w:t>本项目营运期产生的大气污染物主要是</w:t>
            </w:r>
            <w:r>
              <w:rPr>
                <w:rFonts w:hint="eastAsia" w:ascii="宋体" w:hAnsi="宋体"/>
                <w:bCs/>
                <w:sz w:val="24"/>
                <w:szCs w:val="24"/>
              </w:rPr>
              <w:t>有组织废气和无组织废气。有组织废气主要为</w:t>
            </w:r>
            <w:r>
              <w:rPr>
                <w:rFonts w:ascii="宋体" w:hAnsi="宋体"/>
                <w:bCs/>
                <w:sz w:val="24"/>
                <w:szCs w:val="24"/>
              </w:rPr>
              <w:t>隧道窑焙烧过程中产生的</w:t>
            </w:r>
            <w:r>
              <w:rPr>
                <w:rFonts w:hint="eastAsia" w:hAnsi="宋体"/>
                <w:bCs/>
                <w:sz w:val="24"/>
                <w:szCs w:val="24"/>
              </w:rPr>
              <w:t>废气和粉碎车间粉尘</w:t>
            </w:r>
            <w:r>
              <w:rPr>
                <w:rFonts w:hint="eastAsia" w:ascii="宋体" w:hAnsi="宋体"/>
                <w:bCs/>
                <w:sz w:val="24"/>
                <w:szCs w:val="24"/>
              </w:rPr>
              <w:t>；无组织废气主要是指取土区粘土开采、物料装卸作业扬尘、运输过程产生的扬尘、车间粉碎过程中无组织排放粉尘。</w:t>
            </w:r>
          </w:p>
          <w:p>
            <w:pPr>
              <w:spacing w:line="360" w:lineRule="auto"/>
              <w:ind w:firstLine="480" w:firstLineChars="200"/>
              <w:rPr>
                <w:bCs/>
                <w:sz w:val="24"/>
                <w:szCs w:val="24"/>
              </w:rPr>
            </w:pPr>
            <w:r>
              <w:rPr>
                <w:rFonts w:hAnsi="宋体"/>
                <w:bCs/>
                <w:sz w:val="24"/>
                <w:szCs w:val="24"/>
              </w:rPr>
              <w:t>（</w:t>
            </w:r>
            <w:r>
              <w:rPr>
                <w:bCs/>
                <w:sz w:val="24"/>
                <w:szCs w:val="24"/>
              </w:rPr>
              <w:t>1</w:t>
            </w:r>
            <w:r>
              <w:rPr>
                <w:rFonts w:hAnsi="宋体"/>
                <w:bCs/>
                <w:sz w:val="24"/>
                <w:szCs w:val="24"/>
              </w:rPr>
              <w:t>）</w:t>
            </w:r>
            <w:r>
              <w:rPr>
                <w:rFonts w:hint="eastAsia"/>
                <w:sz w:val="24"/>
              </w:rPr>
              <w:t>隧道窑焙烧废气</w:t>
            </w:r>
          </w:p>
          <w:p>
            <w:pPr>
              <w:spacing w:line="360" w:lineRule="auto"/>
              <w:ind w:firstLine="480" w:firstLineChars="200"/>
              <w:rPr>
                <w:sz w:val="24"/>
              </w:rPr>
            </w:pPr>
            <w:r>
              <w:rPr>
                <w:sz w:val="24"/>
              </w:rPr>
              <w:fldChar w:fldCharType="begin"/>
            </w:r>
            <w:r>
              <w:rPr>
                <w:sz w:val="24"/>
              </w:rPr>
              <w:instrText xml:space="preserve"> </w:instrText>
            </w:r>
            <w:r>
              <w:rPr>
                <w:rFonts w:hint="eastAsia"/>
                <w:sz w:val="24"/>
              </w:rPr>
              <w:instrText xml:space="preserve">= 1 \* GB3</w:instrText>
            </w:r>
            <w:r>
              <w:rPr>
                <w:sz w:val="24"/>
              </w:rPr>
              <w:instrText xml:space="preserve"> </w:instrText>
            </w:r>
            <w:r>
              <w:rPr>
                <w:sz w:val="24"/>
              </w:rPr>
              <w:fldChar w:fldCharType="separate"/>
            </w:r>
            <w:r>
              <w:rPr>
                <w:rFonts w:hint="eastAsia"/>
                <w:sz w:val="24"/>
              </w:rPr>
              <w:t>①</w:t>
            </w:r>
            <w:r>
              <w:rPr>
                <w:sz w:val="24"/>
              </w:rPr>
              <w:fldChar w:fldCharType="end"/>
            </w:r>
            <w:r>
              <w:rPr>
                <w:sz w:val="24"/>
              </w:rPr>
              <w:t>烟尘</w:t>
            </w:r>
          </w:p>
          <w:p>
            <w:pPr>
              <w:spacing w:line="360" w:lineRule="auto"/>
              <w:ind w:firstLine="480" w:firstLineChars="200"/>
              <w:rPr>
                <w:sz w:val="24"/>
              </w:rPr>
            </w:pPr>
            <w:r>
              <w:rPr>
                <w:rFonts w:hint="eastAsia"/>
                <w:sz w:val="24"/>
              </w:rPr>
              <w:t>烟尘污染物源强计算参考</w:t>
            </w:r>
            <w:r>
              <w:rPr>
                <w:sz w:val="24"/>
              </w:rPr>
              <w:t>《工业污染源排污系数手册》（2010年修订）</w:t>
            </w:r>
            <w:r>
              <w:rPr>
                <w:rFonts w:hint="eastAsia"/>
                <w:sz w:val="24"/>
              </w:rPr>
              <w:t>中给出的天然气及燃烧排放污染物系数进行污染物排放核算</w:t>
            </w:r>
            <w:r>
              <w:rPr>
                <w:sz w:val="24"/>
              </w:rPr>
              <w:t>，工业废气量为</w:t>
            </w:r>
            <w:r>
              <w:rPr>
                <w:rFonts w:hint="eastAsia"/>
                <w:sz w:val="24"/>
              </w:rPr>
              <w:t>136259.17标立方米/万立方米-原料</w:t>
            </w:r>
            <w:r>
              <w:rPr>
                <w:sz w:val="24"/>
              </w:rPr>
              <w:t>，烟尘产生量为</w:t>
            </w:r>
            <w:r>
              <w:rPr>
                <w:rFonts w:hint="eastAsia"/>
                <w:sz w:val="24"/>
              </w:rPr>
              <w:t>2.4千克/万立方米-原料</w:t>
            </w:r>
            <w:r>
              <w:rPr>
                <w:sz w:val="24"/>
              </w:rPr>
              <w:t>，则项目每年废气量为</w:t>
            </w:r>
            <w:r>
              <w:rPr>
                <w:rFonts w:hint="eastAsia"/>
                <w:sz w:val="24"/>
              </w:rPr>
              <w:t>7725.9</w:t>
            </w:r>
            <w:r>
              <w:rPr>
                <w:sz w:val="24"/>
              </w:rPr>
              <w:t>万m</w:t>
            </w:r>
            <w:r>
              <w:rPr>
                <w:sz w:val="24"/>
                <w:vertAlign w:val="superscript"/>
              </w:rPr>
              <w:t>3</w:t>
            </w:r>
            <w:r>
              <w:rPr>
                <w:sz w:val="24"/>
              </w:rPr>
              <w:t>，烟尘产生量为</w:t>
            </w:r>
            <w:r>
              <w:rPr>
                <w:rFonts w:hint="eastAsia"/>
                <w:sz w:val="24"/>
              </w:rPr>
              <w:t>1.361</w:t>
            </w:r>
            <w:r>
              <w:rPr>
                <w:sz w:val="24"/>
              </w:rPr>
              <w:t>t/a、产生浓度为</w:t>
            </w:r>
            <w:r>
              <w:rPr>
                <w:rFonts w:hint="eastAsia"/>
                <w:sz w:val="24"/>
              </w:rPr>
              <w:t>17.61</w:t>
            </w:r>
            <w:r>
              <w:rPr>
                <w:sz w:val="24"/>
              </w:rPr>
              <w:t>mg/m</w:t>
            </w:r>
            <w:r>
              <w:rPr>
                <w:sz w:val="24"/>
                <w:vertAlign w:val="superscript"/>
              </w:rPr>
              <w:t>3</w:t>
            </w:r>
            <w:r>
              <w:rPr>
                <w:sz w:val="24"/>
              </w:rPr>
              <w:t>，速率为</w:t>
            </w:r>
            <w:r>
              <w:rPr>
                <w:rFonts w:hint="eastAsia"/>
                <w:sz w:val="24"/>
              </w:rPr>
              <w:t>0.19</w:t>
            </w:r>
            <w:r>
              <w:rPr>
                <w:sz w:val="24"/>
              </w:rPr>
              <w:t>kg/h。排放浓度满足</w:t>
            </w:r>
            <w:r>
              <w:rPr>
                <w:rFonts w:hint="eastAsia" w:hAnsi="宋体"/>
                <w:bCs/>
                <w:sz w:val="24"/>
              </w:rPr>
              <w:t>《关中地区重点行业大气污染物排放标准》（GB61 1226-2018）中的表7砖瓦工业大气污染物排放浓度限值</w:t>
            </w:r>
            <w:r>
              <w:rPr>
                <w:sz w:val="24"/>
              </w:rPr>
              <w:t>标准限值要求。</w:t>
            </w:r>
          </w:p>
          <w:p>
            <w:pPr>
              <w:spacing w:line="360" w:lineRule="auto"/>
              <w:ind w:firstLine="480" w:firstLineChars="200"/>
              <w:rPr>
                <w:sz w:val="24"/>
              </w:rPr>
            </w:pPr>
            <w:r>
              <w:rPr>
                <w:sz w:val="24"/>
              </w:rPr>
              <w:fldChar w:fldCharType="begin"/>
            </w:r>
            <w:r>
              <w:rPr>
                <w:sz w:val="24"/>
              </w:rPr>
              <w:instrText xml:space="preserve"> </w:instrText>
            </w:r>
            <w:r>
              <w:rPr>
                <w:rFonts w:hint="eastAsia"/>
                <w:sz w:val="24"/>
              </w:rPr>
              <w:instrText xml:space="preserve">= 2 \* GB3</w:instrText>
            </w:r>
            <w:r>
              <w:rPr>
                <w:sz w:val="24"/>
              </w:rPr>
              <w:instrText xml:space="preserve"> </w:instrText>
            </w:r>
            <w:r>
              <w:rPr>
                <w:sz w:val="24"/>
              </w:rPr>
              <w:fldChar w:fldCharType="separate"/>
            </w:r>
            <w:r>
              <w:rPr>
                <w:rFonts w:hint="eastAsia"/>
                <w:sz w:val="24"/>
              </w:rPr>
              <w:t>②</w:t>
            </w:r>
            <w:r>
              <w:rPr>
                <w:sz w:val="24"/>
              </w:rPr>
              <w:fldChar w:fldCharType="end"/>
            </w:r>
            <w:r>
              <w:rPr>
                <w:sz w:val="24"/>
              </w:rPr>
              <w:t>SO</w:t>
            </w:r>
            <w:r>
              <w:rPr>
                <w:sz w:val="24"/>
                <w:vertAlign w:val="subscript"/>
              </w:rPr>
              <w:t>2</w:t>
            </w:r>
          </w:p>
          <w:p>
            <w:pPr>
              <w:spacing w:line="360" w:lineRule="auto"/>
              <w:ind w:firstLine="480" w:firstLineChars="200"/>
              <w:rPr>
                <w:sz w:val="24"/>
              </w:rPr>
            </w:pPr>
            <w:r>
              <w:rPr>
                <w:sz w:val="24"/>
              </w:rPr>
              <w:t>SO</w:t>
            </w:r>
            <w:r>
              <w:rPr>
                <w:sz w:val="24"/>
                <w:vertAlign w:val="subscript"/>
              </w:rPr>
              <w:t>2</w:t>
            </w:r>
            <w:r>
              <w:rPr>
                <w:rFonts w:hint="eastAsia"/>
                <w:sz w:val="24"/>
              </w:rPr>
              <w:t>污染物源强计算参考</w:t>
            </w:r>
            <w:r>
              <w:rPr>
                <w:sz w:val="24"/>
              </w:rPr>
              <w:t>《工业污染源排污系数手册》（2010年修订）</w:t>
            </w:r>
            <w:r>
              <w:rPr>
                <w:rFonts w:hint="eastAsia"/>
                <w:sz w:val="24"/>
              </w:rPr>
              <w:t>中给出的天然气及燃烧排放污染物系数进行污染物排放核算</w:t>
            </w:r>
            <w:r>
              <w:rPr>
                <w:sz w:val="24"/>
              </w:rPr>
              <w:t>，工业废气量为</w:t>
            </w:r>
            <w:r>
              <w:rPr>
                <w:rFonts w:hint="eastAsia"/>
                <w:sz w:val="24"/>
              </w:rPr>
              <w:t>136259.17标立方米/万立方米-原料</w:t>
            </w:r>
            <w:r>
              <w:rPr>
                <w:sz w:val="24"/>
              </w:rPr>
              <w:t>，SO</w:t>
            </w:r>
            <w:r>
              <w:rPr>
                <w:sz w:val="24"/>
                <w:vertAlign w:val="subscript"/>
              </w:rPr>
              <w:t>2</w:t>
            </w:r>
            <w:r>
              <w:rPr>
                <w:sz w:val="24"/>
              </w:rPr>
              <w:t>产生量为</w:t>
            </w:r>
            <w:r>
              <w:rPr>
                <w:rFonts w:hint="eastAsia"/>
                <w:sz w:val="24"/>
              </w:rPr>
              <w:t>0.02S千克/万立方米-原料（根据液化天然气的质量控制要求，本项目S取60）</w:t>
            </w:r>
            <w:r>
              <w:rPr>
                <w:sz w:val="24"/>
              </w:rPr>
              <w:t>，则项目每年废气量为</w:t>
            </w:r>
            <w:r>
              <w:rPr>
                <w:rFonts w:hint="eastAsia"/>
                <w:sz w:val="24"/>
              </w:rPr>
              <w:t>7725.9</w:t>
            </w:r>
            <w:r>
              <w:rPr>
                <w:sz w:val="24"/>
              </w:rPr>
              <w:t>万m</w:t>
            </w:r>
            <w:r>
              <w:rPr>
                <w:sz w:val="24"/>
                <w:vertAlign w:val="superscript"/>
              </w:rPr>
              <w:t>3</w:t>
            </w:r>
            <w:r>
              <w:rPr>
                <w:sz w:val="24"/>
              </w:rPr>
              <w:t>，SO</w:t>
            </w:r>
            <w:r>
              <w:rPr>
                <w:sz w:val="24"/>
                <w:vertAlign w:val="subscript"/>
              </w:rPr>
              <w:t>2</w:t>
            </w:r>
            <w:r>
              <w:rPr>
                <w:sz w:val="24"/>
              </w:rPr>
              <w:t>产生量为</w:t>
            </w:r>
            <w:r>
              <w:rPr>
                <w:rFonts w:hint="eastAsia"/>
                <w:sz w:val="24"/>
              </w:rPr>
              <w:t>0.680</w:t>
            </w:r>
            <w:r>
              <w:rPr>
                <w:sz w:val="24"/>
              </w:rPr>
              <w:t>t/a、产生浓度为</w:t>
            </w:r>
            <w:r>
              <w:rPr>
                <w:rFonts w:hint="eastAsia"/>
                <w:sz w:val="24"/>
              </w:rPr>
              <w:t>8.81</w:t>
            </w:r>
            <w:r>
              <w:rPr>
                <w:sz w:val="24"/>
              </w:rPr>
              <w:t>mg/m</w:t>
            </w:r>
            <w:r>
              <w:rPr>
                <w:sz w:val="24"/>
                <w:vertAlign w:val="superscript"/>
              </w:rPr>
              <w:t>3</w:t>
            </w:r>
            <w:r>
              <w:rPr>
                <w:sz w:val="24"/>
              </w:rPr>
              <w:t>，排放速率为</w:t>
            </w:r>
            <w:r>
              <w:rPr>
                <w:rFonts w:hint="eastAsia"/>
                <w:sz w:val="24"/>
              </w:rPr>
              <w:t>0.07</w:t>
            </w:r>
            <w:r>
              <w:rPr>
                <w:sz w:val="24"/>
              </w:rPr>
              <w:t>kg/h。排放浓度满足</w:t>
            </w:r>
            <w:r>
              <w:rPr>
                <w:rFonts w:hint="eastAsia" w:hAnsi="宋体"/>
                <w:bCs/>
                <w:sz w:val="24"/>
              </w:rPr>
              <w:t>《关中地区重点行业大气污染物排放标准》（GB61 1226-2018）中的表7砖瓦工业大气污染物排放浓度限值</w:t>
            </w:r>
            <w:r>
              <w:rPr>
                <w:sz w:val="24"/>
              </w:rPr>
              <w:t>标准限值要求。</w:t>
            </w:r>
          </w:p>
          <w:p>
            <w:pPr>
              <w:spacing w:line="360" w:lineRule="auto"/>
              <w:ind w:firstLine="480" w:firstLineChars="200"/>
              <w:rPr>
                <w:sz w:val="24"/>
              </w:rPr>
            </w:pPr>
            <w:r>
              <w:rPr>
                <w:sz w:val="24"/>
              </w:rPr>
              <w:fldChar w:fldCharType="begin"/>
            </w:r>
            <w:r>
              <w:rPr>
                <w:sz w:val="24"/>
              </w:rPr>
              <w:instrText xml:space="preserve"> </w:instrText>
            </w:r>
            <w:r>
              <w:rPr>
                <w:rFonts w:hint="eastAsia"/>
                <w:sz w:val="24"/>
              </w:rPr>
              <w:instrText xml:space="preserve">= 3 \* GB3</w:instrText>
            </w:r>
            <w:r>
              <w:rPr>
                <w:sz w:val="24"/>
              </w:rPr>
              <w:instrText xml:space="preserve"> </w:instrText>
            </w:r>
            <w:r>
              <w:rPr>
                <w:sz w:val="24"/>
              </w:rPr>
              <w:fldChar w:fldCharType="separate"/>
            </w:r>
            <w:r>
              <w:rPr>
                <w:rFonts w:hint="eastAsia"/>
                <w:sz w:val="24"/>
              </w:rPr>
              <w:t>③</w:t>
            </w:r>
            <w:r>
              <w:rPr>
                <w:sz w:val="24"/>
              </w:rPr>
              <w:fldChar w:fldCharType="end"/>
            </w:r>
            <w:r>
              <w:rPr>
                <w:sz w:val="24"/>
              </w:rPr>
              <w:t>NOx</w:t>
            </w:r>
          </w:p>
          <w:p>
            <w:pPr>
              <w:spacing w:line="360" w:lineRule="auto"/>
              <w:ind w:firstLine="480" w:firstLineChars="200"/>
              <w:rPr>
                <w:sz w:val="24"/>
              </w:rPr>
            </w:pPr>
            <w:r>
              <w:rPr>
                <w:sz w:val="24"/>
              </w:rPr>
              <w:t>评价</w:t>
            </w:r>
            <w:r>
              <w:rPr>
                <w:rFonts w:hint="eastAsia"/>
                <w:sz w:val="24"/>
              </w:rPr>
              <w:t>废气量</w:t>
            </w:r>
            <w:r>
              <w:rPr>
                <w:sz w:val="24"/>
              </w:rPr>
              <w:t>取《工业污染源排污系数手册》（2010年修订）中</w:t>
            </w:r>
            <w:r>
              <w:rPr>
                <w:rFonts w:hint="eastAsia"/>
                <w:sz w:val="24"/>
              </w:rPr>
              <w:t>天然气及燃烧排放污染物系数进行污染物排放核算</w:t>
            </w:r>
            <w:r>
              <w:rPr>
                <w:sz w:val="24"/>
              </w:rPr>
              <w:t>，废气量为</w:t>
            </w:r>
            <w:r>
              <w:rPr>
                <w:rFonts w:hint="eastAsia"/>
                <w:sz w:val="24"/>
              </w:rPr>
              <w:t>7725.9</w:t>
            </w:r>
            <w:r>
              <w:rPr>
                <w:sz w:val="24"/>
              </w:rPr>
              <w:t>万m</w:t>
            </w:r>
            <w:r>
              <w:rPr>
                <w:sz w:val="24"/>
                <w:vertAlign w:val="superscript"/>
              </w:rPr>
              <w:t>3</w:t>
            </w:r>
            <w:r>
              <w:rPr>
                <w:sz w:val="24"/>
              </w:rPr>
              <w:t>，</w:t>
            </w:r>
            <w:r>
              <w:rPr>
                <w:rFonts w:hint="eastAsia"/>
                <w:sz w:val="24"/>
              </w:rPr>
              <w:t>NO</w:t>
            </w:r>
            <w:r>
              <w:rPr>
                <w:rFonts w:hint="eastAsia"/>
                <w:sz w:val="24"/>
                <w:vertAlign w:val="subscript"/>
              </w:rPr>
              <w:t>x</w:t>
            </w:r>
            <w:r>
              <w:rPr>
                <w:sz w:val="24"/>
              </w:rPr>
              <w:t>产生量为</w:t>
            </w:r>
            <w:r>
              <w:rPr>
                <w:rFonts w:hint="eastAsia"/>
                <w:sz w:val="24"/>
              </w:rPr>
              <w:t>18.71千克/万立方米-原料则</w:t>
            </w:r>
            <w:r>
              <w:rPr>
                <w:sz w:val="24"/>
              </w:rPr>
              <w:t>氮氧化物产生量为</w:t>
            </w:r>
            <w:r>
              <w:rPr>
                <w:rFonts w:hint="eastAsia"/>
                <w:sz w:val="24"/>
              </w:rPr>
              <w:t>10.609</w:t>
            </w:r>
            <w:r>
              <w:rPr>
                <w:sz w:val="24"/>
              </w:rPr>
              <w:t>t/a、产生浓度为</w:t>
            </w:r>
            <w:r>
              <w:rPr>
                <w:rFonts w:hint="eastAsia"/>
                <w:sz w:val="24"/>
              </w:rPr>
              <w:t>137.3</w:t>
            </w:r>
            <w:r>
              <w:rPr>
                <w:sz w:val="24"/>
              </w:rPr>
              <w:t>mg/m</w:t>
            </w:r>
            <w:r>
              <w:rPr>
                <w:sz w:val="24"/>
                <w:vertAlign w:val="superscript"/>
              </w:rPr>
              <w:t>3</w:t>
            </w:r>
            <w:r>
              <w:rPr>
                <w:sz w:val="24"/>
              </w:rPr>
              <w:t>、排放速率为</w:t>
            </w:r>
            <w:r>
              <w:rPr>
                <w:rFonts w:hint="eastAsia"/>
                <w:sz w:val="24"/>
              </w:rPr>
              <w:t>1.47</w:t>
            </w:r>
            <w:r>
              <w:rPr>
                <w:sz w:val="24"/>
              </w:rPr>
              <w:t>kg/h。排放浓度满足</w:t>
            </w:r>
            <w:r>
              <w:rPr>
                <w:rFonts w:hint="eastAsia" w:hAnsi="宋体"/>
                <w:bCs/>
                <w:sz w:val="24"/>
              </w:rPr>
              <w:t>《关中地区重点行业大气污染物排放标准》（GB61 1226-2018）中的表7砖瓦工业大气污染物排放浓度限值</w:t>
            </w:r>
            <w:r>
              <w:rPr>
                <w:sz w:val="24"/>
              </w:rPr>
              <w:t>标准限值要求。</w:t>
            </w:r>
          </w:p>
          <w:p>
            <w:pPr>
              <w:adjustRightInd w:val="0"/>
              <w:snapToGrid w:val="0"/>
              <w:spacing w:line="480" w:lineRule="exact"/>
              <w:ind w:right="53" w:rightChars="25" w:firstLine="480" w:firstLineChars="200"/>
              <w:rPr>
                <w:sz w:val="24"/>
              </w:rPr>
            </w:pPr>
            <w:r>
              <w:rPr>
                <w:sz w:val="24"/>
              </w:rPr>
              <w:fldChar w:fldCharType="begin"/>
            </w:r>
            <w:r>
              <w:rPr>
                <w:sz w:val="24"/>
              </w:rPr>
              <w:instrText xml:space="preserve"> </w:instrText>
            </w:r>
            <w:r>
              <w:rPr>
                <w:rFonts w:hint="eastAsia"/>
                <w:sz w:val="24"/>
              </w:rPr>
              <w:instrText xml:space="preserve">= 4 \* GB3</w:instrText>
            </w:r>
            <w:r>
              <w:rPr>
                <w:sz w:val="24"/>
              </w:rPr>
              <w:instrText xml:space="preserve"> </w:instrText>
            </w:r>
            <w:r>
              <w:rPr>
                <w:sz w:val="24"/>
              </w:rPr>
              <w:fldChar w:fldCharType="separate"/>
            </w:r>
            <w:r>
              <w:rPr>
                <w:rFonts w:hint="eastAsia"/>
                <w:sz w:val="24"/>
              </w:rPr>
              <w:t>④</w:t>
            </w:r>
            <w:r>
              <w:rPr>
                <w:sz w:val="24"/>
              </w:rPr>
              <w:fldChar w:fldCharType="end"/>
            </w:r>
            <w:r>
              <w:rPr>
                <w:rFonts w:hint="eastAsia"/>
                <w:sz w:val="24"/>
              </w:rPr>
              <w:t>隧道窑氟化物废气</w:t>
            </w:r>
          </w:p>
          <w:p>
            <w:pPr>
              <w:adjustRightInd w:val="0"/>
              <w:snapToGrid w:val="0"/>
              <w:spacing w:line="480" w:lineRule="exact"/>
              <w:ind w:right="53" w:rightChars="25" w:firstLine="480" w:firstLineChars="200"/>
              <w:rPr>
                <w:sz w:val="24"/>
              </w:rPr>
            </w:pPr>
            <w:r>
              <w:rPr>
                <w:rFonts w:hint="eastAsia"/>
                <w:sz w:val="24"/>
              </w:rPr>
              <w:t>本项目原料为粘土，参考《西安与咸阳地区土壤对比研究》中相关资料，长安区郭杜镇大学城附近土壤中氟含量为145.3mg/kg。项目区土质与郭杜镇大学城附近土壤基本相似，粘土中总氟含量取145.3mg/kg。参考同类项目，坯在高温烧制过程中，坯土中的氟化物成为气态氟化物逸散到大气中，烧制过程中氟化物的释放量为0.543g/kg。则项目年消耗粘土12.96万吨，氟化物排放量为70.37kg</w:t>
            </w:r>
            <w:r>
              <w:rPr>
                <w:sz w:val="24"/>
              </w:rPr>
              <w:t>/a</w:t>
            </w:r>
            <w:r>
              <w:rPr>
                <w:rFonts w:hint="eastAsia"/>
                <w:sz w:val="24"/>
              </w:rPr>
              <w:t>。</w:t>
            </w:r>
          </w:p>
          <w:p>
            <w:pPr>
              <w:spacing w:line="460" w:lineRule="exact"/>
              <w:ind w:firstLine="480" w:firstLineChars="200"/>
              <w:rPr>
                <w:sz w:val="24"/>
              </w:rPr>
            </w:pPr>
            <w:r>
              <w:rPr>
                <w:rFonts w:hint="eastAsia"/>
                <w:sz w:val="24"/>
              </w:rPr>
              <w:t>（2）粉碎车间粉尘</w:t>
            </w:r>
          </w:p>
          <w:p>
            <w:pPr>
              <w:widowControl/>
              <w:spacing w:line="480" w:lineRule="exact"/>
              <w:ind w:right="-17" w:rightChars="-8" w:firstLine="480" w:firstLineChars="200"/>
              <w:textAlignment w:val="baseline"/>
              <w:rPr>
                <w:sz w:val="24"/>
              </w:rPr>
            </w:pPr>
            <w:r>
              <w:rPr>
                <w:rFonts w:hint="eastAsia"/>
                <w:sz w:val="24"/>
              </w:rPr>
              <w:t>根据《砖瓦行业污染物排放标准》(编制说明)中的调查，原料破碎输送工段粉尘排放主要在使用页岩、煤矸石和粉煤灰为原料的企业，粘土原料自然含水率较高，在这一工段几乎无粉尘排放。本项目生产原料全部为粘土，因此，本次评价不计算原料破碎输送工段粉尘排放。</w:t>
            </w:r>
          </w:p>
          <w:p>
            <w:pPr>
              <w:widowControl/>
              <w:spacing w:line="480" w:lineRule="exact"/>
              <w:ind w:right="-17" w:rightChars="-8" w:firstLine="480" w:firstLineChars="200"/>
              <w:textAlignment w:val="baseline"/>
              <w:rPr>
                <w:color w:val="FF0000"/>
                <w:sz w:val="24"/>
              </w:rPr>
            </w:pPr>
            <w:r>
              <w:rPr>
                <w:rFonts w:hint="eastAsia"/>
                <w:color w:val="FF0000"/>
                <w:sz w:val="24"/>
              </w:rPr>
              <w:t>项目产生的废砖坯经过破碎回用于生产，破碎量为3380t/a，破碎过程中产生破碎粉尘。废砖坯含水率较高，参考同类项，破碎粉尘产生量按破碎量的0.1%计算，则破碎粉尘产生量为3.4t/a。破碎机设置集气罩收集破碎过程中产生的废气，集气风机风量为5000m</w:t>
            </w:r>
            <w:r>
              <w:rPr>
                <w:rFonts w:hint="eastAsia"/>
                <w:color w:val="FF0000"/>
                <w:sz w:val="24"/>
                <w:vertAlign w:val="superscript"/>
              </w:rPr>
              <w:t>3</w:t>
            </w:r>
            <w:r>
              <w:rPr>
                <w:rFonts w:hint="eastAsia"/>
                <w:color w:val="FF0000"/>
                <w:sz w:val="24"/>
              </w:rPr>
              <w:t>/h，每天废料破碎2h，则废气中主要污染物颗粒物产生浓度为1133mg/m</w:t>
            </w:r>
            <w:r>
              <w:rPr>
                <w:rFonts w:hint="eastAsia"/>
                <w:color w:val="FF0000"/>
                <w:sz w:val="24"/>
                <w:vertAlign w:val="superscript"/>
              </w:rPr>
              <w:t>3</w:t>
            </w:r>
            <w:r>
              <w:rPr>
                <w:rFonts w:hint="eastAsia"/>
                <w:color w:val="FF0000"/>
                <w:sz w:val="24"/>
              </w:rPr>
              <w:t>，产生速率为5.67kg/h。</w:t>
            </w:r>
          </w:p>
          <w:p>
            <w:pPr>
              <w:widowControl/>
              <w:spacing w:line="480" w:lineRule="exact"/>
              <w:ind w:right="-17" w:rightChars="-8" w:firstLine="480" w:firstLineChars="200"/>
              <w:textAlignment w:val="baseline"/>
              <w:rPr>
                <w:color w:val="FF0000"/>
                <w:sz w:val="24"/>
              </w:rPr>
            </w:pPr>
            <w:r>
              <w:rPr>
                <w:rFonts w:hint="eastAsia"/>
                <w:color w:val="FF0000"/>
                <w:sz w:val="24"/>
              </w:rPr>
              <w:t>废气经布袋除尘器处理后，通过15m高排气筒（2#）排放，布袋除尘器处理效率为99%，则颗粒物排放浓度为11.3mg/m</w:t>
            </w:r>
            <w:r>
              <w:rPr>
                <w:rFonts w:hint="eastAsia"/>
                <w:color w:val="FF0000"/>
                <w:sz w:val="24"/>
                <w:vertAlign w:val="superscript"/>
              </w:rPr>
              <w:t>3</w:t>
            </w:r>
            <w:r>
              <w:rPr>
                <w:rFonts w:hint="eastAsia"/>
                <w:color w:val="FF0000"/>
                <w:sz w:val="24"/>
              </w:rPr>
              <w:t>，排放速率为0.057kg/h，排放量为0.034t/a。排放浓度满足《关中地区重点行业大气污染物排放标准》（GB61 1226-2018）中的表7砖瓦工业大气污染物排放浓度限值标准限值要求。</w:t>
            </w:r>
          </w:p>
          <w:p>
            <w:pPr>
              <w:spacing w:line="360" w:lineRule="auto"/>
              <w:ind w:firstLine="480" w:firstLineChars="200"/>
              <w:rPr>
                <w:rFonts w:hAnsi="宋体"/>
                <w:bCs/>
                <w:sz w:val="24"/>
                <w:szCs w:val="24"/>
              </w:rPr>
            </w:pPr>
            <w:r>
              <w:rPr>
                <w:rFonts w:hAnsi="宋体"/>
                <w:bCs/>
                <w:sz w:val="24"/>
                <w:szCs w:val="24"/>
              </w:rPr>
              <w:t>（</w:t>
            </w:r>
            <w:r>
              <w:rPr>
                <w:rFonts w:hint="eastAsia" w:hAnsi="宋体"/>
                <w:bCs/>
                <w:sz w:val="24"/>
                <w:szCs w:val="24"/>
              </w:rPr>
              <w:t>3</w:t>
            </w:r>
            <w:r>
              <w:rPr>
                <w:rFonts w:hAnsi="宋体"/>
                <w:bCs/>
                <w:sz w:val="24"/>
                <w:szCs w:val="24"/>
              </w:rPr>
              <w:t>）</w:t>
            </w:r>
            <w:r>
              <w:rPr>
                <w:rFonts w:hint="eastAsia" w:hAnsi="宋体"/>
                <w:bCs/>
                <w:sz w:val="24"/>
                <w:szCs w:val="24"/>
              </w:rPr>
              <w:t>无组织废气</w:t>
            </w:r>
          </w:p>
          <w:p>
            <w:pPr>
              <w:spacing w:line="360" w:lineRule="auto"/>
              <w:ind w:firstLine="480" w:firstLineChars="200"/>
              <w:rPr>
                <w:rFonts w:ascii="宋体" w:hAnsi="宋体"/>
                <w:bCs/>
                <w:sz w:val="24"/>
                <w:szCs w:val="24"/>
              </w:rPr>
            </w:pPr>
            <w:r>
              <w:rPr>
                <w:rFonts w:hint="eastAsia" w:ascii="宋体" w:hAnsi="宋体"/>
                <w:bCs/>
                <w:sz w:val="24"/>
                <w:szCs w:val="24"/>
              </w:rPr>
              <w:t>本项目无组织废气主要是指粘土开采、物料装卸作业扬尘、运输过程产生的扬尘。</w:t>
            </w:r>
          </w:p>
          <w:p>
            <w:pPr>
              <w:spacing w:line="360" w:lineRule="auto"/>
              <w:ind w:firstLine="480" w:firstLineChars="200"/>
              <w:rPr>
                <w:sz w:val="24"/>
              </w:rPr>
            </w:pPr>
            <w:r>
              <w:rPr>
                <w:sz w:val="24"/>
              </w:rPr>
              <w:t>a</w:t>
            </w:r>
            <w:r>
              <w:rPr>
                <w:rFonts w:hint="eastAsia"/>
                <w:sz w:val="24"/>
              </w:rPr>
              <w:t>、粘土取土区开采扬尘</w:t>
            </w:r>
          </w:p>
          <w:p>
            <w:pPr>
              <w:adjustRightInd w:val="0"/>
              <w:spacing w:line="360" w:lineRule="auto"/>
              <w:ind w:firstLine="480" w:firstLineChars="200"/>
              <w:rPr>
                <w:rFonts w:hAnsi="宋体"/>
                <w:sz w:val="24"/>
              </w:rPr>
            </w:pPr>
            <w:r>
              <w:rPr>
                <w:rFonts w:hint="eastAsia"/>
                <w:sz w:val="24"/>
              </w:rPr>
              <w:t>粘土取土区在开采过程中会产生少量的扬尘，扬尘主要来源为粘土</w:t>
            </w:r>
            <w:r>
              <w:rPr>
                <w:rFonts w:hAnsi="宋体"/>
                <w:sz w:val="24"/>
              </w:rPr>
              <w:t>在</w:t>
            </w:r>
            <w:r>
              <w:rPr>
                <w:rFonts w:hint="eastAsia" w:hAnsi="宋体"/>
                <w:sz w:val="24"/>
              </w:rPr>
              <w:t>铲车</w:t>
            </w:r>
            <w:r>
              <w:rPr>
                <w:rFonts w:hAnsi="宋体"/>
                <w:sz w:val="24"/>
              </w:rPr>
              <w:t>装卸过程中由于落差引起的粉尘</w:t>
            </w:r>
            <w:r>
              <w:rPr>
                <w:rFonts w:hint="eastAsia" w:hAnsi="宋体"/>
                <w:sz w:val="24"/>
              </w:rPr>
              <w:t>，</w:t>
            </w:r>
            <w:r>
              <w:rPr>
                <w:rFonts w:hAnsi="宋体"/>
                <w:sz w:val="24"/>
              </w:rPr>
              <w:t>属于无组织排放</w:t>
            </w:r>
            <w:r>
              <w:rPr>
                <w:rFonts w:hint="eastAsia" w:hAnsi="宋体"/>
                <w:sz w:val="24"/>
              </w:rPr>
              <w:t>。</w:t>
            </w:r>
          </w:p>
          <w:p>
            <w:pPr>
              <w:spacing w:line="360" w:lineRule="auto"/>
              <w:ind w:firstLine="480" w:firstLineChars="200"/>
              <w:rPr>
                <w:sz w:val="24"/>
              </w:rPr>
            </w:pPr>
            <w:r>
              <w:rPr>
                <w:rFonts w:hint="eastAsia"/>
                <w:sz w:val="24"/>
              </w:rPr>
              <w:t>本项目粘土开采扬尘使用以下推荐公式（交通部水运研究所和武汉水运工程学院提出的经验公式）：</w:t>
            </w:r>
          </w:p>
          <w:p>
            <w:pPr>
              <w:spacing w:line="360" w:lineRule="auto"/>
              <w:ind w:firstLine="1200" w:firstLineChars="500"/>
              <w:rPr>
                <w:kern w:val="0"/>
                <w:sz w:val="24"/>
                <w:vertAlign w:val="superscript"/>
              </w:rPr>
            </w:pPr>
            <w:r>
              <w:rPr>
                <w:rFonts w:hint="eastAsia"/>
                <w:sz w:val="24"/>
              </w:rPr>
              <w:t>Q=1/t</w:t>
            </w:r>
            <w:r>
              <w:rPr>
                <w:kern w:val="0"/>
                <w:sz w:val="24"/>
              </w:rPr>
              <w:t>×</w:t>
            </w:r>
            <w:r>
              <w:rPr>
                <w:rFonts w:hint="eastAsia"/>
                <w:kern w:val="0"/>
                <w:sz w:val="24"/>
              </w:rPr>
              <w:t>0.003</w:t>
            </w:r>
            <w:r>
              <w:rPr>
                <w:kern w:val="0"/>
                <w:sz w:val="24"/>
              </w:rPr>
              <w:t>×</w:t>
            </w:r>
            <w:r>
              <w:rPr>
                <w:rFonts w:hint="eastAsia"/>
                <w:kern w:val="0"/>
                <w:sz w:val="24"/>
              </w:rPr>
              <w:t>u</w:t>
            </w:r>
            <w:r>
              <w:rPr>
                <w:rFonts w:hint="eastAsia"/>
                <w:kern w:val="0"/>
                <w:sz w:val="24"/>
                <w:vertAlign w:val="superscript"/>
              </w:rPr>
              <w:t>1.6</w:t>
            </w:r>
            <w:r>
              <w:rPr>
                <w:rFonts w:hint="eastAsia"/>
                <w:kern w:val="0"/>
                <w:sz w:val="24"/>
              </w:rPr>
              <w:t>H</w:t>
            </w:r>
            <w:r>
              <w:rPr>
                <w:rFonts w:hint="eastAsia"/>
                <w:kern w:val="0"/>
                <w:sz w:val="24"/>
                <w:vertAlign w:val="superscript"/>
              </w:rPr>
              <w:t>1.23</w:t>
            </w:r>
            <w:r>
              <w:rPr>
                <w:rFonts w:hint="eastAsia"/>
                <w:kern w:val="0"/>
                <w:sz w:val="24"/>
              </w:rPr>
              <w:t>e</w:t>
            </w:r>
            <w:r>
              <w:rPr>
                <w:rFonts w:hint="eastAsia"/>
                <w:kern w:val="0"/>
                <w:sz w:val="24"/>
                <w:vertAlign w:val="superscript"/>
              </w:rPr>
              <w:t>-0.28w</w:t>
            </w:r>
          </w:p>
          <w:p>
            <w:pPr>
              <w:spacing w:line="360" w:lineRule="auto"/>
              <w:ind w:firstLine="480" w:firstLineChars="200"/>
              <w:rPr>
                <w:bCs/>
                <w:sz w:val="24"/>
              </w:rPr>
            </w:pPr>
            <w:r>
              <w:rPr>
                <w:rFonts w:hint="eastAsia" w:hAnsi="宋体"/>
                <w:sz w:val="24"/>
              </w:rPr>
              <w:t>式中：Q</w:t>
            </w:r>
            <w:r>
              <w:rPr>
                <w:bCs/>
                <w:sz w:val="24"/>
              </w:rPr>
              <w:t>——</w:t>
            </w:r>
            <w:r>
              <w:rPr>
                <w:rFonts w:hint="eastAsia"/>
                <w:bCs/>
                <w:sz w:val="24"/>
              </w:rPr>
              <w:t>物料装车时机械落差起尘量，kg/s；</w:t>
            </w:r>
          </w:p>
          <w:p>
            <w:pPr>
              <w:spacing w:line="360" w:lineRule="auto"/>
              <w:ind w:firstLine="1200" w:firstLineChars="500"/>
              <w:rPr>
                <w:bCs/>
                <w:sz w:val="24"/>
              </w:rPr>
            </w:pPr>
            <w:r>
              <w:rPr>
                <w:rFonts w:hint="eastAsia"/>
                <w:bCs/>
                <w:sz w:val="24"/>
              </w:rPr>
              <w:t>u</w:t>
            </w:r>
            <w:r>
              <w:rPr>
                <w:bCs/>
                <w:sz w:val="24"/>
              </w:rPr>
              <w:t>——</w:t>
            </w:r>
            <w:r>
              <w:rPr>
                <w:rFonts w:hint="eastAsia"/>
                <w:bCs/>
                <w:sz w:val="24"/>
              </w:rPr>
              <w:t>平均风速，m/s；u=1.5m/s；</w:t>
            </w:r>
          </w:p>
          <w:p>
            <w:pPr>
              <w:spacing w:line="360" w:lineRule="auto"/>
              <w:ind w:firstLine="1200" w:firstLineChars="500"/>
              <w:rPr>
                <w:bCs/>
                <w:sz w:val="24"/>
              </w:rPr>
            </w:pPr>
            <w:r>
              <w:rPr>
                <w:rFonts w:hint="eastAsia"/>
                <w:bCs/>
                <w:sz w:val="24"/>
              </w:rPr>
              <w:t>H</w:t>
            </w:r>
            <w:r>
              <w:rPr>
                <w:bCs/>
                <w:sz w:val="24"/>
              </w:rPr>
              <w:t>——</w:t>
            </w:r>
            <w:r>
              <w:rPr>
                <w:rFonts w:hint="eastAsia"/>
                <w:bCs/>
                <w:sz w:val="24"/>
              </w:rPr>
              <w:t>物料落差，m；H=1.6m；</w:t>
            </w:r>
          </w:p>
          <w:p>
            <w:pPr>
              <w:spacing w:line="360" w:lineRule="auto"/>
              <w:ind w:firstLine="1200" w:firstLineChars="500"/>
              <w:rPr>
                <w:bCs/>
                <w:sz w:val="24"/>
              </w:rPr>
            </w:pPr>
            <w:r>
              <w:rPr>
                <w:rFonts w:hint="eastAsia"/>
                <w:bCs/>
                <w:sz w:val="24"/>
              </w:rPr>
              <w:t>w</w:t>
            </w:r>
            <w:r>
              <w:rPr>
                <w:bCs/>
                <w:sz w:val="24"/>
              </w:rPr>
              <w:t>——</w:t>
            </w:r>
            <w:r>
              <w:rPr>
                <w:rFonts w:hint="eastAsia"/>
                <w:bCs/>
                <w:sz w:val="24"/>
              </w:rPr>
              <w:t>物料含水量，%；w=15%；</w:t>
            </w:r>
          </w:p>
          <w:p>
            <w:pPr>
              <w:spacing w:line="360" w:lineRule="auto"/>
              <w:ind w:firstLine="1200" w:firstLineChars="500"/>
              <w:rPr>
                <w:bCs/>
                <w:sz w:val="24"/>
              </w:rPr>
            </w:pPr>
            <w:r>
              <w:rPr>
                <w:rFonts w:hint="eastAsia"/>
                <w:bCs/>
                <w:sz w:val="24"/>
              </w:rPr>
              <w:t>t</w:t>
            </w:r>
            <w:r>
              <w:rPr>
                <w:bCs/>
                <w:sz w:val="24"/>
              </w:rPr>
              <w:t>——</w:t>
            </w:r>
            <w:r>
              <w:rPr>
                <w:rFonts w:hint="eastAsia"/>
                <w:bCs/>
                <w:sz w:val="24"/>
              </w:rPr>
              <w:t>物料装车时间，s/t；t=120s/t；</w:t>
            </w:r>
          </w:p>
          <w:p>
            <w:pPr>
              <w:spacing w:line="360" w:lineRule="auto"/>
              <w:ind w:firstLine="480" w:firstLineChars="200"/>
              <w:rPr>
                <w:bCs/>
                <w:sz w:val="24"/>
              </w:rPr>
            </w:pPr>
            <w:r>
              <w:rPr>
                <w:rFonts w:hint="eastAsia"/>
                <w:bCs/>
                <w:sz w:val="24"/>
              </w:rPr>
              <w:t>可算出，Q=0.00008kg/s=0.47</w:t>
            </w:r>
            <w:r>
              <w:rPr>
                <w:sz w:val="24"/>
              </w:rPr>
              <w:t>t/a</w:t>
            </w:r>
            <w:r>
              <w:rPr>
                <w:rFonts w:hint="eastAsia"/>
                <w:sz w:val="24"/>
              </w:rPr>
              <w:t>。</w:t>
            </w:r>
            <w:r>
              <w:rPr>
                <w:rFonts w:hint="eastAsia"/>
                <w:bCs/>
                <w:sz w:val="24"/>
              </w:rPr>
              <w:t>因此，</w:t>
            </w:r>
            <w:r>
              <w:rPr>
                <w:rFonts w:hint="eastAsia" w:hAnsi="宋体"/>
                <w:sz w:val="24"/>
              </w:rPr>
              <w:t>粘土</w:t>
            </w:r>
            <w:r>
              <w:rPr>
                <w:rFonts w:hAnsi="宋体"/>
                <w:sz w:val="24"/>
              </w:rPr>
              <w:t>装卸点下风向起尘量</w:t>
            </w:r>
            <w:r>
              <w:rPr>
                <w:rFonts w:hint="eastAsia" w:hAnsi="宋体"/>
                <w:sz w:val="24"/>
              </w:rPr>
              <w:t>为</w:t>
            </w:r>
            <w:r>
              <w:rPr>
                <w:rFonts w:hint="eastAsia"/>
                <w:sz w:val="24"/>
              </w:rPr>
              <w:t>0.47</w:t>
            </w:r>
            <w:r>
              <w:rPr>
                <w:sz w:val="24"/>
              </w:rPr>
              <w:t>t/a</w:t>
            </w:r>
            <w:r>
              <w:rPr>
                <w:rFonts w:hAnsi="宋体"/>
                <w:sz w:val="24"/>
              </w:rPr>
              <w:t>，采取洒水降尘措施，类比同类项目降尘效率可以达到</w:t>
            </w:r>
            <w:r>
              <w:rPr>
                <w:rFonts w:hint="eastAsia"/>
                <w:sz w:val="24"/>
              </w:rPr>
              <w:t>6</w:t>
            </w:r>
            <w:r>
              <w:rPr>
                <w:sz w:val="24"/>
              </w:rPr>
              <w:t>0%</w:t>
            </w:r>
            <w:r>
              <w:rPr>
                <w:rFonts w:hAnsi="宋体"/>
                <w:sz w:val="24"/>
              </w:rPr>
              <w:t>，则排放量为</w:t>
            </w:r>
            <w:r>
              <w:rPr>
                <w:rFonts w:hint="eastAsia"/>
                <w:sz w:val="24"/>
              </w:rPr>
              <w:t>0.19</w:t>
            </w:r>
            <w:r>
              <w:rPr>
                <w:sz w:val="24"/>
              </w:rPr>
              <w:t>t/a</w:t>
            </w:r>
            <w:r>
              <w:rPr>
                <w:rFonts w:hAnsi="宋体"/>
                <w:sz w:val="24"/>
              </w:rPr>
              <w:t>。</w:t>
            </w:r>
          </w:p>
          <w:p>
            <w:pPr>
              <w:adjustRightInd w:val="0"/>
              <w:spacing w:line="360" w:lineRule="auto"/>
              <w:ind w:firstLine="480" w:firstLineChars="200"/>
              <w:rPr>
                <w:sz w:val="24"/>
              </w:rPr>
            </w:pPr>
            <w:r>
              <w:rPr>
                <w:rFonts w:hint="eastAsia"/>
                <w:sz w:val="24"/>
              </w:rPr>
              <w:t>b、物料装卸作业扬尘</w:t>
            </w:r>
          </w:p>
          <w:p>
            <w:pPr>
              <w:adjustRightInd w:val="0"/>
              <w:snapToGrid w:val="0"/>
              <w:spacing w:line="360" w:lineRule="auto"/>
              <w:ind w:firstLine="480" w:firstLineChars="200"/>
              <w:rPr>
                <w:sz w:val="24"/>
              </w:rPr>
            </w:pPr>
            <w:r>
              <w:rPr>
                <w:rFonts w:hint="eastAsia"/>
                <w:sz w:val="24"/>
              </w:rPr>
              <w:t>本项目建设封闭原料库，原料车间门设置软门帘，且原料库地面硬化，因此项目运营后原料</w:t>
            </w:r>
            <w:r>
              <w:rPr>
                <w:sz w:val="24"/>
              </w:rPr>
              <w:t>由</w:t>
            </w:r>
            <w:r>
              <w:rPr>
                <w:rFonts w:hint="eastAsia"/>
                <w:sz w:val="24"/>
              </w:rPr>
              <w:t>重型运载车</w:t>
            </w:r>
            <w:r>
              <w:rPr>
                <w:sz w:val="24"/>
              </w:rPr>
              <w:t>运输至厂区</w:t>
            </w:r>
            <w:r>
              <w:rPr>
                <w:rFonts w:hint="eastAsia"/>
                <w:sz w:val="24"/>
              </w:rPr>
              <w:t>原料库内卸载</w:t>
            </w:r>
            <w:r>
              <w:rPr>
                <w:sz w:val="24"/>
              </w:rPr>
              <w:t>，卸载过程产生粉尘</w:t>
            </w:r>
            <w:r>
              <w:rPr>
                <w:rFonts w:hint="eastAsia"/>
                <w:sz w:val="24"/>
              </w:rPr>
              <w:t>较少。</w:t>
            </w:r>
          </w:p>
          <w:p>
            <w:pPr>
              <w:spacing w:line="360" w:lineRule="auto"/>
              <w:ind w:firstLine="480" w:firstLineChars="200"/>
              <w:rPr>
                <w:rFonts w:hAnsi="宋体"/>
                <w:sz w:val="24"/>
              </w:rPr>
            </w:pPr>
            <w:r>
              <w:rPr>
                <w:rFonts w:hint="eastAsia" w:hAnsi="宋体"/>
                <w:sz w:val="24"/>
              </w:rPr>
              <w:t>本项目采用以下经验公式，计算自卸汽车卸料起尘量。</w:t>
            </w:r>
          </w:p>
          <w:p>
            <w:pPr>
              <w:spacing w:line="360" w:lineRule="auto"/>
              <w:ind w:firstLine="1920" w:firstLineChars="800"/>
              <w:rPr>
                <w:rFonts w:hAnsi="宋体"/>
                <w:sz w:val="24"/>
              </w:rPr>
            </w:pPr>
            <w:r>
              <w:rPr>
                <w:rFonts w:hint="eastAsia" w:hAnsi="宋体"/>
                <w:sz w:val="24"/>
              </w:rPr>
              <w:t>Q=e</w:t>
            </w:r>
            <w:r>
              <w:rPr>
                <w:rFonts w:hint="eastAsia" w:hAnsi="宋体"/>
                <w:sz w:val="24"/>
                <w:vertAlign w:val="superscript"/>
              </w:rPr>
              <w:t>0.61u</w:t>
            </w:r>
            <w:r>
              <w:rPr>
                <w:rFonts w:hint="eastAsia" w:hAnsi="宋体"/>
                <w:sz w:val="24"/>
              </w:rPr>
              <w:t>M/13.5</w:t>
            </w:r>
          </w:p>
          <w:p>
            <w:pPr>
              <w:spacing w:line="360" w:lineRule="auto"/>
              <w:ind w:firstLine="480" w:firstLineChars="200"/>
              <w:rPr>
                <w:bCs/>
                <w:sz w:val="24"/>
              </w:rPr>
            </w:pPr>
            <w:r>
              <w:rPr>
                <w:rFonts w:hint="eastAsia" w:hAnsi="宋体"/>
                <w:sz w:val="24"/>
              </w:rPr>
              <w:t>式中：Q</w:t>
            </w:r>
            <w:r>
              <w:rPr>
                <w:bCs/>
                <w:sz w:val="24"/>
              </w:rPr>
              <w:t>——</w:t>
            </w:r>
            <w:r>
              <w:rPr>
                <w:rFonts w:hint="eastAsia"/>
                <w:bCs/>
                <w:sz w:val="24"/>
              </w:rPr>
              <w:t>自卸汽车卸料起尘量，g/次；</w:t>
            </w:r>
          </w:p>
          <w:p>
            <w:pPr>
              <w:spacing w:line="360" w:lineRule="auto"/>
              <w:ind w:firstLine="1320" w:firstLineChars="550"/>
              <w:rPr>
                <w:rFonts w:hAnsi="宋体"/>
                <w:sz w:val="24"/>
              </w:rPr>
            </w:pPr>
            <w:r>
              <w:rPr>
                <w:rFonts w:hint="eastAsia"/>
                <w:bCs/>
                <w:sz w:val="24"/>
              </w:rPr>
              <w:t>u</w:t>
            </w:r>
            <w:r>
              <w:rPr>
                <w:bCs/>
                <w:sz w:val="24"/>
              </w:rPr>
              <w:t>——</w:t>
            </w:r>
            <w:r>
              <w:rPr>
                <w:rFonts w:hint="eastAsia"/>
                <w:bCs/>
                <w:sz w:val="24"/>
              </w:rPr>
              <w:t>平均风速，m/s，u=</w:t>
            </w:r>
            <w:r>
              <w:rPr>
                <w:rFonts w:hint="eastAsia"/>
                <w:sz w:val="24"/>
              </w:rPr>
              <w:t>1.5m/s</w:t>
            </w:r>
            <w:r>
              <w:rPr>
                <w:rFonts w:hint="eastAsia"/>
                <w:bCs/>
                <w:sz w:val="24"/>
              </w:rPr>
              <w:t>；</w:t>
            </w:r>
          </w:p>
          <w:p>
            <w:pPr>
              <w:spacing w:line="360" w:lineRule="auto"/>
              <w:ind w:firstLine="1320" w:firstLineChars="550"/>
              <w:rPr>
                <w:bCs/>
                <w:sz w:val="24"/>
              </w:rPr>
            </w:pPr>
            <w:r>
              <w:rPr>
                <w:rFonts w:hint="eastAsia"/>
                <w:bCs/>
                <w:sz w:val="24"/>
              </w:rPr>
              <w:t>M</w:t>
            </w:r>
            <w:r>
              <w:rPr>
                <w:bCs/>
                <w:sz w:val="24"/>
              </w:rPr>
              <w:t>——</w:t>
            </w:r>
            <w:r>
              <w:rPr>
                <w:rFonts w:hint="eastAsia"/>
                <w:bCs/>
                <w:sz w:val="24"/>
              </w:rPr>
              <w:t>汽车卸料量，t，运输车辆为25t/次；</w:t>
            </w:r>
          </w:p>
          <w:p>
            <w:pPr>
              <w:spacing w:line="360" w:lineRule="auto"/>
              <w:ind w:firstLine="480" w:firstLineChars="200"/>
              <w:rPr>
                <w:kern w:val="0"/>
                <w:sz w:val="24"/>
              </w:rPr>
            </w:pPr>
            <w:r>
              <w:rPr>
                <w:bCs/>
                <w:sz w:val="24"/>
              </w:rPr>
              <w:t>Q</w:t>
            </w:r>
            <w:r>
              <w:rPr>
                <w:bCs/>
                <w:sz w:val="24"/>
                <w:vertAlign w:val="subscript"/>
              </w:rPr>
              <w:t>粉尘</w:t>
            </w:r>
            <w:r>
              <w:rPr>
                <w:bCs/>
                <w:sz w:val="24"/>
              </w:rPr>
              <w:t>=e</w:t>
            </w:r>
            <w:r>
              <w:rPr>
                <w:bCs/>
                <w:sz w:val="24"/>
                <w:vertAlign w:val="superscript"/>
              </w:rPr>
              <w:t>0.61</w:t>
            </w:r>
            <w:r>
              <w:rPr>
                <w:kern w:val="0"/>
                <w:sz w:val="24"/>
                <w:vertAlign w:val="superscript"/>
              </w:rPr>
              <w:t>×2</w:t>
            </w:r>
            <w:r>
              <w:rPr>
                <w:kern w:val="0"/>
                <w:sz w:val="24"/>
              </w:rPr>
              <w:t>×</w:t>
            </w:r>
            <w:r>
              <w:rPr>
                <w:rFonts w:hint="eastAsia"/>
                <w:kern w:val="0"/>
                <w:sz w:val="24"/>
              </w:rPr>
              <w:t>25</w:t>
            </w:r>
            <w:r>
              <w:rPr>
                <w:kern w:val="0"/>
                <w:sz w:val="24"/>
              </w:rPr>
              <w:t>/13.5=</w:t>
            </w:r>
            <w:r>
              <w:rPr>
                <w:rFonts w:hint="eastAsia"/>
                <w:kern w:val="0"/>
                <w:sz w:val="24"/>
              </w:rPr>
              <w:t>4.6</w:t>
            </w:r>
            <w:r>
              <w:rPr>
                <w:kern w:val="0"/>
                <w:sz w:val="24"/>
              </w:rPr>
              <w:t>g/次。</w:t>
            </w:r>
          </w:p>
          <w:p>
            <w:pPr>
              <w:spacing w:line="360" w:lineRule="auto"/>
              <w:ind w:firstLine="480" w:firstLineChars="200"/>
              <w:rPr>
                <w:kern w:val="0"/>
                <w:sz w:val="24"/>
              </w:rPr>
            </w:pPr>
            <w:r>
              <w:rPr>
                <w:kern w:val="0"/>
                <w:sz w:val="24"/>
              </w:rPr>
              <w:t>本项目原料运输量为</w:t>
            </w:r>
            <w:r>
              <w:rPr>
                <w:rFonts w:hint="eastAsia"/>
                <w:kern w:val="0"/>
                <w:sz w:val="24"/>
              </w:rPr>
              <w:t>16.9</w:t>
            </w:r>
            <w:r>
              <w:rPr>
                <w:sz w:val="24"/>
                <w:szCs w:val="24"/>
              </w:rPr>
              <w:t>×10</w:t>
            </w:r>
            <w:r>
              <w:rPr>
                <w:sz w:val="24"/>
                <w:szCs w:val="24"/>
                <w:vertAlign w:val="superscript"/>
              </w:rPr>
              <w:t>4</w:t>
            </w:r>
            <w:r>
              <w:rPr>
                <w:kern w:val="0"/>
                <w:sz w:val="24"/>
              </w:rPr>
              <w:t>t/a。用25t汽车运输，需运输</w:t>
            </w:r>
            <w:r>
              <w:rPr>
                <w:rFonts w:hint="eastAsia"/>
                <w:kern w:val="0"/>
                <w:sz w:val="24"/>
              </w:rPr>
              <w:t>6760</w:t>
            </w:r>
            <w:r>
              <w:rPr>
                <w:kern w:val="0"/>
                <w:sz w:val="24"/>
              </w:rPr>
              <w:t>次。则卸料产尘量为</w:t>
            </w:r>
            <w:r>
              <w:rPr>
                <w:rFonts w:hint="eastAsia"/>
                <w:kern w:val="0"/>
                <w:sz w:val="24"/>
              </w:rPr>
              <w:t>31.1kg</w:t>
            </w:r>
            <w:r>
              <w:rPr>
                <w:kern w:val="0"/>
                <w:sz w:val="24"/>
              </w:rPr>
              <w:t>/a。</w:t>
            </w:r>
          </w:p>
          <w:p>
            <w:pPr>
              <w:spacing w:line="360" w:lineRule="auto"/>
              <w:ind w:firstLine="480" w:firstLineChars="200"/>
              <w:rPr>
                <w:bCs/>
                <w:sz w:val="24"/>
                <w:szCs w:val="24"/>
              </w:rPr>
            </w:pPr>
            <w:r>
              <w:rPr>
                <w:bCs/>
                <w:sz w:val="24"/>
                <w:szCs w:val="24"/>
              </w:rPr>
              <w:t>c</w:t>
            </w:r>
            <w:r>
              <w:rPr>
                <w:rFonts w:hAnsi="宋体"/>
                <w:bCs/>
                <w:sz w:val="24"/>
                <w:szCs w:val="24"/>
              </w:rPr>
              <w:t>、运输过程产生的扬尘</w:t>
            </w:r>
          </w:p>
          <w:p>
            <w:pPr>
              <w:spacing w:line="360" w:lineRule="auto"/>
              <w:ind w:firstLine="480" w:firstLineChars="200"/>
              <w:rPr>
                <w:sz w:val="24"/>
                <w:szCs w:val="24"/>
              </w:rPr>
            </w:pPr>
            <w:r>
              <w:rPr>
                <w:sz w:val="24"/>
                <w:szCs w:val="24"/>
              </w:rPr>
              <w:t>本项目营运期运输车辆出入频繁</w:t>
            </w:r>
            <w:r>
              <w:rPr>
                <w:rFonts w:hint="eastAsia"/>
                <w:sz w:val="24"/>
                <w:szCs w:val="24"/>
              </w:rPr>
              <w:t>，</w:t>
            </w:r>
            <w:r>
              <w:rPr>
                <w:sz w:val="24"/>
                <w:szCs w:val="24"/>
              </w:rPr>
              <w:t>汽车运输时由于碾压卷带会产生扬尘，</w:t>
            </w:r>
            <w:r>
              <w:rPr>
                <w:rFonts w:hint="eastAsia"/>
                <w:sz w:val="24"/>
                <w:szCs w:val="24"/>
              </w:rPr>
              <w:t>属无组织排放。</w:t>
            </w:r>
            <w:r>
              <w:rPr>
                <w:sz w:val="24"/>
              </w:rPr>
              <w:t>本项目原料及成品采用汽车运输，</w:t>
            </w:r>
            <w:r>
              <w:rPr>
                <w:rFonts w:hint="eastAsia"/>
                <w:sz w:val="24"/>
                <w:szCs w:val="24"/>
              </w:rPr>
              <w:t>汽车的扬尘量与汽车的行驶速度V、汽车的重量W以及道路表面的粉尘量P有关。本项目可以采用汽车道路扬尘计算模式对本项目运输过程车辆产生的扬尘量进行计算。</w:t>
            </w:r>
          </w:p>
          <w:p>
            <w:pPr>
              <w:spacing w:line="360" w:lineRule="auto"/>
              <w:ind w:firstLine="480" w:firstLineChars="200"/>
              <w:rPr>
                <w:sz w:val="24"/>
                <w:szCs w:val="24"/>
              </w:rPr>
            </w:pPr>
            <w:r>
              <w:rPr>
                <w:rFonts w:hint="eastAsia"/>
                <w:sz w:val="24"/>
                <w:szCs w:val="24"/>
              </w:rPr>
              <w:drawing>
                <wp:inline distT="0" distB="0" distL="0" distR="0">
                  <wp:extent cx="3343275" cy="8286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343275" cy="828675"/>
                          </a:xfrm>
                          <a:prstGeom prst="rect">
                            <a:avLst/>
                          </a:prstGeom>
                          <a:noFill/>
                          <a:ln>
                            <a:noFill/>
                          </a:ln>
                        </pic:spPr>
                      </pic:pic>
                    </a:graphicData>
                  </a:graphic>
                </wp:inline>
              </w:drawing>
            </w:r>
          </w:p>
          <w:p>
            <w:pPr>
              <w:spacing w:line="360" w:lineRule="auto"/>
              <w:ind w:firstLine="480" w:firstLineChars="200"/>
              <w:rPr>
                <w:rFonts w:hAnsi="宋体"/>
                <w:sz w:val="24"/>
              </w:rPr>
            </w:pPr>
            <w:r>
              <w:rPr>
                <w:rFonts w:hint="eastAsia" w:hAnsi="宋体"/>
                <w:sz w:val="24"/>
              </w:rPr>
              <w:t>式中：Q</w:t>
            </w:r>
            <w:r>
              <w:rPr>
                <w:rFonts w:hint="eastAsia" w:hAnsi="宋体"/>
                <w:sz w:val="24"/>
                <w:vertAlign w:val="subscript"/>
              </w:rPr>
              <w:t>i</w:t>
            </w:r>
            <w:r>
              <w:rPr>
                <w:rFonts w:hint="eastAsia" w:hAnsi="宋体"/>
                <w:sz w:val="24"/>
              </w:rPr>
              <w:t>—每辆汽车行驶扬尘量</w:t>
            </w:r>
            <w:r>
              <w:rPr>
                <w:rFonts w:hAnsi="宋体"/>
                <w:sz w:val="24"/>
              </w:rPr>
              <w:t>（kg/</w:t>
            </w:r>
            <w:r>
              <w:rPr>
                <w:rFonts w:hint="eastAsia" w:hAnsi="宋体"/>
                <w:sz w:val="24"/>
              </w:rPr>
              <w:t>（</w:t>
            </w:r>
            <w:r>
              <w:rPr>
                <w:rFonts w:hAnsi="宋体"/>
                <w:sz w:val="24"/>
              </w:rPr>
              <w:t>km</w:t>
            </w:r>
            <w:r>
              <w:rPr>
                <w:sz w:val="24"/>
                <w:szCs w:val="24"/>
              </w:rPr>
              <w:t>·</w:t>
            </w:r>
            <w:r>
              <w:rPr>
                <w:rFonts w:hAnsi="宋体"/>
                <w:sz w:val="24"/>
              </w:rPr>
              <w:t>辆</w:t>
            </w:r>
            <w:r>
              <w:rPr>
                <w:rFonts w:hint="eastAsia" w:hAnsi="宋体"/>
                <w:sz w:val="24"/>
              </w:rPr>
              <w:t>）</w:t>
            </w:r>
            <w:r>
              <w:rPr>
                <w:rFonts w:hAnsi="宋体"/>
                <w:sz w:val="24"/>
              </w:rPr>
              <w:t>）</w:t>
            </w:r>
            <w:r>
              <w:rPr>
                <w:rFonts w:hint="eastAsia" w:hAnsi="宋体"/>
                <w:sz w:val="24"/>
              </w:rPr>
              <w:t>；</w:t>
            </w:r>
          </w:p>
          <w:p>
            <w:pPr>
              <w:spacing w:line="360" w:lineRule="auto"/>
              <w:ind w:firstLine="1200" w:firstLineChars="500"/>
              <w:rPr>
                <w:rFonts w:hAnsi="宋体"/>
                <w:sz w:val="24"/>
              </w:rPr>
            </w:pPr>
            <w:r>
              <w:rPr>
                <w:rFonts w:hint="eastAsia" w:hAnsi="宋体"/>
                <w:sz w:val="24"/>
              </w:rPr>
              <w:t>Q—汽车运行总扬尘量；</w:t>
            </w:r>
          </w:p>
          <w:p>
            <w:pPr>
              <w:spacing w:line="360" w:lineRule="auto"/>
              <w:ind w:firstLine="1200" w:firstLineChars="500"/>
              <w:rPr>
                <w:rFonts w:hAnsi="宋体"/>
                <w:sz w:val="24"/>
              </w:rPr>
            </w:pPr>
            <w:r>
              <w:rPr>
                <w:rFonts w:hint="eastAsia" w:hAnsi="宋体"/>
                <w:sz w:val="24"/>
              </w:rPr>
              <w:t>V—汽车速度（km/h）；</w:t>
            </w:r>
          </w:p>
          <w:p>
            <w:pPr>
              <w:spacing w:line="360" w:lineRule="auto"/>
              <w:ind w:firstLine="1200" w:firstLineChars="500"/>
              <w:rPr>
                <w:rFonts w:hAnsi="宋体"/>
                <w:sz w:val="24"/>
              </w:rPr>
            </w:pPr>
            <w:r>
              <w:rPr>
                <w:rFonts w:hint="eastAsia" w:hAnsi="宋体"/>
                <w:sz w:val="24"/>
              </w:rPr>
              <w:t>W—汽车重量（t）；</w:t>
            </w:r>
          </w:p>
          <w:p>
            <w:pPr>
              <w:spacing w:line="360" w:lineRule="auto"/>
              <w:ind w:firstLine="1200" w:firstLineChars="500"/>
              <w:rPr>
                <w:rFonts w:hAnsi="宋体"/>
                <w:sz w:val="24"/>
              </w:rPr>
            </w:pPr>
            <w:r>
              <w:rPr>
                <w:rFonts w:hint="eastAsia" w:hAnsi="宋体"/>
                <w:sz w:val="24"/>
              </w:rPr>
              <w:t>P—道路表面粉尘量（kg/m</w:t>
            </w:r>
            <w:r>
              <w:rPr>
                <w:rFonts w:hint="eastAsia" w:hAnsi="宋体"/>
                <w:sz w:val="24"/>
                <w:vertAlign w:val="superscript"/>
              </w:rPr>
              <w:t>2</w:t>
            </w:r>
            <w:r>
              <w:rPr>
                <w:rFonts w:hint="eastAsia" w:hAnsi="宋体"/>
                <w:sz w:val="24"/>
              </w:rPr>
              <w:t>）。</w:t>
            </w:r>
          </w:p>
          <w:p>
            <w:pPr>
              <w:spacing w:line="360" w:lineRule="auto"/>
              <w:ind w:firstLine="480" w:firstLineChars="200"/>
              <w:rPr>
                <w:sz w:val="24"/>
              </w:rPr>
            </w:pPr>
            <w:r>
              <w:rPr>
                <w:sz w:val="24"/>
              </w:rPr>
              <w:t>本项目车辆运行时的平均车速按20km/h计，车辆为9辆，车辆的重量按2t计，道路表面粉尘量为0.05kg/m</w:t>
            </w:r>
            <w:r>
              <w:rPr>
                <w:sz w:val="24"/>
                <w:vertAlign w:val="superscript"/>
              </w:rPr>
              <w:t>2</w:t>
            </w:r>
            <w:r>
              <w:rPr>
                <w:sz w:val="24"/>
              </w:rPr>
              <w:t>，本项目每辆车每年路程约5000km，每年运行时间为300d，1天运行8h，则本项目车辆运行时产生的扬尘量为</w:t>
            </w:r>
            <w:r>
              <w:rPr>
                <w:rFonts w:hint="eastAsia"/>
                <w:sz w:val="24"/>
              </w:rPr>
              <w:t>1.48</w:t>
            </w:r>
            <w:r>
              <w:rPr>
                <w:sz w:val="24"/>
              </w:rPr>
              <w:t>t/a。</w:t>
            </w:r>
          </w:p>
          <w:p>
            <w:pPr>
              <w:spacing w:line="360" w:lineRule="auto"/>
              <w:ind w:firstLine="480" w:firstLineChars="200"/>
              <w:rPr>
                <w:color w:val="FF0000"/>
                <w:sz w:val="24"/>
              </w:rPr>
            </w:pPr>
            <w:r>
              <w:rPr>
                <w:rFonts w:hint="eastAsia"/>
                <w:color w:val="FF0000"/>
                <w:sz w:val="24"/>
              </w:rPr>
              <w:t>（4）干燥废气</w:t>
            </w:r>
          </w:p>
          <w:p>
            <w:pPr>
              <w:spacing w:line="360" w:lineRule="auto"/>
              <w:ind w:firstLine="480" w:firstLineChars="200"/>
              <w:rPr>
                <w:color w:val="FF0000"/>
                <w:sz w:val="24"/>
              </w:rPr>
            </w:pPr>
            <w:r>
              <w:rPr>
                <w:rFonts w:hint="eastAsia"/>
                <w:color w:val="FF0000"/>
                <w:sz w:val="24"/>
              </w:rPr>
              <w:t>烧制后的砖冷却过程中回收的热气体被全部送入隧道干燥室，作为干燥室的热源。砖坯湿度较大，干燥过程中无粉尘产生，干燥过程中仅砖坯中的水分进入干燥气中，干燥废气为洁净空气，通过15m高排气筒（3#、4#、5#）排放。</w:t>
            </w:r>
          </w:p>
          <w:p>
            <w:pPr>
              <w:spacing w:line="360" w:lineRule="auto"/>
              <w:ind w:firstLine="480" w:firstLineChars="200"/>
              <w:rPr>
                <w:sz w:val="24"/>
              </w:rPr>
            </w:pPr>
            <w:r>
              <w:rPr>
                <w:rFonts w:hint="eastAsia"/>
                <w:sz w:val="24"/>
              </w:rPr>
              <w:t>（5）食堂油烟废气</w:t>
            </w:r>
          </w:p>
          <w:p>
            <w:pPr>
              <w:spacing w:line="360" w:lineRule="auto"/>
              <w:ind w:firstLine="480" w:firstLineChars="200"/>
              <w:rPr>
                <w:sz w:val="24"/>
              </w:rPr>
            </w:pPr>
            <w:r>
              <w:rPr>
                <w:sz w:val="24"/>
              </w:rPr>
              <w:t>项目</w:t>
            </w:r>
            <w:r>
              <w:rPr>
                <w:rFonts w:hint="eastAsia"/>
                <w:sz w:val="24"/>
              </w:rPr>
              <w:t>设置的餐厅</w:t>
            </w:r>
            <w:r>
              <w:rPr>
                <w:sz w:val="24"/>
              </w:rPr>
              <w:t>运行期间会产生餐饮油烟，灶头为</w:t>
            </w:r>
            <w:r>
              <w:rPr>
                <w:rFonts w:hint="eastAsia"/>
                <w:sz w:val="24"/>
              </w:rPr>
              <w:t>2</w:t>
            </w:r>
            <w:r>
              <w:rPr>
                <w:sz w:val="24"/>
              </w:rPr>
              <w:t>个，规模属于</w:t>
            </w:r>
            <w:r>
              <w:rPr>
                <w:rFonts w:hint="eastAsia"/>
                <w:sz w:val="24"/>
              </w:rPr>
              <w:t>小</w:t>
            </w:r>
            <w:r>
              <w:rPr>
                <w:sz w:val="24"/>
              </w:rPr>
              <w:t>型，</w:t>
            </w:r>
            <w:r>
              <w:rPr>
                <w:rFonts w:hint="eastAsia"/>
                <w:sz w:val="24"/>
              </w:rPr>
              <w:t>每日</w:t>
            </w:r>
            <w:r>
              <w:rPr>
                <w:sz w:val="24"/>
              </w:rPr>
              <w:t>运行时间在</w:t>
            </w:r>
            <w:r>
              <w:rPr>
                <w:rFonts w:hint="eastAsia"/>
                <w:sz w:val="24"/>
              </w:rPr>
              <w:t>2</w:t>
            </w:r>
            <w:r>
              <w:rPr>
                <w:sz w:val="24"/>
              </w:rPr>
              <w:t>小时左右。</w:t>
            </w:r>
            <w:r>
              <w:rPr>
                <w:rFonts w:hint="eastAsia"/>
                <w:sz w:val="24"/>
              </w:rPr>
              <w:t>项目消耗的食用油量约为500kg/a。</w:t>
            </w:r>
            <w:r>
              <w:rPr>
                <w:sz w:val="24"/>
              </w:rPr>
              <w:t>类比同类型同等规模的项目，一般油烟挥发量占总耗油量的2</w:t>
            </w:r>
            <w:r>
              <w:rPr>
                <w:rFonts w:hint="eastAsia"/>
                <w:sz w:val="24"/>
              </w:rPr>
              <w:t>~</w:t>
            </w:r>
            <w:r>
              <w:rPr>
                <w:sz w:val="24"/>
              </w:rPr>
              <w:t>4%，平均为2.83%，则油烟产生量为</w:t>
            </w:r>
            <w:r>
              <w:rPr>
                <w:rFonts w:hint="eastAsia"/>
                <w:sz w:val="24"/>
              </w:rPr>
              <w:t>14.2</w:t>
            </w:r>
            <w:r>
              <w:rPr>
                <w:sz w:val="24"/>
              </w:rPr>
              <w:t>kg/a，油烟产生浓度为4.</w:t>
            </w:r>
            <w:r>
              <w:rPr>
                <w:rFonts w:hint="eastAsia"/>
                <w:sz w:val="24"/>
              </w:rPr>
              <w:t>5</w:t>
            </w:r>
            <w:r>
              <w:rPr>
                <w:sz w:val="24"/>
              </w:rPr>
              <w:t>mg/m</w:t>
            </w:r>
            <w:r>
              <w:rPr>
                <w:sz w:val="24"/>
                <w:vertAlign w:val="superscript"/>
              </w:rPr>
              <w:t>3</w:t>
            </w:r>
            <w:r>
              <w:rPr>
                <w:sz w:val="24"/>
              </w:rPr>
              <w:t>。</w:t>
            </w:r>
          </w:p>
          <w:p>
            <w:pPr>
              <w:spacing w:line="360" w:lineRule="auto"/>
              <w:ind w:firstLine="480" w:firstLineChars="200"/>
              <w:rPr>
                <w:sz w:val="24"/>
              </w:rPr>
            </w:pPr>
            <w:r>
              <w:rPr>
                <w:rFonts w:hint="eastAsia"/>
                <w:sz w:val="24"/>
              </w:rPr>
              <w:t>综上，本项目运行期废气污染物产生、排放情况见表31。</w:t>
            </w:r>
          </w:p>
          <w:p>
            <w:pPr>
              <w:adjustRightInd w:val="0"/>
              <w:snapToGrid w:val="0"/>
              <w:spacing w:line="320" w:lineRule="exact"/>
              <w:ind w:right="53" w:rightChars="25"/>
              <w:jc w:val="center"/>
              <w:rPr>
                <w:b/>
              </w:rPr>
            </w:pPr>
            <w:r>
              <w:rPr>
                <w:rFonts w:hint="eastAsia"/>
                <w:b/>
              </w:rPr>
              <w:t>表31  废气污染物产生、排放情况一览表</w:t>
            </w:r>
          </w:p>
          <w:tbl>
            <w:tblPr>
              <w:tblStyle w:val="24"/>
              <w:tblW w:w="892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9"/>
              <w:gridCol w:w="740"/>
              <w:gridCol w:w="1134"/>
              <w:gridCol w:w="993"/>
              <w:gridCol w:w="708"/>
              <w:gridCol w:w="1418"/>
              <w:gridCol w:w="1134"/>
              <w:gridCol w:w="1417"/>
              <w:gridCol w:w="10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dxa"/>
                  <w:vMerge w:val="restart"/>
                  <w:vAlign w:val="center"/>
                </w:tcPr>
                <w:p>
                  <w:pPr>
                    <w:pStyle w:val="76"/>
                    <w:rPr>
                      <w:color w:val="7030A0"/>
                      <w:sz w:val="21"/>
                      <w:szCs w:val="21"/>
                      <w:lang w:val="en-US"/>
                    </w:rPr>
                  </w:pPr>
                  <w:r>
                    <w:rPr>
                      <w:color w:val="7030A0"/>
                      <w:sz w:val="21"/>
                      <w:szCs w:val="21"/>
                      <w:lang w:val="en-US"/>
                    </w:rPr>
                    <w:t>类型</w:t>
                  </w:r>
                </w:p>
              </w:tc>
              <w:tc>
                <w:tcPr>
                  <w:tcW w:w="740" w:type="dxa"/>
                  <w:vMerge w:val="restart"/>
                  <w:vAlign w:val="center"/>
                </w:tcPr>
                <w:p>
                  <w:pPr>
                    <w:pStyle w:val="76"/>
                    <w:rPr>
                      <w:color w:val="7030A0"/>
                      <w:sz w:val="21"/>
                      <w:szCs w:val="21"/>
                      <w:lang w:val="en-US"/>
                    </w:rPr>
                  </w:pPr>
                  <w:r>
                    <w:rPr>
                      <w:color w:val="7030A0"/>
                      <w:sz w:val="21"/>
                      <w:szCs w:val="21"/>
                      <w:lang w:val="en-US"/>
                    </w:rPr>
                    <w:t>排污节点</w:t>
                  </w:r>
                </w:p>
              </w:tc>
              <w:tc>
                <w:tcPr>
                  <w:tcW w:w="1134" w:type="dxa"/>
                  <w:vMerge w:val="restart"/>
                  <w:vAlign w:val="center"/>
                </w:tcPr>
                <w:p>
                  <w:pPr>
                    <w:pStyle w:val="76"/>
                    <w:rPr>
                      <w:color w:val="7030A0"/>
                      <w:sz w:val="21"/>
                      <w:szCs w:val="21"/>
                      <w:lang w:val="en-US"/>
                    </w:rPr>
                  </w:pPr>
                  <w:r>
                    <w:rPr>
                      <w:rFonts w:hint="eastAsia"/>
                      <w:color w:val="7030A0"/>
                      <w:sz w:val="21"/>
                      <w:szCs w:val="21"/>
                      <w:lang w:val="en-US"/>
                    </w:rPr>
                    <w:t>排放位置</w:t>
                  </w:r>
                </w:p>
              </w:tc>
              <w:tc>
                <w:tcPr>
                  <w:tcW w:w="993" w:type="dxa"/>
                  <w:vMerge w:val="restart"/>
                  <w:vAlign w:val="center"/>
                </w:tcPr>
                <w:p>
                  <w:pPr>
                    <w:pStyle w:val="76"/>
                    <w:rPr>
                      <w:color w:val="00B050"/>
                      <w:sz w:val="21"/>
                      <w:szCs w:val="21"/>
                      <w:lang w:val="en-US"/>
                    </w:rPr>
                  </w:pPr>
                  <w:r>
                    <w:rPr>
                      <w:rFonts w:hint="eastAsia"/>
                      <w:color w:val="00B050"/>
                      <w:sz w:val="21"/>
                      <w:szCs w:val="21"/>
                      <w:lang w:val="en-US"/>
                    </w:rPr>
                    <w:t>治理措施</w:t>
                  </w:r>
                </w:p>
              </w:tc>
              <w:tc>
                <w:tcPr>
                  <w:tcW w:w="708" w:type="dxa"/>
                  <w:vMerge w:val="restart"/>
                  <w:vAlign w:val="center"/>
                </w:tcPr>
                <w:p>
                  <w:pPr>
                    <w:pStyle w:val="76"/>
                    <w:rPr>
                      <w:color w:val="7030A0"/>
                      <w:sz w:val="21"/>
                      <w:szCs w:val="21"/>
                      <w:lang w:val="en-US"/>
                    </w:rPr>
                  </w:pPr>
                  <w:r>
                    <w:rPr>
                      <w:color w:val="7030A0"/>
                      <w:sz w:val="21"/>
                      <w:szCs w:val="21"/>
                      <w:lang w:val="en-US"/>
                    </w:rPr>
                    <w:t>污染物</w:t>
                  </w:r>
                </w:p>
              </w:tc>
              <w:tc>
                <w:tcPr>
                  <w:tcW w:w="2552" w:type="dxa"/>
                  <w:gridSpan w:val="2"/>
                  <w:shd w:val="clear" w:color="auto" w:fill="auto"/>
                  <w:vAlign w:val="center"/>
                </w:tcPr>
                <w:p>
                  <w:pPr>
                    <w:pStyle w:val="76"/>
                    <w:rPr>
                      <w:color w:val="7030A0"/>
                      <w:sz w:val="21"/>
                      <w:szCs w:val="21"/>
                      <w:lang w:val="en-US"/>
                    </w:rPr>
                  </w:pPr>
                  <w:r>
                    <w:rPr>
                      <w:color w:val="7030A0"/>
                      <w:sz w:val="21"/>
                      <w:szCs w:val="21"/>
                      <w:lang w:val="en-US"/>
                    </w:rPr>
                    <w:t>产生情况</w:t>
                  </w:r>
                </w:p>
              </w:tc>
              <w:tc>
                <w:tcPr>
                  <w:tcW w:w="2482" w:type="dxa"/>
                  <w:gridSpan w:val="2"/>
                  <w:shd w:val="clear" w:color="auto" w:fill="auto"/>
                  <w:vAlign w:val="center"/>
                </w:tcPr>
                <w:p>
                  <w:pPr>
                    <w:pStyle w:val="76"/>
                    <w:rPr>
                      <w:color w:val="7030A0"/>
                      <w:sz w:val="21"/>
                      <w:szCs w:val="21"/>
                      <w:lang w:val="en-US"/>
                    </w:rPr>
                  </w:pPr>
                  <w:r>
                    <w:rPr>
                      <w:color w:val="7030A0"/>
                      <w:sz w:val="21"/>
                      <w:szCs w:val="21"/>
                      <w:lang w:val="en-US"/>
                    </w:rPr>
                    <w:t>排放情况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dxa"/>
                  <w:vMerge w:val="continue"/>
                  <w:vAlign w:val="center"/>
                </w:tcPr>
                <w:p>
                  <w:pPr>
                    <w:pStyle w:val="76"/>
                    <w:rPr>
                      <w:color w:val="7030A0"/>
                      <w:sz w:val="21"/>
                      <w:szCs w:val="21"/>
                      <w:lang w:val="en-US"/>
                    </w:rPr>
                  </w:pPr>
                </w:p>
              </w:tc>
              <w:tc>
                <w:tcPr>
                  <w:tcW w:w="740" w:type="dxa"/>
                  <w:vMerge w:val="continue"/>
                  <w:vAlign w:val="center"/>
                </w:tcPr>
                <w:p>
                  <w:pPr>
                    <w:pStyle w:val="76"/>
                    <w:rPr>
                      <w:color w:val="7030A0"/>
                      <w:sz w:val="21"/>
                      <w:szCs w:val="21"/>
                      <w:lang w:val="en-US"/>
                    </w:rPr>
                  </w:pPr>
                </w:p>
              </w:tc>
              <w:tc>
                <w:tcPr>
                  <w:tcW w:w="1134" w:type="dxa"/>
                  <w:vMerge w:val="continue"/>
                  <w:vAlign w:val="center"/>
                </w:tcPr>
                <w:p>
                  <w:pPr>
                    <w:pStyle w:val="76"/>
                    <w:rPr>
                      <w:color w:val="7030A0"/>
                      <w:sz w:val="21"/>
                      <w:szCs w:val="21"/>
                      <w:lang w:val="en-US"/>
                    </w:rPr>
                  </w:pPr>
                </w:p>
              </w:tc>
              <w:tc>
                <w:tcPr>
                  <w:tcW w:w="993" w:type="dxa"/>
                  <w:vMerge w:val="continue"/>
                  <w:vAlign w:val="center"/>
                </w:tcPr>
                <w:p>
                  <w:pPr>
                    <w:pStyle w:val="76"/>
                    <w:rPr>
                      <w:color w:val="00B050"/>
                      <w:sz w:val="21"/>
                      <w:szCs w:val="21"/>
                      <w:lang w:val="en-US"/>
                    </w:rPr>
                  </w:pPr>
                </w:p>
              </w:tc>
              <w:tc>
                <w:tcPr>
                  <w:tcW w:w="708" w:type="dxa"/>
                  <w:vMerge w:val="continue"/>
                  <w:vAlign w:val="center"/>
                </w:tcPr>
                <w:p>
                  <w:pPr>
                    <w:pStyle w:val="76"/>
                    <w:rPr>
                      <w:color w:val="7030A0"/>
                      <w:sz w:val="21"/>
                      <w:szCs w:val="21"/>
                      <w:lang w:val="en-US"/>
                    </w:rPr>
                  </w:pPr>
                </w:p>
              </w:tc>
              <w:tc>
                <w:tcPr>
                  <w:tcW w:w="1418" w:type="dxa"/>
                  <w:shd w:val="clear" w:color="auto" w:fill="auto"/>
                  <w:vAlign w:val="center"/>
                </w:tcPr>
                <w:p>
                  <w:pPr>
                    <w:pStyle w:val="76"/>
                    <w:rPr>
                      <w:color w:val="7030A0"/>
                      <w:sz w:val="21"/>
                      <w:szCs w:val="21"/>
                      <w:lang w:val="en-US"/>
                    </w:rPr>
                  </w:pPr>
                  <w:r>
                    <w:rPr>
                      <w:color w:val="7030A0"/>
                      <w:sz w:val="21"/>
                      <w:szCs w:val="21"/>
                      <w:lang w:val="en-US"/>
                    </w:rPr>
                    <w:t>产生浓度</w:t>
                  </w:r>
                </w:p>
              </w:tc>
              <w:tc>
                <w:tcPr>
                  <w:tcW w:w="1134" w:type="dxa"/>
                  <w:shd w:val="clear" w:color="auto" w:fill="auto"/>
                  <w:vAlign w:val="center"/>
                </w:tcPr>
                <w:p>
                  <w:pPr>
                    <w:pStyle w:val="76"/>
                    <w:rPr>
                      <w:color w:val="7030A0"/>
                      <w:sz w:val="21"/>
                      <w:szCs w:val="21"/>
                      <w:lang w:val="en-US"/>
                    </w:rPr>
                  </w:pPr>
                  <w:r>
                    <w:rPr>
                      <w:color w:val="7030A0"/>
                      <w:sz w:val="21"/>
                      <w:szCs w:val="21"/>
                      <w:lang w:val="en-US"/>
                    </w:rPr>
                    <w:t>产生量</w:t>
                  </w:r>
                </w:p>
              </w:tc>
              <w:tc>
                <w:tcPr>
                  <w:tcW w:w="1417" w:type="dxa"/>
                  <w:shd w:val="clear" w:color="auto" w:fill="auto"/>
                  <w:vAlign w:val="center"/>
                </w:tcPr>
                <w:p>
                  <w:pPr>
                    <w:pStyle w:val="76"/>
                    <w:rPr>
                      <w:color w:val="7030A0"/>
                      <w:sz w:val="21"/>
                      <w:szCs w:val="21"/>
                      <w:lang w:val="en-US"/>
                    </w:rPr>
                  </w:pPr>
                  <w:r>
                    <w:rPr>
                      <w:color w:val="7030A0"/>
                      <w:sz w:val="21"/>
                      <w:szCs w:val="21"/>
                      <w:lang w:val="en-US"/>
                    </w:rPr>
                    <w:t>排放浓</w:t>
                  </w:r>
                  <w:r>
                    <w:rPr>
                      <w:rFonts w:hint="eastAsia"/>
                      <w:color w:val="7030A0"/>
                      <w:sz w:val="21"/>
                      <w:szCs w:val="21"/>
                      <w:lang w:val="en-US"/>
                    </w:rPr>
                    <w:t>度</w:t>
                  </w:r>
                </w:p>
              </w:tc>
              <w:tc>
                <w:tcPr>
                  <w:tcW w:w="1065" w:type="dxa"/>
                  <w:shd w:val="clear" w:color="auto" w:fill="auto"/>
                  <w:vAlign w:val="center"/>
                </w:tcPr>
                <w:p>
                  <w:pPr>
                    <w:pStyle w:val="76"/>
                    <w:rPr>
                      <w:color w:val="7030A0"/>
                      <w:sz w:val="21"/>
                      <w:szCs w:val="21"/>
                      <w:lang w:val="en-US"/>
                    </w:rPr>
                  </w:pPr>
                  <w:r>
                    <w:rPr>
                      <w:color w:val="7030A0"/>
                      <w:sz w:val="21"/>
                      <w:szCs w:val="21"/>
                      <w:lang w:val="en-US"/>
                    </w:rPr>
                    <w:t>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dxa"/>
                  <w:vMerge w:val="restart"/>
                  <w:vAlign w:val="center"/>
                </w:tcPr>
                <w:p>
                  <w:pPr>
                    <w:pStyle w:val="76"/>
                    <w:rPr>
                      <w:color w:val="7030A0"/>
                      <w:sz w:val="21"/>
                      <w:szCs w:val="21"/>
                      <w:lang w:val="en-US"/>
                    </w:rPr>
                  </w:pPr>
                  <w:r>
                    <w:rPr>
                      <w:rFonts w:hint="eastAsia"/>
                      <w:color w:val="7030A0"/>
                      <w:sz w:val="21"/>
                      <w:szCs w:val="21"/>
                      <w:lang w:val="en-US"/>
                    </w:rPr>
                    <w:t>有组织废气</w:t>
                  </w:r>
                </w:p>
              </w:tc>
              <w:tc>
                <w:tcPr>
                  <w:tcW w:w="740" w:type="dxa"/>
                  <w:vMerge w:val="restart"/>
                  <w:shd w:val="clear" w:color="auto" w:fill="auto"/>
                  <w:vAlign w:val="center"/>
                </w:tcPr>
                <w:p>
                  <w:pPr>
                    <w:pStyle w:val="76"/>
                    <w:rPr>
                      <w:color w:val="7030A0"/>
                      <w:sz w:val="21"/>
                      <w:szCs w:val="21"/>
                      <w:lang w:val="en-US"/>
                    </w:rPr>
                  </w:pPr>
                  <w:r>
                    <w:rPr>
                      <w:rFonts w:hint="eastAsia"/>
                      <w:color w:val="7030A0"/>
                      <w:sz w:val="21"/>
                      <w:szCs w:val="21"/>
                      <w:lang w:val="en-US"/>
                    </w:rPr>
                    <w:t>隧道窑焙烧废气</w:t>
                  </w:r>
                </w:p>
              </w:tc>
              <w:tc>
                <w:tcPr>
                  <w:tcW w:w="1134" w:type="dxa"/>
                  <w:vMerge w:val="restart"/>
                  <w:vAlign w:val="center"/>
                </w:tcPr>
                <w:p>
                  <w:pPr>
                    <w:pStyle w:val="76"/>
                    <w:rPr>
                      <w:color w:val="7030A0"/>
                      <w:sz w:val="21"/>
                      <w:szCs w:val="21"/>
                      <w:lang w:val="en-US"/>
                    </w:rPr>
                  </w:pPr>
                  <w:r>
                    <w:rPr>
                      <w:rFonts w:hint="eastAsia"/>
                      <w:color w:val="7030A0"/>
                      <w:sz w:val="21"/>
                      <w:szCs w:val="21"/>
                      <w:lang w:val="en-US"/>
                    </w:rPr>
                    <w:t>隧道窑排气筒（1#）</w:t>
                  </w:r>
                </w:p>
              </w:tc>
              <w:tc>
                <w:tcPr>
                  <w:tcW w:w="993" w:type="dxa"/>
                  <w:vMerge w:val="restart"/>
                  <w:vAlign w:val="center"/>
                </w:tcPr>
                <w:p>
                  <w:pPr>
                    <w:pStyle w:val="76"/>
                    <w:rPr>
                      <w:color w:val="00B050"/>
                      <w:sz w:val="21"/>
                      <w:szCs w:val="21"/>
                      <w:lang w:val="en-US"/>
                    </w:rPr>
                  </w:pPr>
                  <w:r>
                    <w:rPr>
                      <w:rFonts w:hint="eastAsia"/>
                      <w:color w:val="00B050"/>
                      <w:szCs w:val="21"/>
                    </w:rPr>
                    <w:t>废气经隧道窑排烟系统排气系统收集后，由15m排气筒排放</w:t>
                  </w:r>
                </w:p>
              </w:tc>
              <w:tc>
                <w:tcPr>
                  <w:tcW w:w="708" w:type="dxa"/>
                  <w:shd w:val="clear" w:color="auto" w:fill="auto"/>
                  <w:vAlign w:val="center"/>
                </w:tcPr>
                <w:p>
                  <w:pPr>
                    <w:pStyle w:val="76"/>
                    <w:rPr>
                      <w:color w:val="7030A0"/>
                      <w:sz w:val="21"/>
                      <w:szCs w:val="21"/>
                      <w:lang w:val="en-US"/>
                    </w:rPr>
                  </w:pPr>
                  <w:r>
                    <w:rPr>
                      <w:color w:val="7030A0"/>
                      <w:sz w:val="21"/>
                      <w:szCs w:val="21"/>
                      <w:lang w:val="en-US"/>
                    </w:rPr>
                    <w:t>废气量</w:t>
                  </w:r>
                </w:p>
              </w:tc>
              <w:tc>
                <w:tcPr>
                  <w:tcW w:w="1418" w:type="dxa"/>
                  <w:shd w:val="clear" w:color="auto" w:fill="auto"/>
                  <w:vAlign w:val="center"/>
                </w:tcPr>
                <w:p>
                  <w:pPr>
                    <w:pStyle w:val="76"/>
                    <w:rPr>
                      <w:color w:val="7030A0"/>
                      <w:sz w:val="21"/>
                      <w:szCs w:val="21"/>
                      <w:lang w:val="en-US"/>
                    </w:rPr>
                  </w:pPr>
                  <w:r>
                    <w:rPr>
                      <w:rFonts w:hint="eastAsia"/>
                      <w:color w:val="7030A0"/>
                      <w:sz w:val="21"/>
                      <w:szCs w:val="21"/>
                      <w:lang w:val="en-US"/>
                    </w:rPr>
                    <w:t>/</w:t>
                  </w:r>
                </w:p>
              </w:tc>
              <w:tc>
                <w:tcPr>
                  <w:tcW w:w="1134" w:type="dxa"/>
                  <w:shd w:val="clear" w:color="auto" w:fill="auto"/>
                  <w:vAlign w:val="center"/>
                </w:tcPr>
                <w:p>
                  <w:pPr>
                    <w:pStyle w:val="76"/>
                    <w:rPr>
                      <w:color w:val="7030A0"/>
                      <w:sz w:val="21"/>
                      <w:szCs w:val="21"/>
                      <w:lang w:val="en-US"/>
                    </w:rPr>
                  </w:pPr>
                  <w:r>
                    <w:rPr>
                      <w:rFonts w:hint="eastAsia"/>
                      <w:bCs/>
                      <w:snapToGrid w:val="0"/>
                      <w:color w:val="7030A0"/>
                      <w:sz w:val="21"/>
                      <w:szCs w:val="21"/>
                      <w:lang w:val="en-US"/>
                    </w:rPr>
                    <w:t>7.7×10</w:t>
                  </w:r>
                  <w:r>
                    <w:rPr>
                      <w:rFonts w:hint="eastAsia"/>
                      <w:bCs/>
                      <w:snapToGrid w:val="0"/>
                      <w:color w:val="7030A0"/>
                      <w:sz w:val="21"/>
                      <w:szCs w:val="21"/>
                      <w:vertAlign w:val="superscript"/>
                      <w:lang w:val="en-US"/>
                    </w:rPr>
                    <w:t>7</w:t>
                  </w:r>
                  <w:r>
                    <w:rPr>
                      <w:rFonts w:hint="eastAsia"/>
                      <w:bCs/>
                      <w:snapToGrid w:val="0"/>
                      <w:color w:val="7030A0"/>
                      <w:sz w:val="21"/>
                      <w:szCs w:val="21"/>
                      <w:lang w:val="en-US"/>
                    </w:rPr>
                    <w:t>m</w:t>
                  </w:r>
                  <w:r>
                    <w:rPr>
                      <w:rFonts w:hint="eastAsia"/>
                      <w:bCs/>
                      <w:snapToGrid w:val="0"/>
                      <w:color w:val="7030A0"/>
                      <w:sz w:val="21"/>
                      <w:szCs w:val="21"/>
                      <w:vertAlign w:val="superscript"/>
                      <w:lang w:val="en-US"/>
                    </w:rPr>
                    <w:t>3</w:t>
                  </w:r>
                  <w:r>
                    <w:rPr>
                      <w:rFonts w:hint="eastAsia"/>
                      <w:bCs/>
                      <w:snapToGrid w:val="0"/>
                      <w:color w:val="7030A0"/>
                      <w:sz w:val="21"/>
                      <w:szCs w:val="21"/>
                      <w:lang w:val="en-US"/>
                    </w:rPr>
                    <w:t>/a</w:t>
                  </w:r>
                </w:p>
              </w:tc>
              <w:tc>
                <w:tcPr>
                  <w:tcW w:w="1417" w:type="dxa"/>
                  <w:shd w:val="clear" w:color="auto" w:fill="auto"/>
                  <w:vAlign w:val="center"/>
                </w:tcPr>
                <w:p>
                  <w:pPr>
                    <w:pStyle w:val="76"/>
                    <w:rPr>
                      <w:color w:val="7030A0"/>
                      <w:sz w:val="21"/>
                      <w:szCs w:val="21"/>
                      <w:lang w:val="en-US"/>
                    </w:rPr>
                  </w:pPr>
                  <w:r>
                    <w:rPr>
                      <w:rFonts w:hint="eastAsia"/>
                      <w:color w:val="7030A0"/>
                      <w:sz w:val="21"/>
                      <w:szCs w:val="21"/>
                      <w:lang w:val="en-US"/>
                    </w:rPr>
                    <w:t>/</w:t>
                  </w:r>
                </w:p>
              </w:tc>
              <w:tc>
                <w:tcPr>
                  <w:tcW w:w="1065" w:type="dxa"/>
                  <w:shd w:val="clear" w:color="auto" w:fill="auto"/>
                  <w:vAlign w:val="center"/>
                </w:tcPr>
                <w:p>
                  <w:pPr>
                    <w:pStyle w:val="76"/>
                    <w:rPr>
                      <w:color w:val="7030A0"/>
                      <w:sz w:val="21"/>
                      <w:szCs w:val="21"/>
                      <w:lang w:val="en-US"/>
                    </w:rPr>
                  </w:pPr>
                  <w:r>
                    <w:rPr>
                      <w:rFonts w:hint="eastAsia"/>
                      <w:bCs/>
                      <w:snapToGrid w:val="0"/>
                      <w:color w:val="7030A0"/>
                      <w:sz w:val="21"/>
                      <w:szCs w:val="21"/>
                      <w:lang w:val="en-US"/>
                    </w:rPr>
                    <w:t>7.7×10</w:t>
                  </w:r>
                  <w:r>
                    <w:rPr>
                      <w:rFonts w:hint="eastAsia"/>
                      <w:bCs/>
                      <w:snapToGrid w:val="0"/>
                      <w:color w:val="7030A0"/>
                      <w:sz w:val="21"/>
                      <w:szCs w:val="21"/>
                      <w:vertAlign w:val="superscript"/>
                      <w:lang w:val="en-US"/>
                    </w:rPr>
                    <w:t>7</w:t>
                  </w:r>
                  <w:r>
                    <w:rPr>
                      <w:rFonts w:hint="eastAsia"/>
                      <w:bCs/>
                      <w:snapToGrid w:val="0"/>
                      <w:color w:val="7030A0"/>
                      <w:sz w:val="21"/>
                      <w:szCs w:val="21"/>
                      <w:lang w:val="en-US"/>
                    </w:rPr>
                    <w:t>m</w:t>
                  </w:r>
                  <w:r>
                    <w:rPr>
                      <w:rFonts w:hint="eastAsia"/>
                      <w:bCs/>
                      <w:snapToGrid w:val="0"/>
                      <w:color w:val="7030A0"/>
                      <w:sz w:val="21"/>
                      <w:szCs w:val="21"/>
                      <w:vertAlign w:val="superscript"/>
                      <w:lang w:val="en-US"/>
                    </w:rPr>
                    <w:t>3</w:t>
                  </w:r>
                  <w:r>
                    <w:rPr>
                      <w:rFonts w:hint="eastAsia"/>
                      <w:bCs/>
                      <w:snapToGrid w:val="0"/>
                      <w:color w:val="7030A0"/>
                      <w:sz w:val="21"/>
                      <w:szCs w:val="21"/>
                      <w:lang w:val="en-US"/>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dxa"/>
                  <w:vMerge w:val="continue"/>
                  <w:vAlign w:val="center"/>
                </w:tcPr>
                <w:p>
                  <w:pPr>
                    <w:pStyle w:val="76"/>
                    <w:rPr>
                      <w:color w:val="7030A0"/>
                      <w:sz w:val="21"/>
                      <w:szCs w:val="21"/>
                      <w:lang w:val="en-US"/>
                    </w:rPr>
                  </w:pPr>
                </w:p>
              </w:tc>
              <w:tc>
                <w:tcPr>
                  <w:tcW w:w="740" w:type="dxa"/>
                  <w:vMerge w:val="continue"/>
                  <w:shd w:val="clear" w:color="auto" w:fill="auto"/>
                  <w:vAlign w:val="center"/>
                </w:tcPr>
                <w:p>
                  <w:pPr>
                    <w:pStyle w:val="76"/>
                    <w:rPr>
                      <w:color w:val="7030A0"/>
                      <w:sz w:val="21"/>
                      <w:szCs w:val="21"/>
                      <w:lang w:val="en-US"/>
                    </w:rPr>
                  </w:pPr>
                </w:p>
              </w:tc>
              <w:tc>
                <w:tcPr>
                  <w:tcW w:w="1134" w:type="dxa"/>
                  <w:vMerge w:val="continue"/>
                  <w:vAlign w:val="center"/>
                </w:tcPr>
                <w:p>
                  <w:pPr>
                    <w:adjustRightInd w:val="0"/>
                    <w:snapToGrid w:val="0"/>
                    <w:spacing w:line="320" w:lineRule="exact"/>
                    <w:ind w:right="53" w:rightChars="25"/>
                    <w:jc w:val="center"/>
                    <w:rPr>
                      <w:color w:val="7030A0"/>
                      <w:szCs w:val="21"/>
                    </w:rPr>
                  </w:pPr>
                </w:p>
              </w:tc>
              <w:tc>
                <w:tcPr>
                  <w:tcW w:w="993" w:type="dxa"/>
                  <w:vMerge w:val="continue"/>
                  <w:vAlign w:val="center"/>
                </w:tcPr>
                <w:p>
                  <w:pPr>
                    <w:adjustRightInd w:val="0"/>
                    <w:snapToGrid w:val="0"/>
                    <w:spacing w:line="320" w:lineRule="exact"/>
                    <w:ind w:right="53" w:rightChars="25"/>
                    <w:jc w:val="center"/>
                    <w:rPr>
                      <w:color w:val="00B050"/>
                      <w:szCs w:val="21"/>
                    </w:rPr>
                  </w:pPr>
                </w:p>
              </w:tc>
              <w:tc>
                <w:tcPr>
                  <w:tcW w:w="708"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color w:val="7030A0"/>
                      <w:szCs w:val="21"/>
                    </w:rPr>
                    <w:t>SO</w:t>
                  </w:r>
                  <w:r>
                    <w:rPr>
                      <w:color w:val="7030A0"/>
                      <w:szCs w:val="21"/>
                      <w:vertAlign w:val="subscript"/>
                    </w:rPr>
                    <w:t>2</w:t>
                  </w:r>
                </w:p>
              </w:tc>
              <w:tc>
                <w:tcPr>
                  <w:tcW w:w="1418" w:type="dxa"/>
                  <w:shd w:val="clear" w:color="auto" w:fill="auto"/>
                  <w:vAlign w:val="center"/>
                </w:tcPr>
                <w:p>
                  <w:pPr>
                    <w:adjustRightInd w:val="0"/>
                    <w:snapToGrid w:val="0"/>
                    <w:spacing w:line="320" w:lineRule="exact"/>
                    <w:ind w:right="53" w:rightChars="25"/>
                    <w:jc w:val="center"/>
                    <w:rPr>
                      <w:snapToGrid w:val="0"/>
                      <w:color w:val="7030A0"/>
                      <w:kern w:val="0"/>
                      <w:szCs w:val="21"/>
                      <w:vertAlign w:val="superscript"/>
                    </w:rPr>
                  </w:pPr>
                  <w:r>
                    <w:rPr>
                      <w:rFonts w:hint="eastAsia"/>
                      <w:color w:val="7030A0"/>
                      <w:szCs w:val="21"/>
                    </w:rPr>
                    <w:t>8.8</w:t>
                  </w:r>
                  <w:r>
                    <w:rPr>
                      <w:color w:val="7030A0"/>
                      <w:szCs w:val="21"/>
                    </w:rPr>
                    <w:t>mg/m</w:t>
                  </w:r>
                  <w:r>
                    <w:rPr>
                      <w:color w:val="7030A0"/>
                      <w:szCs w:val="21"/>
                      <w:vertAlign w:val="superscript"/>
                    </w:rPr>
                    <w:t>3</w:t>
                  </w:r>
                </w:p>
              </w:tc>
              <w:tc>
                <w:tcPr>
                  <w:tcW w:w="1134"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snapToGrid w:val="0"/>
                      <w:color w:val="7030A0"/>
                      <w:kern w:val="0"/>
                      <w:szCs w:val="21"/>
                    </w:rPr>
                    <w:t>0.680t/a</w:t>
                  </w:r>
                </w:p>
              </w:tc>
              <w:tc>
                <w:tcPr>
                  <w:tcW w:w="1417" w:type="dxa"/>
                  <w:shd w:val="clear" w:color="auto" w:fill="auto"/>
                  <w:vAlign w:val="center"/>
                </w:tcPr>
                <w:p>
                  <w:pPr>
                    <w:adjustRightInd w:val="0"/>
                    <w:snapToGrid w:val="0"/>
                    <w:spacing w:line="320" w:lineRule="exact"/>
                    <w:ind w:right="53" w:rightChars="25"/>
                    <w:jc w:val="center"/>
                    <w:rPr>
                      <w:snapToGrid w:val="0"/>
                      <w:color w:val="7030A0"/>
                      <w:kern w:val="0"/>
                      <w:szCs w:val="21"/>
                      <w:vertAlign w:val="superscript"/>
                    </w:rPr>
                  </w:pPr>
                  <w:r>
                    <w:rPr>
                      <w:rFonts w:hint="eastAsia"/>
                      <w:color w:val="7030A0"/>
                      <w:szCs w:val="21"/>
                    </w:rPr>
                    <w:t>8.8</w:t>
                  </w:r>
                  <w:r>
                    <w:rPr>
                      <w:color w:val="7030A0"/>
                      <w:szCs w:val="21"/>
                    </w:rPr>
                    <w:t>mg/m</w:t>
                  </w:r>
                  <w:r>
                    <w:rPr>
                      <w:color w:val="7030A0"/>
                      <w:szCs w:val="21"/>
                      <w:vertAlign w:val="superscript"/>
                    </w:rPr>
                    <w:t>3</w:t>
                  </w:r>
                </w:p>
              </w:tc>
              <w:tc>
                <w:tcPr>
                  <w:tcW w:w="1065"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snapToGrid w:val="0"/>
                      <w:color w:val="7030A0"/>
                      <w:kern w:val="0"/>
                      <w:szCs w:val="21"/>
                    </w:rPr>
                    <w:t>0.680t/a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dxa"/>
                  <w:vMerge w:val="continue"/>
                  <w:vAlign w:val="center"/>
                </w:tcPr>
                <w:p>
                  <w:pPr>
                    <w:pStyle w:val="76"/>
                    <w:rPr>
                      <w:color w:val="7030A0"/>
                      <w:sz w:val="21"/>
                      <w:szCs w:val="21"/>
                      <w:lang w:val="en-US"/>
                    </w:rPr>
                  </w:pPr>
                </w:p>
              </w:tc>
              <w:tc>
                <w:tcPr>
                  <w:tcW w:w="740" w:type="dxa"/>
                  <w:vMerge w:val="continue"/>
                  <w:shd w:val="clear" w:color="auto" w:fill="auto"/>
                  <w:vAlign w:val="center"/>
                </w:tcPr>
                <w:p>
                  <w:pPr>
                    <w:pStyle w:val="76"/>
                    <w:rPr>
                      <w:color w:val="7030A0"/>
                      <w:sz w:val="21"/>
                      <w:szCs w:val="21"/>
                      <w:lang w:val="en-US"/>
                    </w:rPr>
                  </w:pPr>
                </w:p>
              </w:tc>
              <w:tc>
                <w:tcPr>
                  <w:tcW w:w="1134" w:type="dxa"/>
                  <w:vMerge w:val="continue"/>
                  <w:vAlign w:val="center"/>
                </w:tcPr>
                <w:p>
                  <w:pPr>
                    <w:adjustRightInd w:val="0"/>
                    <w:snapToGrid w:val="0"/>
                    <w:spacing w:line="320" w:lineRule="exact"/>
                    <w:ind w:right="53" w:rightChars="25"/>
                    <w:jc w:val="center"/>
                    <w:rPr>
                      <w:color w:val="7030A0"/>
                      <w:szCs w:val="21"/>
                    </w:rPr>
                  </w:pPr>
                </w:p>
              </w:tc>
              <w:tc>
                <w:tcPr>
                  <w:tcW w:w="993" w:type="dxa"/>
                  <w:vMerge w:val="continue"/>
                  <w:vAlign w:val="center"/>
                </w:tcPr>
                <w:p>
                  <w:pPr>
                    <w:adjustRightInd w:val="0"/>
                    <w:snapToGrid w:val="0"/>
                    <w:spacing w:line="320" w:lineRule="exact"/>
                    <w:ind w:right="53" w:rightChars="25"/>
                    <w:jc w:val="center"/>
                    <w:rPr>
                      <w:color w:val="00B050"/>
                      <w:szCs w:val="21"/>
                    </w:rPr>
                  </w:pPr>
                </w:p>
              </w:tc>
              <w:tc>
                <w:tcPr>
                  <w:tcW w:w="708"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color w:val="7030A0"/>
                      <w:szCs w:val="21"/>
                    </w:rPr>
                    <w:t>NO</w:t>
                  </w:r>
                  <w:r>
                    <w:rPr>
                      <w:rFonts w:hint="eastAsia"/>
                      <w:color w:val="7030A0"/>
                      <w:szCs w:val="21"/>
                      <w:vertAlign w:val="subscript"/>
                    </w:rPr>
                    <w:t>X</w:t>
                  </w:r>
                </w:p>
              </w:tc>
              <w:tc>
                <w:tcPr>
                  <w:tcW w:w="1418"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color w:val="7030A0"/>
                      <w:szCs w:val="21"/>
                    </w:rPr>
                    <w:t>137.3</w:t>
                  </w:r>
                  <w:r>
                    <w:rPr>
                      <w:color w:val="7030A0"/>
                      <w:szCs w:val="21"/>
                    </w:rPr>
                    <w:t>mg/m</w:t>
                  </w:r>
                  <w:r>
                    <w:rPr>
                      <w:color w:val="7030A0"/>
                      <w:szCs w:val="21"/>
                      <w:vertAlign w:val="superscript"/>
                    </w:rPr>
                    <w:t>3</w:t>
                  </w:r>
                </w:p>
              </w:tc>
              <w:tc>
                <w:tcPr>
                  <w:tcW w:w="1134"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snapToGrid w:val="0"/>
                      <w:color w:val="7030A0"/>
                      <w:kern w:val="0"/>
                      <w:szCs w:val="21"/>
                    </w:rPr>
                    <w:t>10.609t/a</w:t>
                  </w:r>
                </w:p>
              </w:tc>
              <w:tc>
                <w:tcPr>
                  <w:tcW w:w="1417"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color w:val="7030A0"/>
                      <w:szCs w:val="21"/>
                    </w:rPr>
                    <w:t>137.3</w:t>
                  </w:r>
                  <w:r>
                    <w:rPr>
                      <w:color w:val="7030A0"/>
                      <w:szCs w:val="21"/>
                    </w:rPr>
                    <w:t>mg/m</w:t>
                  </w:r>
                  <w:r>
                    <w:rPr>
                      <w:color w:val="7030A0"/>
                      <w:szCs w:val="21"/>
                      <w:vertAlign w:val="superscript"/>
                    </w:rPr>
                    <w:t>3</w:t>
                  </w:r>
                </w:p>
              </w:tc>
              <w:tc>
                <w:tcPr>
                  <w:tcW w:w="1065"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snapToGrid w:val="0"/>
                      <w:color w:val="7030A0"/>
                      <w:kern w:val="0"/>
                      <w:szCs w:val="21"/>
                    </w:rPr>
                    <w:t>10.609t/a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dxa"/>
                  <w:vMerge w:val="continue"/>
                  <w:vAlign w:val="center"/>
                </w:tcPr>
                <w:p>
                  <w:pPr>
                    <w:pStyle w:val="76"/>
                    <w:rPr>
                      <w:color w:val="7030A0"/>
                      <w:sz w:val="21"/>
                      <w:szCs w:val="21"/>
                      <w:lang w:val="en-US"/>
                    </w:rPr>
                  </w:pPr>
                </w:p>
              </w:tc>
              <w:tc>
                <w:tcPr>
                  <w:tcW w:w="740" w:type="dxa"/>
                  <w:vMerge w:val="continue"/>
                  <w:shd w:val="clear" w:color="auto" w:fill="auto"/>
                  <w:vAlign w:val="center"/>
                </w:tcPr>
                <w:p>
                  <w:pPr>
                    <w:pStyle w:val="76"/>
                    <w:rPr>
                      <w:color w:val="7030A0"/>
                      <w:sz w:val="21"/>
                      <w:szCs w:val="21"/>
                      <w:lang w:val="en-US"/>
                    </w:rPr>
                  </w:pPr>
                </w:p>
              </w:tc>
              <w:tc>
                <w:tcPr>
                  <w:tcW w:w="1134" w:type="dxa"/>
                  <w:vMerge w:val="continue"/>
                  <w:vAlign w:val="center"/>
                </w:tcPr>
                <w:p>
                  <w:pPr>
                    <w:adjustRightInd w:val="0"/>
                    <w:snapToGrid w:val="0"/>
                    <w:spacing w:line="320" w:lineRule="exact"/>
                    <w:ind w:right="53" w:rightChars="25"/>
                    <w:jc w:val="center"/>
                    <w:rPr>
                      <w:snapToGrid w:val="0"/>
                      <w:color w:val="7030A0"/>
                      <w:kern w:val="0"/>
                      <w:szCs w:val="21"/>
                    </w:rPr>
                  </w:pPr>
                </w:p>
              </w:tc>
              <w:tc>
                <w:tcPr>
                  <w:tcW w:w="993" w:type="dxa"/>
                  <w:vMerge w:val="continue"/>
                  <w:vAlign w:val="center"/>
                </w:tcPr>
                <w:p>
                  <w:pPr>
                    <w:adjustRightInd w:val="0"/>
                    <w:snapToGrid w:val="0"/>
                    <w:spacing w:line="320" w:lineRule="exact"/>
                    <w:ind w:right="53" w:rightChars="25"/>
                    <w:jc w:val="center"/>
                    <w:rPr>
                      <w:snapToGrid w:val="0"/>
                      <w:color w:val="00B050"/>
                      <w:kern w:val="0"/>
                      <w:szCs w:val="21"/>
                    </w:rPr>
                  </w:pPr>
                </w:p>
              </w:tc>
              <w:tc>
                <w:tcPr>
                  <w:tcW w:w="708"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snapToGrid w:val="0"/>
                      <w:color w:val="7030A0"/>
                      <w:kern w:val="0"/>
                      <w:szCs w:val="21"/>
                    </w:rPr>
                    <w:t>烟尘</w:t>
                  </w:r>
                </w:p>
              </w:tc>
              <w:tc>
                <w:tcPr>
                  <w:tcW w:w="1418"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snapToGrid w:val="0"/>
                      <w:color w:val="7030A0"/>
                      <w:kern w:val="0"/>
                      <w:szCs w:val="21"/>
                    </w:rPr>
                    <w:t>17.6</w:t>
                  </w:r>
                  <w:r>
                    <w:rPr>
                      <w:color w:val="7030A0"/>
                      <w:szCs w:val="21"/>
                    </w:rPr>
                    <w:t>mg/m</w:t>
                  </w:r>
                  <w:r>
                    <w:rPr>
                      <w:color w:val="7030A0"/>
                      <w:szCs w:val="21"/>
                      <w:vertAlign w:val="superscript"/>
                    </w:rPr>
                    <w:t>3</w:t>
                  </w:r>
                </w:p>
              </w:tc>
              <w:tc>
                <w:tcPr>
                  <w:tcW w:w="1134"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snapToGrid w:val="0"/>
                      <w:color w:val="7030A0"/>
                      <w:kern w:val="0"/>
                      <w:szCs w:val="21"/>
                    </w:rPr>
                    <w:t>1.361t/a</w:t>
                  </w:r>
                </w:p>
              </w:tc>
              <w:tc>
                <w:tcPr>
                  <w:tcW w:w="1417"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snapToGrid w:val="0"/>
                      <w:color w:val="7030A0"/>
                      <w:kern w:val="0"/>
                      <w:szCs w:val="21"/>
                    </w:rPr>
                    <w:t>17.6</w:t>
                  </w:r>
                  <w:r>
                    <w:rPr>
                      <w:color w:val="7030A0"/>
                      <w:szCs w:val="21"/>
                    </w:rPr>
                    <w:t>mg/m</w:t>
                  </w:r>
                  <w:r>
                    <w:rPr>
                      <w:color w:val="7030A0"/>
                      <w:szCs w:val="21"/>
                      <w:vertAlign w:val="superscript"/>
                    </w:rPr>
                    <w:t>3</w:t>
                  </w:r>
                </w:p>
              </w:tc>
              <w:tc>
                <w:tcPr>
                  <w:tcW w:w="1065"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snapToGrid w:val="0"/>
                      <w:color w:val="7030A0"/>
                      <w:kern w:val="0"/>
                      <w:szCs w:val="21"/>
                    </w:rPr>
                    <w:t>1.361t/a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dxa"/>
                  <w:vMerge w:val="continue"/>
                  <w:vAlign w:val="center"/>
                </w:tcPr>
                <w:p>
                  <w:pPr>
                    <w:pStyle w:val="76"/>
                    <w:rPr>
                      <w:color w:val="7030A0"/>
                      <w:sz w:val="21"/>
                      <w:szCs w:val="21"/>
                      <w:lang w:val="en-US"/>
                    </w:rPr>
                  </w:pPr>
                </w:p>
              </w:tc>
              <w:tc>
                <w:tcPr>
                  <w:tcW w:w="740" w:type="dxa"/>
                  <w:vMerge w:val="continue"/>
                  <w:shd w:val="clear" w:color="auto" w:fill="auto"/>
                  <w:vAlign w:val="center"/>
                </w:tcPr>
                <w:p>
                  <w:pPr>
                    <w:pStyle w:val="76"/>
                    <w:rPr>
                      <w:color w:val="7030A0"/>
                      <w:sz w:val="21"/>
                      <w:szCs w:val="21"/>
                      <w:lang w:val="en-US"/>
                    </w:rPr>
                  </w:pPr>
                </w:p>
              </w:tc>
              <w:tc>
                <w:tcPr>
                  <w:tcW w:w="1134" w:type="dxa"/>
                  <w:vMerge w:val="continue"/>
                  <w:vAlign w:val="center"/>
                </w:tcPr>
                <w:p>
                  <w:pPr>
                    <w:adjustRightInd w:val="0"/>
                    <w:snapToGrid w:val="0"/>
                    <w:spacing w:line="320" w:lineRule="exact"/>
                    <w:ind w:right="53" w:rightChars="25"/>
                    <w:jc w:val="center"/>
                    <w:rPr>
                      <w:snapToGrid w:val="0"/>
                      <w:color w:val="7030A0"/>
                      <w:kern w:val="0"/>
                      <w:szCs w:val="21"/>
                    </w:rPr>
                  </w:pPr>
                </w:p>
              </w:tc>
              <w:tc>
                <w:tcPr>
                  <w:tcW w:w="993" w:type="dxa"/>
                  <w:vMerge w:val="continue"/>
                  <w:vAlign w:val="center"/>
                </w:tcPr>
                <w:p>
                  <w:pPr>
                    <w:adjustRightInd w:val="0"/>
                    <w:snapToGrid w:val="0"/>
                    <w:spacing w:line="320" w:lineRule="exact"/>
                    <w:ind w:right="53" w:rightChars="25"/>
                    <w:jc w:val="center"/>
                    <w:rPr>
                      <w:snapToGrid w:val="0"/>
                      <w:color w:val="00B050"/>
                      <w:kern w:val="0"/>
                      <w:szCs w:val="21"/>
                    </w:rPr>
                  </w:pPr>
                </w:p>
              </w:tc>
              <w:tc>
                <w:tcPr>
                  <w:tcW w:w="708"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snapToGrid w:val="0"/>
                      <w:color w:val="7030A0"/>
                      <w:kern w:val="0"/>
                      <w:szCs w:val="21"/>
                    </w:rPr>
                    <w:t>氟化物</w:t>
                  </w:r>
                </w:p>
              </w:tc>
              <w:tc>
                <w:tcPr>
                  <w:tcW w:w="1418"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color w:val="7030A0"/>
                      <w:szCs w:val="21"/>
                    </w:rPr>
                    <w:t>0.91</w:t>
                  </w:r>
                  <w:r>
                    <w:rPr>
                      <w:color w:val="7030A0"/>
                      <w:szCs w:val="21"/>
                    </w:rPr>
                    <w:t>mg/m</w:t>
                  </w:r>
                  <w:r>
                    <w:rPr>
                      <w:color w:val="7030A0"/>
                      <w:szCs w:val="21"/>
                      <w:vertAlign w:val="superscript"/>
                    </w:rPr>
                    <w:t>3</w:t>
                  </w:r>
                </w:p>
              </w:tc>
              <w:tc>
                <w:tcPr>
                  <w:tcW w:w="1134"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snapToGrid w:val="0"/>
                      <w:color w:val="7030A0"/>
                      <w:kern w:val="0"/>
                      <w:szCs w:val="21"/>
                    </w:rPr>
                    <w:t>0.070t/a</w:t>
                  </w:r>
                </w:p>
              </w:tc>
              <w:tc>
                <w:tcPr>
                  <w:tcW w:w="1417"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color w:val="7030A0"/>
                      <w:szCs w:val="21"/>
                    </w:rPr>
                    <w:t>0.91</w:t>
                  </w:r>
                  <w:r>
                    <w:rPr>
                      <w:color w:val="7030A0"/>
                      <w:szCs w:val="21"/>
                    </w:rPr>
                    <w:t>mg/m</w:t>
                  </w:r>
                  <w:r>
                    <w:rPr>
                      <w:color w:val="7030A0"/>
                      <w:szCs w:val="21"/>
                      <w:vertAlign w:val="superscript"/>
                    </w:rPr>
                    <w:t>3</w:t>
                  </w:r>
                </w:p>
              </w:tc>
              <w:tc>
                <w:tcPr>
                  <w:tcW w:w="1065" w:type="dxa"/>
                  <w:shd w:val="clear" w:color="auto" w:fill="auto"/>
                  <w:vAlign w:val="center"/>
                </w:tcPr>
                <w:p>
                  <w:pPr>
                    <w:adjustRightInd w:val="0"/>
                    <w:snapToGrid w:val="0"/>
                    <w:spacing w:line="320" w:lineRule="exact"/>
                    <w:ind w:right="53" w:rightChars="25"/>
                    <w:jc w:val="center"/>
                    <w:rPr>
                      <w:snapToGrid w:val="0"/>
                      <w:color w:val="7030A0"/>
                      <w:kern w:val="0"/>
                      <w:szCs w:val="21"/>
                    </w:rPr>
                  </w:pPr>
                  <w:r>
                    <w:rPr>
                      <w:rFonts w:hint="eastAsia"/>
                      <w:snapToGrid w:val="0"/>
                      <w:color w:val="7030A0"/>
                      <w:kern w:val="0"/>
                      <w:szCs w:val="21"/>
                    </w:rPr>
                    <w:t>0.070t/a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dxa"/>
                  <w:vMerge w:val="continue"/>
                  <w:vAlign w:val="center"/>
                </w:tcPr>
                <w:p>
                  <w:pPr>
                    <w:pStyle w:val="76"/>
                    <w:rPr>
                      <w:color w:val="7030A0"/>
                      <w:sz w:val="21"/>
                      <w:szCs w:val="21"/>
                      <w:lang w:val="en-US"/>
                    </w:rPr>
                  </w:pPr>
                </w:p>
              </w:tc>
              <w:tc>
                <w:tcPr>
                  <w:tcW w:w="740" w:type="dxa"/>
                  <w:shd w:val="clear" w:color="auto" w:fill="auto"/>
                  <w:vAlign w:val="center"/>
                </w:tcPr>
                <w:p>
                  <w:pPr>
                    <w:pStyle w:val="76"/>
                    <w:rPr>
                      <w:color w:val="FF0000"/>
                      <w:sz w:val="21"/>
                      <w:szCs w:val="21"/>
                      <w:lang w:val="en-US"/>
                    </w:rPr>
                  </w:pPr>
                  <w:r>
                    <w:rPr>
                      <w:rFonts w:hint="eastAsia"/>
                      <w:color w:val="FF0000"/>
                      <w:sz w:val="21"/>
                      <w:szCs w:val="21"/>
                      <w:lang w:val="en-US"/>
                    </w:rPr>
                    <w:t>破碎废气</w:t>
                  </w:r>
                </w:p>
              </w:tc>
              <w:tc>
                <w:tcPr>
                  <w:tcW w:w="1134" w:type="dxa"/>
                  <w:vAlign w:val="center"/>
                </w:tcPr>
                <w:p>
                  <w:pPr>
                    <w:adjustRightInd w:val="0"/>
                    <w:snapToGrid w:val="0"/>
                    <w:spacing w:line="320" w:lineRule="exact"/>
                    <w:ind w:right="53" w:rightChars="25"/>
                    <w:jc w:val="center"/>
                    <w:rPr>
                      <w:snapToGrid w:val="0"/>
                      <w:color w:val="FF0000"/>
                      <w:kern w:val="0"/>
                      <w:szCs w:val="21"/>
                    </w:rPr>
                  </w:pPr>
                  <w:r>
                    <w:rPr>
                      <w:rFonts w:hint="eastAsia"/>
                      <w:snapToGrid w:val="0"/>
                      <w:color w:val="FF0000"/>
                      <w:kern w:val="0"/>
                      <w:szCs w:val="21"/>
                    </w:rPr>
                    <w:t>破碎废气排气筒（2#）</w:t>
                  </w:r>
                </w:p>
              </w:tc>
              <w:tc>
                <w:tcPr>
                  <w:tcW w:w="993" w:type="dxa"/>
                  <w:vAlign w:val="center"/>
                </w:tcPr>
                <w:p>
                  <w:pPr>
                    <w:adjustRightInd w:val="0"/>
                    <w:snapToGrid w:val="0"/>
                    <w:spacing w:line="320" w:lineRule="exact"/>
                    <w:ind w:right="53" w:rightChars="25"/>
                    <w:jc w:val="center"/>
                    <w:rPr>
                      <w:snapToGrid w:val="0"/>
                      <w:color w:val="FF0000"/>
                      <w:kern w:val="0"/>
                      <w:szCs w:val="21"/>
                    </w:rPr>
                  </w:pPr>
                  <w:r>
                    <w:rPr>
                      <w:rFonts w:hint="eastAsia"/>
                      <w:snapToGrid w:val="0"/>
                      <w:color w:val="FF0000"/>
                      <w:kern w:val="0"/>
                      <w:sz w:val="20"/>
                      <w:szCs w:val="21"/>
                    </w:rPr>
                    <w:t>废气经布袋除尘器处理后，</w:t>
                  </w:r>
                  <w:r>
                    <w:rPr>
                      <w:rFonts w:hint="eastAsia"/>
                      <w:color w:val="FF0000"/>
                      <w:sz w:val="20"/>
                      <w:szCs w:val="21"/>
                    </w:rPr>
                    <w:t>由15m排气筒排放</w:t>
                  </w:r>
                </w:p>
              </w:tc>
              <w:tc>
                <w:tcPr>
                  <w:tcW w:w="708" w:type="dxa"/>
                  <w:shd w:val="clear" w:color="auto" w:fill="auto"/>
                  <w:vAlign w:val="center"/>
                </w:tcPr>
                <w:p>
                  <w:pPr>
                    <w:adjustRightInd w:val="0"/>
                    <w:snapToGrid w:val="0"/>
                    <w:spacing w:line="320" w:lineRule="exact"/>
                    <w:ind w:right="53" w:rightChars="25"/>
                    <w:jc w:val="center"/>
                    <w:rPr>
                      <w:snapToGrid w:val="0"/>
                      <w:color w:val="FF0000"/>
                      <w:kern w:val="0"/>
                      <w:szCs w:val="21"/>
                    </w:rPr>
                  </w:pPr>
                  <w:r>
                    <w:rPr>
                      <w:rFonts w:hint="eastAsia"/>
                      <w:snapToGrid w:val="0"/>
                      <w:color w:val="FF0000"/>
                      <w:kern w:val="0"/>
                      <w:szCs w:val="21"/>
                    </w:rPr>
                    <w:t>颗粒物</w:t>
                  </w:r>
                </w:p>
              </w:tc>
              <w:tc>
                <w:tcPr>
                  <w:tcW w:w="1418" w:type="dxa"/>
                  <w:shd w:val="clear" w:color="auto" w:fill="auto"/>
                  <w:vAlign w:val="center"/>
                </w:tcPr>
                <w:p>
                  <w:pPr>
                    <w:adjustRightInd w:val="0"/>
                    <w:snapToGrid w:val="0"/>
                    <w:spacing w:line="320" w:lineRule="exact"/>
                    <w:ind w:right="53" w:rightChars="25"/>
                    <w:jc w:val="center"/>
                    <w:rPr>
                      <w:color w:val="FF0000"/>
                      <w:szCs w:val="21"/>
                    </w:rPr>
                  </w:pPr>
                  <w:r>
                    <w:rPr>
                      <w:rFonts w:hint="eastAsia"/>
                      <w:color w:val="FF0000"/>
                      <w:szCs w:val="21"/>
                    </w:rPr>
                    <w:t>1133</w:t>
                  </w:r>
                  <w:r>
                    <w:rPr>
                      <w:color w:val="FF0000"/>
                      <w:szCs w:val="21"/>
                    </w:rPr>
                    <w:t>mg/m</w:t>
                  </w:r>
                  <w:r>
                    <w:rPr>
                      <w:color w:val="FF0000"/>
                      <w:szCs w:val="21"/>
                      <w:vertAlign w:val="superscript"/>
                    </w:rPr>
                    <w:t>3</w:t>
                  </w:r>
                </w:p>
              </w:tc>
              <w:tc>
                <w:tcPr>
                  <w:tcW w:w="1134" w:type="dxa"/>
                  <w:shd w:val="clear" w:color="auto" w:fill="auto"/>
                  <w:vAlign w:val="center"/>
                </w:tcPr>
                <w:p>
                  <w:pPr>
                    <w:adjustRightInd w:val="0"/>
                    <w:snapToGrid w:val="0"/>
                    <w:spacing w:line="320" w:lineRule="exact"/>
                    <w:ind w:right="53" w:rightChars="25"/>
                    <w:jc w:val="center"/>
                    <w:rPr>
                      <w:snapToGrid w:val="0"/>
                      <w:color w:val="FF0000"/>
                      <w:kern w:val="0"/>
                      <w:szCs w:val="21"/>
                    </w:rPr>
                  </w:pPr>
                  <w:r>
                    <w:rPr>
                      <w:rFonts w:hint="eastAsia"/>
                      <w:snapToGrid w:val="0"/>
                      <w:color w:val="FF0000"/>
                      <w:kern w:val="0"/>
                      <w:szCs w:val="21"/>
                    </w:rPr>
                    <w:t>5.67t/a</w:t>
                  </w:r>
                </w:p>
              </w:tc>
              <w:tc>
                <w:tcPr>
                  <w:tcW w:w="1417" w:type="dxa"/>
                  <w:shd w:val="clear" w:color="auto" w:fill="auto"/>
                  <w:vAlign w:val="center"/>
                </w:tcPr>
                <w:p>
                  <w:pPr>
                    <w:adjustRightInd w:val="0"/>
                    <w:snapToGrid w:val="0"/>
                    <w:spacing w:line="320" w:lineRule="exact"/>
                    <w:ind w:right="53" w:rightChars="25"/>
                    <w:jc w:val="center"/>
                    <w:rPr>
                      <w:color w:val="FF0000"/>
                      <w:szCs w:val="21"/>
                    </w:rPr>
                  </w:pPr>
                  <w:r>
                    <w:rPr>
                      <w:rFonts w:hint="eastAsia"/>
                      <w:color w:val="FF0000"/>
                      <w:szCs w:val="21"/>
                    </w:rPr>
                    <w:t>11.3</w:t>
                  </w:r>
                  <w:r>
                    <w:rPr>
                      <w:color w:val="FF0000"/>
                      <w:szCs w:val="21"/>
                    </w:rPr>
                    <w:t>mg/m</w:t>
                  </w:r>
                  <w:r>
                    <w:rPr>
                      <w:color w:val="FF0000"/>
                      <w:szCs w:val="21"/>
                      <w:vertAlign w:val="superscript"/>
                    </w:rPr>
                    <w:t>3</w:t>
                  </w:r>
                </w:p>
              </w:tc>
              <w:tc>
                <w:tcPr>
                  <w:tcW w:w="1065" w:type="dxa"/>
                  <w:shd w:val="clear" w:color="auto" w:fill="auto"/>
                  <w:vAlign w:val="center"/>
                </w:tcPr>
                <w:p>
                  <w:pPr>
                    <w:adjustRightInd w:val="0"/>
                    <w:snapToGrid w:val="0"/>
                    <w:spacing w:line="320" w:lineRule="exact"/>
                    <w:ind w:right="53" w:rightChars="25"/>
                    <w:jc w:val="center"/>
                    <w:rPr>
                      <w:snapToGrid w:val="0"/>
                      <w:color w:val="FF0000"/>
                      <w:kern w:val="0"/>
                      <w:szCs w:val="21"/>
                    </w:rPr>
                  </w:pPr>
                  <w:r>
                    <w:rPr>
                      <w:rFonts w:hint="eastAsia"/>
                      <w:snapToGrid w:val="0"/>
                      <w:color w:val="FF0000"/>
                      <w:kern w:val="0"/>
                      <w:szCs w:val="21"/>
                    </w:rPr>
                    <w:t>0.034t/a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dxa"/>
                  <w:vMerge w:val="continue"/>
                  <w:vAlign w:val="center"/>
                </w:tcPr>
                <w:p>
                  <w:pPr>
                    <w:pStyle w:val="76"/>
                    <w:rPr>
                      <w:color w:val="7030A0"/>
                      <w:sz w:val="21"/>
                      <w:szCs w:val="21"/>
                      <w:lang w:val="en-US"/>
                    </w:rPr>
                  </w:pPr>
                </w:p>
              </w:tc>
              <w:tc>
                <w:tcPr>
                  <w:tcW w:w="740" w:type="dxa"/>
                  <w:shd w:val="clear" w:color="auto" w:fill="auto"/>
                  <w:vAlign w:val="center"/>
                </w:tcPr>
                <w:p>
                  <w:pPr>
                    <w:pStyle w:val="76"/>
                    <w:rPr>
                      <w:rFonts w:hint="eastAsia"/>
                      <w:color w:val="FF0000"/>
                      <w:sz w:val="21"/>
                      <w:szCs w:val="21"/>
                      <w:lang w:val="en-US"/>
                    </w:rPr>
                  </w:pPr>
                  <w:r>
                    <w:rPr>
                      <w:rFonts w:hint="eastAsia"/>
                      <w:color w:val="FF0000"/>
                      <w:sz w:val="21"/>
                      <w:szCs w:val="21"/>
                      <w:lang w:val="en-US"/>
                    </w:rPr>
                    <w:t>干燥废气</w:t>
                  </w:r>
                </w:p>
              </w:tc>
              <w:tc>
                <w:tcPr>
                  <w:tcW w:w="1134" w:type="dxa"/>
                  <w:vAlign w:val="center"/>
                </w:tcPr>
                <w:p>
                  <w:pPr>
                    <w:adjustRightInd w:val="0"/>
                    <w:snapToGrid w:val="0"/>
                    <w:spacing w:line="320" w:lineRule="exact"/>
                    <w:ind w:right="53" w:rightChars="25"/>
                    <w:jc w:val="center"/>
                    <w:rPr>
                      <w:rFonts w:hint="eastAsia"/>
                      <w:snapToGrid w:val="0"/>
                      <w:color w:val="FF0000"/>
                      <w:kern w:val="0"/>
                      <w:szCs w:val="21"/>
                    </w:rPr>
                  </w:pPr>
                  <w:r>
                    <w:rPr>
                      <w:rFonts w:hint="eastAsia"/>
                      <w:snapToGrid w:val="0"/>
                      <w:color w:val="FF0000"/>
                      <w:kern w:val="0"/>
                      <w:szCs w:val="21"/>
                    </w:rPr>
                    <w:t>干燥排气筒（3#、4#、5#）</w:t>
                  </w:r>
                </w:p>
              </w:tc>
              <w:tc>
                <w:tcPr>
                  <w:tcW w:w="993" w:type="dxa"/>
                  <w:vAlign w:val="center"/>
                </w:tcPr>
                <w:p>
                  <w:pPr>
                    <w:adjustRightInd w:val="0"/>
                    <w:snapToGrid w:val="0"/>
                    <w:spacing w:line="320" w:lineRule="exact"/>
                    <w:ind w:right="53" w:rightChars="25"/>
                    <w:jc w:val="center"/>
                    <w:rPr>
                      <w:rFonts w:hint="eastAsia"/>
                      <w:snapToGrid w:val="0"/>
                      <w:color w:val="FF0000"/>
                      <w:kern w:val="0"/>
                      <w:sz w:val="20"/>
                      <w:szCs w:val="21"/>
                    </w:rPr>
                  </w:pPr>
                  <w:r>
                    <w:rPr>
                      <w:rFonts w:hint="eastAsia"/>
                      <w:snapToGrid w:val="0"/>
                      <w:color w:val="FF0000"/>
                      <w:kern w:val="0"/>
                      <w:sz w:val="20"/>
                      <w:szCs w:val="21"/>
                    </w:rPr>
                    <w:t>废气</w:t>
                  </w:r>
                  <w:r>
                    <w:rPr>
                      <w:rFonts w:hint="eastAsia"/>
                      <w:color w:val="FF0000"/>
                      <w:sz w:val="20"/>
                      <w:szCs w:val="21"/>
                    </w:rPr>
                    <w:t>由15m排气筒排放</w:t>
                  </w:r>
                </w:p>
              </w:tc>
              <w:tc>
                <w:tcPr>
                  <w:tcW w:w="708" w:type="dxa"/>
                  <w:shd w:val="clear" w:color="auto" w:fill="auto"/>
                  <w:vAlign w:val="center"/>
                </w:tcPr>
                <w:p>
                  <w:pPr>
                    <w:adjustRightInd w:val="0"/>
                    <w:snapToGrid w:val="0"/>
                    <w:spacing w:line="320" w:lineRule="exact"/>
                    <w:ind w:right="53" w:rightChars="25"/>
                    <w:jc w:val="center"/>
                    <w:rPr>
                      <w:rFonts w:hint="eastAsia"/>
                      <w:snapToGrid w:val="0"/>
                      <w:color w:val="FF0000"/>
                      <w:kern w:val="0"/>
                      <w:szCs w:val="21"/>
                    </w:rPr>
                  </w:pPr>
                  <w:r>
                    <w:rPr>
                      <w:rFonts w:hint="eastAsia"/>
                      <w:snapToGrid w:val="0"/>
                      <w:color w:val="FF0000"/>
                      <w:kern w:val="0"/>
                      <w:szCs w:val="21"/>
                    </w:rPr>
                    <w:t>/</w:t>
                  </w:r>
                </w:p>
              </w:tc>
              <w:tc>
                <w:tcPr>
                  <w:tcW w:w="1418" w:type="dxa"/>
                  <w:shd w:val="clear" w:color="auto" w:fill="auto"/>
                  <w:vAlign w:val="center"/>
                </w:tcPr>
                <w:p>
                  <w:pPr>
                    <w:adjustRightInd w:val="0"/>
                    <w:snapToGrid w:val="0"/>
                    <w:spacing w:line="320" w:lineRule="exact"/>
                    <w:ind w:right="53" w:rightChars="25"/>
                    <w:jc w:val="center"/>
                    <w:rPr>
                      <w:rFonts w:hint="eastAsia"/>
                      <w:color w:val="FF0000"/>
                      <w:szCs w:val="21"/>
                    </w:rPr>
                  </w:pPr>
                  <w:r>
                    <w:rPr>
                      <w:rFonts w:hint="eastAsia"/>
                      <w:color w:val="FF0000"/>
                      <w:szCs w:val="21"/>
                    </w:rPr>
                    <w:t>/</w:t>
                  </w:r>
                </w:p>
              </w:tc>
              <w:tc>
                <w:tcPr>
                  <w:tcW w:w="1134" w:type="dxa"/>
                  <w:shd w:val="clear" w:color="auto" w:fill="auto"/>
                  <w:vAlign w:val="center"/>
                </w:tcPr>
                <w:p>
                  <w:pPr>
                    <w:adjustRightInd w:val="0"/>
                    <w:snapToGrid w:val="0"/>
                    <w:spacing w:line="320" w:lineRule="exact"/>
                    <w:ind w:right="53" w:rightChars="25"/>
                    <w:jc w:val="center"/>
                    <w:rPr>
                      <w:rFonts w:hint="eastAsia"/>
                      <w:snapToGrid w:val="0"/>
                      <w:color w:val="FF0000"/>
                      <w:kern w:val="0"/>
                      <w:szCs w:val="21"/>
                    </w:rPr>
                  </w:pPr>
                  <w:r>
                    <w:rPr>
                      <w:rFonts w:hint="eastAsia"/>
                      <w:snapToGrid w:val="0"/>
                      <w:color w:val="FF0000"/>
                      <w:kern w:val="0"/>
                      <w:szCs w:val="21"/>
                    </w:rPr>
                    <w:t>/</w:t>
                  </w:r>
                </w:p>
              </w:tc>
              <w:tc>
                <w:tcPr>
                  <w:tcW w:w="1417" w:type="dxa"/>
                  <w:shd w:val="clear" w:color="auto" w:fill="auto"/>
                  <w:vAlign w:val="center"/>
                </w:tcPr>
                <w:p>
                  <w:pPr>
                    <w:adjustRightInd w:val="0"/>
                    <w:snapToGrid w:val="0"/>
                    <w:spacing w:line="320" w:lineRule="exact"/>
                    <w:ind w:right="53" w:rightChars="25"/>
                    <w:jc w:val="center"/>
                    <w:rPr>
                      <w:rFonts w:hint="eastAsia"/>
                      <w:color w:val="FF0000"/>
                      <w:szCs w:val="21"/>
                    </w:rPr>
                  </w:pPr>
                  <w:r>
                    <w:rPr>
                      <w:rFonts w:hint="eastAsia"/>
                      <w:color w:val="FF0000"/>
                      <w:szCs w:val="21"/>
                    </w:rPr>
                    <w:t>/</w:t>
                  </w:r>
                </w:p>
              </w:tc>
              <w:tc>
                <w:tcPr>
                  <w:tcW w:w="1065" w:type="dxa"/>
                  <w:shd w:val="clear" w:color="auto" w:fill="auto"/>
                  <w:vAlign w:val="center"/>
                </w:tcPr>
                <w:p>
                  <w:pPr>
                    <w:adjustRightInd w:val="0"/>
                    <w:snapToGrid w:val="0"/>
                    <w:spacing w:line="320" w:lineRule="exact"/>
                    <w:ind w:right="53" w:rightChars="25"/>
                    <w:jc w:val="center"/>
                    <w:rPr>
                      <w:rFonts w:hint="eastAsia"/>
                      <w:snapToGrid w:val="0"/>
                      <w:color w:val="FF0000"/>
                      <w:kern w:val="0"/>
                      <w:szCs w:val="21"/>
                    </w:rPr>
                  </w:pPr>
                  <w:r>
                    <w:rPr>
                      <w:rFonts w:hint="eastAsia"/>
                      <w:snapToGrid w:val="0"/>
                      <w:color w:val="FF0000"/>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dxa"/>
                  <w:vMerge w:val="restart"/>
                  <w:vAlign w:val="center"/>
                </w:tcPr>
                <w:p>
                  <w:pPr>
                    <w:pStyle w:val="76"/>
                    <w:rPr>
                      <w:color w:val="7030A0"/>
                      <w:sz w:val="21"/>
                      <w:szCs w:val="21"/>
                      <w:lang w:val="en-US"/>
                    </w:rPr>
                  </w:pPr>
                  <w:r>
                    <w:rPr>
                      <w:rFonts w:hint="eastAsia"/>
                      <w:color w:val="7030A0"/>
                      <w:sz w:val="21"/>
                      <w:szCs w:val="21"/>
                      <w:lang w:val="en-US"/>
                    </w:rPr>
                    <w:t>无组织排放</w:t>
                  </w:r>
                </w:p>
              </w:tc>
              <w:tc>
                <w:tcPr>
                  <w:tcW w:w="740" w:type="dxa"/>
                  <w:shd w:val="clear" w:color="auto" w:fill="auto"/>
                  <w:vAlign w:val="center"/>
                </w:tcPr>
                <w:p>
                  <w:pPr>
                    <w:pStyle w:val="76"/>
                    <w:rPr>
                      <w:color w:val="7030A0"/>
                      <w:sz w:val="21"/>
                      <w:szCs w:val="21"/>
                      <w:lang w:val="en-US"/>
                    </w:rPr>
                  </w:pPr>
                  <w:r>
                    <w:rPr>
                      <w:rFonts w:hint="eastAsia"/>
                      <w:color w:val="7030A0"/>
                      <w:sz w:val="21"/>
                      <w:szCs w:val="21"/>
                      <w:lang w:val="en-US"/>
                    </w:rPr>
                    <w:t>粘土开采扬尘</w:t>
                  </w:r>
                </w:p>
              </w:tc>
              <w:tc>
                <w:tcPr>
                  <w:tcW w:w="1134" w:type="dxa"/>
                  <w:vAlign w:val="center"/>
                </w:tcPr>
                <w:p>
                  <w:pPr>
                    <w:pStyle w:val="76"/>
                    <w:rPr>
                      <w:color w:val="7030A0"/>
                      <w:sz w:val="21"/>
                      <w:szCs w:val="21"/>
                      <w:lang w:val="en-US"/>
                    </w:rPr>
                  </w:pPr>
                  <w:r>
                    <w:rPr>
                      <w:rFonts w:hint="eastAsia"/>
                      <w:color w:val="7030A0"/>
                      <w:sz w:val="21"/>
                      <w:szCs w:val="21"/>
                      <w:lang w:val="en-US"/>
                    </w:rPr>
                    <w:t>取土场</w:t>
                  </w:r>
                </w:p>
              </w:tc>
              <w:tc>
                <w:tcPr>
                  <w:tcW w:w="993" w:type="dxa"/>
                  <w:vAlign w:val="center"/>
                </w:tcPr>
                <w:p>
                  <w:pPr>
                    <w:pStyle w:val="76"/>
                    <w:rPr>
                      <w:color w:val="00B050"/>
                      <w:sz w:val="21"/>
                      <w:szCs w:val="21"/>
                      <w:lang w:val="en-US"/>
                    </w:rPr>
                  </w:pPr>
                  <w:r>
                    <w:rPr>
                      <w:rFonts w:hint="eastAsia"/>
                      <w:color w:val="00B050"/>
                      <w:sz w:val="21"/>
                      <w:szCs w:val="21"/>
                      <w:lang w:val="en-US"/>
                    </w:rPr>
                    <w:t>洒水车洒水降尘</w:t>
                  </w:r>
                </w:p>
              </w:tc>
              <w:tc>
                <w:tcPr>
                  <w:tcW w:w="708" w:type="dxa"/>
                  <w:shd w:val="clear" w:color="auto" w:fill="auto"/>
                  <w:vAlign w:val="center"/>
                </w:tcPr>
                <w:p>
                  <w:pPr>
                    <w:pStyle w:val="76"/>
                    <w:rPr>
                      <w:color w:val="7030A0"/>
                      <w:sz w:val="21"/>
                      <w:szCs w:val="21"/>
                      <w:lang w:val="en-US"/>
                    </w:rPr>
                  </w:pPr>
                  <w:r>
                    <w:rPr>
                      <w:rFonts w:hint="eastAsia"/>
                      <w:color w:val="7030A0"/>
                      <w:sz w:val="21"/>
                      <w:szCs w:val="21"/>
                      <w:lang w:val="en-US"/>
                    </w:rPr>
                    <w:t>TSP</w:t>
                  </w:r>
                </w:p>
              </w:tc>
              <w:tc>
                <w:tcPr>
                  <w:tcW w:w="1418" w:type="dxa"/>
                  <w:shd w:val="clear" w:color="auto" w:fill="auto"/>
                  <w:vAlign w:val="center"/>
                </w:tcPr>
                <w:p>
                  <w:pPr>
                    <w:pStyle w:val="76"/>
                    <w:rPr>
                      <w:color w:val="7030A0"/>
                      <w:sz w:val="21"/>
                      <w:szCs w:val="21"/>
                      <w:lang w:val="en-US"/>
                    </w:rPr>
                  </w:pPr>
                  <w:r>
                    <w:rPr>
                      <w:rFonts w:hint="eastAsia"/>
                      <w:color w:val="7030A0"/>
                      <w:sz w:val="21"/>
                      <w:szCs w:val="21"/>
                      <w:lang w:val="en-US"/>
                    </w:rPr>
                    <w:t>/</w:t>
                  </w:r>
                </w:p>
              </w:tc>
              <w:tc>
                <w:tcPr>
                  <w:tcW w:w="1134" w:type="dxa"/>
                  <w:shd w:val="clear" w:color="auto" w:fill="auto"/>
                  <w:vAlign w:val="center"/>
                </w:tcPr>
                <w:p>
                  <w:pPr>
                    <w:pStyle w:val="76"/>
                    <w:rPr>
                      <w:color w:val="7030A0"/>
                      <w:sz w:val="21"/>
                      <w:szCs w:val="21"/>
                      <w:lang w:val="en-US"/>
                    </w:rPr>
                  </w:pPr>
                  <w:r>
                    <w:rPr>
                      <w:rFonts w:hint="eastAsia"/>
                      <w:color w:val="7030A0"/>
                      <w:sz w:val="21"/>
                      <w:szCs w:val="21"/>
                      <w:lang w:val="en-US"/>
                    </w:rPr>
                    <w:t>0.47</w:t>
                  </w:r>
                  <w:r>
                    <w:rPr>
                      <w:rFonts w:hint="eastAsia"/>
                      <w:snapToGrid w:val="0"/>
                      <w:color w:val="7030A0"/>
                      <w:sz w:val="21"/>
                      <w:szCs w:val="21"/>
                      <w:lang w:val="en-US"/>
                    </w:rPr>
                    <w:t>t/a</w:t>
                  </w:r>
                </w:p>
              </w:tc>
              <w:tc>
                <w:tcPr>
                  <w:tcW w:w="1417" w:type="dxa"/>
                  <w:shd w:val="clear" w:color="auto" w:fill="auto"/>
                  <w:vAlign w:val="center"/>
                </w:tcPr>
                <w:p>
                  <w:pPr>
                    <w:pStyle w:val="76"/>
                    <w:rPr>
                      <w:color w:val="7030A0"/>
                      <w:sz w:val="21"/>
                      <w:szCs w:val="21"/>
                      <w:lang w:val="en-US"/>
                    </w:rPr>
                  </w:pPr>
                  <w:r>
                    <w:rPr>
                      <w:rFonts w:hint="eastAsia"/>
                      <w:color w:val="7030A0"/>
                      <w:sz w:val="21"/>
                      <w:szCs w:val="21"/>
                      <w:lang w:val="en-US"/>
                    </w:rPr>
                    <w:t>/</w:t>
                  </w:r>
                </w:p>
              </w:tc>
              <w:tc>
                <w:tcPr>
                  <w:tcW w:w="1065" w:type="dxa"/>
                  <w:shd w:val="clear" w:color="auto" w:fill="auto"/>
                  <w:vAlign w:val="center"/>
                </w:tcPr>
                <w:p>
                  <w:pPr>
                    <w:pStyle w:val="76"/>
                    <w:rPr>
                      <w:color w:val="7030A0"/>
                      <w:sz w:val="21"/>
                      <w:szCs w:val="21"/>
                      <w:lang w:val="en-US"/>
                    </w:rPr>
                  </w:pPr>
                  <w:r>
                    <w:rPr>
                      <w:rFonts w:hint="eastAsia"/>
                      <w:color w:val="7030A0"/>
                      <w:sz w:val="21"/>
                      <w:szCs w:val="21"/>
                      <w:lang w:val="en-US"/>
                    </w:rPr>
                    <w:t>0.19</w:t>
                  </w:r>
                  <w:r>
                    <w:rPr>
                      <w:rFonts w:hint="eastAsia"/>
                      <w:snapToGrid w:val="0"/>
                      <w:color w:val="7030A0"/>
                      <w:sz w:val="21"/>
                      <w:szCs w:val="21"/>
                      <w:lang w:val="en-US"/>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dxa"/>
                  <w:vMerge w:val="continue"/>
                  <w:vAlign w:val="center"/>
                </w:tcPr>
                <w:p>
                  <w:pPr>
                    <w:pStyle w:val="76"/>
                    <w:rPr>
                      <w:color w:val="7030A0"/>
                      <w:sz w:val="21"/>
                      <w:szCs w:val="21"/>
                      <w:lang w:val="en-US"/>
                    </w:rPr>
                  </w:pPr>
                </w:p>
              </w:tc>
              <w:tc>
                <w:tcPr>
                  <w:tcW w:w="740" w:type="dxa"/>
                  <w:shd w:val="clear" w:color="auto" w:fill="auto"/>
                  <w:vAlign w:val="center"/>
                </w:tcPr>
                <w:p>
                  <w:pPr>
                    <w:pStyle w:val="76"/>
                    <w:rPr>
                      <w:color w:val="7030A0"/>
                      <w:sz w:val="21"/>
                      <w:szCs w:val="21"/>
                      <w:lang w:val="en-US"/>
                    </w:rPr>
                  </w:pPr>
                  <w:r>
                    <w:rPr>
                      <w:rFonts w:hint="eastAsia"/>
                      <w:color w:val="7030A0"/>
                      <w:sz w:val="21"/>
                      <w:szCs w:val="21"/>
                      <w:lang w:val="en-US"/>
                    </w:rPr>
                    <w:t>物料装卸作业扬尘</w:t>
                  </w:r>
                </w:p>
              </w:tc>
              <w:tc>
                <w:tcPr>
                  <w:tcW w:w="1134" w:type="dxa"/>
                  <w:vAlign w:val="center"/>
                </w:tcPr>
                <w:p>
                  <w:pPr>
                    <w:pStyle w:val="76"/>
                    <w:rPr>
                      <w:color w:val="7030A0"/>
                      <w:sz w:val="21"/>
                      <w:szCs w:val="21"/>
                      <w:lang w:val="en-US"/>
                    </w:rPr>
                  </w:pPr>
                  <w:r>
                    <w:rPr>
                      <w:rFonts w:hint="eastAsia"/>
                      <w:color w:val="7030A0"/>
                      <w:sz w:val="21"/>
                      <w:szCs w:val="21"/>
                      <w:lang w:val="en-US"/>
                    </w:rPr>
                    <w:t>原料堆场</w:t>
                  </w:r>
                </w:p>
              </w:tc>
              <w:tc>
                <w:tcPr>
                  <w:tcW w:w="993" w:type="dxa"/>
                  <w:vAlign w:val="center"/>
                </w:tcPr>
                <w:p>
                  <w:pPr>
                    <w:pStyle w:val="76"/>
                    <w:rPr>
                      <w:color w:val="00B050"/>
                      <w:sz w:val="21"/>
                      <w:szCs w:val="21"/>
                      <w:lang w:val="en-US"/>
                    </w:rPr>
                  </w:pPr>
                  <w:r>
                    <w:rPr>
                      <w:rFonts w:hint="eastAsia"/>
                      <w:color w:val="00B050"/>
                      <w:sz w:val="21"/>
                      <w:szCs w:val="21"/>
                      <w:lang w:val="en-US"/>
                    </w:rPr>
                    <w:t>封闭生产车间，车间门设置软门帘，喷雾降尘</w:t>
                  </w:r>
                </w:p>
              </w:tc>
              <w:tc>
                <w:tcPr>
                  <w:tcW w:w="708" w:type="dxa"/>
                  <w:shd w:val="clear" w:color="auto" w:fill="auto"/>
                  <w:vAlign w:val="center"/>
                </w:tcPr>
                <w:p>
                  <w:pPr>
                    <w:pStyle w:val="76"/>
                    <w:rPr>
                      <w:color w:val="7030A0"/>
                      <w:sz w:val="21"/>
                      <w:szCs w:val="21"/>
                      <w:lang w:val="en-US"/>
                    </w:rPr>
                  </w:pPr>
                  <w:r>
                    <w:rPr>
                      <w:rFonts w:hint="eastAsia"/>
                      <w:color w:val="7030A0"/>
                      <w:sz w:val="21"/>
                      <w:szCs w:val="21"/>
                      <w:lang w:val="en-US"/>
                    </w:rPr>
                    <w:t>TSP</w:t>
                  </w:r>
                </w:p>
              </w:tc>
              <w:tc>
                <w:tcPr>
                  <w:tcW w:w="1418" w:type="dxa"/>
                  <w:shd w:val="clear" w:color="auto" w:fill="auto"/>
                  <w:vAlign w:val="center"/>
                </w:tcPr>
                <w:p>
                  <w:pPr>
                    <w:pStyle w:val="76"/>
                    <w:rPr>
                      <w:color w:val="7030A0"/>
                      <w:sz w:val="21"/>
                      <w:szCs w:val="21"/>
                      <w:lang w:val="en-US"/>
                    </w:rPr>
                  </w:pPr>
                  <w:r>
                    <w:rPr>
                      <w:rFonts w:hint="eastAsia"/>
                      <w:color w:val="7030A0"/>
                      <w:sz w:val="21"/>
                      <w:szCs w:val="21"/>
                      <w:lang w:val="en-US"/>
                    </w:rPr>
                    <w:t>/</w:t>
                  </w:r>
                </w:p>
              </w:tc>
              <w:tc>
                <w:tcPr>
                  <w:tcW w:w="1134" w:type="dxa"/>
                  <w:shd w:val="clear" w:color="auto" w:fill="auto"/>
                  <w:vAlign w:val="center"/>
                </w:tcPr>
                <w:p>
                  <w:pPr>
                    <w:pStyle w:val="76"/>
                    <w:rPr>
                      <w:color w:val="7030A0"/>
                      <w:sz w:val="21"/>
                      <w:szCs w:val="21"/>
                      <w:lang w:val="en-US"/>
                    </w:rPr>
                  </w:pPr>
                  <w:r>
                    <w:rPr>
                      <w:rFonts w:hint="eastAsia"/>
                      <w:color w:val="7030A0"/>
                      <w:sz w:val="21"/>
                      <w:szCs w:val="21"/>
                      <w:lang w:val="en-US"/>
                    </w:rPr>
                    <w:t>31.1kg</w:t>
                  </w:r>
                  <w:r>
                    <w:rPr>
                      <w:rFonts w:hint="eastAsia"/>
                      <w:snapToGrid w:val="0"/>
                      <w:color w:val="7030A0"/>
                      <w:sz w:val="21"/>
                      <w:szCs w:val="21"/>
                      <w:lang w:val="en-US"/>
                    </w:rPr>
                    <w:t>/a</w:t>
                  </w:r>
                </w:p>
              </w:tc>
              <w:tc>
                <w:tcPr>
                  <w:tcW w:w="1417" w:type="dxa"/>
                  <w:shd w:val="clear" w:color="auto" w:fill="auto"/>
                  <w:vAlign w:val="center"/>
                </w:tcPr>
                <w:p>
                  <w:pPr>
                    <w:pStyle w:val="76"/>
                    <w:rPr>
                      <w:color w:val="7030A0"/>
                      <w:sz w:val="21"/>
                      <w:szCs w:val="21"/>
                      <w:lang w:val="en-US"/>
                    </w:rPr>
                  </w:pPr>
                  <w:r>
                    <w:rPr>
                      <w:rFonts w:hint="eastAsia"/>
                      <w:color w:val="7030A0"/>
                      <w:sz w:val="21"/>
                      <w:szCs w:val="21"/>
                      <w:lang w:val="en-US"/>
                    </w:rPr>
                    <w:t>/</w:t>
                  </w:r>
                </w:p>
              </w:tc>
              <w:tc>
                <w:tcPr>
                  <w:tcW w:w="1065" w:type="dxa"/>
                  <w:shd w:val="clear" w:color="auto" w:fill="auto"/>
                  <w:vAlign w:val="center"/>
                </w:tcPr>
                <w:p>
                  <w:pPr>
                    <w:pStyle w:val="76"/>
                    <w:rPr>
                      <w:color w:val="7030A0"/>
                      <w:sz w:val="21"/>
                      <w:szCs w:val="21"/>
                      <w:lang w:val="en-US"/>
                    </w:rPr>
                  </w:pPr>
                  <w:r>
                    <w:rPr>
                      <w:rFonts w:hint="eastAsia"/>
                      <w:color w:val="7030A0"/>
                      <w:sz w:val="21"/>
                      <w:szCs w:val="21"/>
                      <w:lang w:val="en-US"/>
                    </w:rPr>
                    <w:t>31.1kg</w:t>
                  </w:r>
                  <w:r>
                    <w:rPr>
                      <w:rFonts w:hint="eastAsia"/>
                      <w:snapToGrid w:val="0"/>
                      <w:color w:val="7030A0"/>
                      <w:sz w:val="21"/>
                      <w:szCs w:val="21"/>
                      <w:lang w:val="en-US"/>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319" w:type="dxa"/>
                  <w:vMerge w:val="continue"/>
                  <w:vAlign w:val="center"/>
                </w:tcPr>
                <w:p>
                  <w:pPr>
                    <w:pStyle w:val="76"/>
                    <w:rPr>
                      <w:color w:val="7030A0"/>
                      <w:sz w:val="21"/>
                      <w:szCs w:val="21"/>
                      <w:lang w:val="en-US"/>
                    </w:rPr>
                  </w:pPr>
                </w:p>
              </w:tc>
              <w:tc>
                <w:tcPr>
                  <w:tcW w:w="740" w:type="dxa"/>
                  <w:shd w:val="clear" w:color="auto" w:fill="auto"/>
                  <w:vAlign w:val="center"/>
                </w:tcPr>
                <w:p>
                  <w:pPr>
                    <w:pStyle w:val="76"/>
                    <w:rPr>
                      <w:color w:val="7030A0"/>
                      <w:sz w:val="21"/>
                      <w:szCs w:val="21"/>
                      <w:lang w:val="en-US"/>
                    </w:rPr>
                  </w:pPr>
                  <w:r>
                    <w:rPr>
                      <w:bCs/>
                      <w:color w:val="7030A0"/>
                      <w:sz w:val="21"/>
                      <w:szCs w:val="21"/>
                      <w:lang w:val="en-US"/>
                    </w:rPr>
                    <w:t>运输</w:t>
                  </w:r>
                  <w:r>
                    <w:rPr>
                      <w:rFonts w:hint="eastAsia"/>
                      <w:bCs/>
                      <w:color w:val="7030A0"/>
                      <w:sz w:val="21"/>
                      <w:szCs w:val="21"/>
                      <w:lang w:val="en-US"/>
                    </w:rPr>
                    <w:t>车辆</w:t>
                  </w:r>
                  <w:r>
                    <w:rPr>
                      <w:bCs/>
                      <w:color w:val="7030A0"/>
                      <w:sz w:val="21"/>
                      <w:szCs w:val="21"/>
                      <w:lang w:val="en-US"/>
                    </w:rPr>
                    <w:t>扬尘</w:t>
                  </w:r>
                </w:p>
              </w:tc>
              <w:tc>
                <w:tcPr>
                  <w:tcW w:w="1134" w:type="dxa"/>
                  <w:vAlign w:val="center"/>
                </w:tcPr>
                <w:p>
                  <w:pPr>
                    <w:pStyle w:val="76"/>
                    <w:rPr>
                      <w:color w:val="7030A0"/>
                      <w:sz w:val="21"/>
                      <w:szCs w:val="21"/>
                      <w:lang w:val="en-US"/>
                    </w:rPr>
                  </w:pPr>
                  <w:r>
                    <w:rPr>
                      <w:rFonts w:hint="eastAsia"/>
                      <w:color w:val="7030A0"/>
                      <w:sz w:val="21"/>
                      <w:szCs w:val="21"/>
                      <w:lang w:val="en-US"/>
                    </w:rPr>
                    <w:t>运输道路</w:t>
                  </w:r>
                </w:p>
              </w:tc>
              <w:tc>
                <w:tcPr>
                  <w:tcW w:w="993" w:type="dxa"/>
                  <w:vAlign w:val="center"/>
                </w:tcPr>
                <w:p>
                  <w:pPr>
                    <w:pStyle w:val="76"/>
                    <w:rPr>
                      <w:color w:val="00B050"/>
                      <w:sz w:val="21"/>
                      <w:szCs w:val="21"/>
                      <w:lang w:val="en-US"/>
                    </w:rPr>
                  </w:pPr>
                  <w:r>
                    <w:rPr>
                      <w:rFonts w:hint="eastAsia"/>
                      <w:color w:val="00B050"/>
                      <w:sz w:val="21"/>
                      <w:szCs w:val="21"/>
                      <w:lang w:val="en-US"/>
                    </w:rPr>
                    <w:t>洒水降尘</w:t>
                  </w:r>
                </w:p>
              </w:tc>
              <w:tc>
                <w:tcPr>
                  <w:tcW w:w="708" w:type="dxa"/>
                  <w:shd w:val="clear" w:color="auto" w:fill="auto"/>
                  <w:vAlign w:val="center"/>
                </w:tcPr>
                <w:p>
                  <w:pPr>
                    <w:pStyle w:val="76"/>
                    <w:rPr>
                      <w:color w:val="7030A0"/>
                      <w:sz w:val="21"/>
                      <w:szCs w:val="21"/>
                      <w:lang w:val="en-US"/>
                    </w:rPr>
                  </w:pPr>
                  <w:r>
                    <w:rPr>
                      <w:rFonts w:hint="eastAsia"/>
                      <w:color w:val="7030A0"/>
                      <w:sz w:val="21"/>
                      <w:szCs w:val="21"/>
                      <w:lang w:val="en-US"/>
                    </w:rPr>
                    <w:t>TSP</w:t>
                  </w:r>
                </w:p>
              </w:tc>
              <w:tc>
                <w:tcPr>
                  <w:tcW w:w="1418" w:type="dxa"/>
                  <w:shd w:val="clear" w:color="auto" w:fill="auto"/>
                  <w:vAlign w:val="center"/>
                </w:tcPr>
                <w:p>
                  <w:pPr>
                    <w:pStyle w:val="76"/>
                    <w:rPr>
                      <w:color w:val="7030A0"/>
                      <w:sz w:val="21"/>
                      <w:szCs w:val="21"/>
                      <w:lang w:val="en-US"/>
                    </w:rPr>
                  </w:pPr>
                  <w:r>
                    <w:rPr>
                      <w:rFonts w:hint="eastAsia"/>
                      <w:color w:val="7030A0"/>
                      <w:sz w:val="21"/>
                      <w:szCs w:val="21"/>
                      <w:lang w:val="en-US"/>
                    </w:rPr>
                    <w:t>/</w:t>
                  </w:r>
                </w:p>
              </w:tc>
              <w:tc>
                <w:tcPr>
                  <w:tcW w:w="1134" w:type="dxa"/>
                  <w:shd w:val="clear" w:color="auto" w:fill="auto"/>
                  <w:vAlign w:val="center"/>
                </w:tcPr>
                <w:p>
                  <w:pPr>
                    <w:pStyle w:val="76"/>
                    <w:rPr>
                      <w:color w:val="7030A0"/>
                      <w:sz w:val="21"/>
                      <w:szCs w:val="21"/>
                      <w:lang w:val="en-US"/>
                    </w:rPr>
                  </w:pPr>
                  <w:r>
                    <w:rPr>
                      <w:rFonts w:hint="eastAsia"/>
                      <w:color w:val="7030A0"/>
                      <w:sz w:val="21"/>
                      <w:szCs w:val="21"/>
                      <w:lang w:val="en-US"/>
                    </w:rPr>
                    <w:t>1.48</w:t>
                  </w:r>
                  <w:r>
                    <w:rPr>
                      <w:rFonts w:hint="eastAsia"/>
                      <w:snapToGrid w:val="0"/>
                      <w:color w:val="7030A0"/>
                      <w:sz w:val="21"/>
                      <w:szCs w:val="21"/>
                      <w:lang w:val="en-US"/>
                    </w:rPr>
                    <w:t>t/a</w:t>
                  </w:r>
                </w:p>
              </w:tc>
              <w:tc>
                <w:tcPr>
                  <w:tcW w:w="1417" w:type="dxa"/>
                  <w:shd w:val="clear" w:color="auto" w:fill="auto"/>
                  <w:vAlign w:val="center"/>
                </w:tcPr>
                <w:p>
                  <w:pPr>
                    <w:pStyle w:val="76"/>
                    <w:rPr>
                      <w:color w:val="7030A0"/>
                      <w:sz w:val="21"/>
                      <w:szCs w:val="21"/>
                      <w:lang w:val="en-US"/>
                    </w:rPr>
                  </w:pPr>
                  <w:r>
                    <w:rPr>
                      <w:rFonts w:hint="eastAsia"/>
                      <w:color w:val="7030A0"/>
                      <w:sz w:val="21"/>
                      <w:szCs w:val="21"/>
                      <w:lang w:val="en-US"/>
                    </w:rPr>
                    <w:t>/</w:t>
                  </w:r>
                </w:p>
              </w:tc>
              <w:tc>
                <w:tcPr>
                  <w:tcW w:w="1065" w:type="dxa"/>
                  <w:shd w:val="clear" w:color="auto" w:fill="auto"/>
                  <w:vAlign w:val="center"/>
                </w:tcPr>
                <w:p>
                  <w:pPr>
                    <w:pStyle w:val="76"/>
                    <w:rPr>
                      <w:color w:val="7030A0"/>
                      <w:sz w:val="21"/>
                      <w:szCs w:val="21"/>
                      <w:lang w:val="en-US"/>
                    </w:rPr>
                  </w:pPr>
                  <w:r>
                    <w:rPr>
                      <w:rFonts w:hint="eastAsia"/>
                      <w:color w:val="7030A0"/>
                      <w:sz w:val="21"/>
                      <w:szCs w:val="21"/>
                      <w:lang w:val="en-US"/>
                    </w:rPr>
                    <w:t>1.48</w:t>
                  </w:r>
                  <w:r>
                    <w:rPr>
                      <w:rFonts w:hint="eastAsia"/>
                      <w:snapToGrid w:val="0"/>
                      <w:color w:val="7030A0"/>
                      <w:sz w:val="21"/>
                      <w:szCs w:val="21"/>
                      <w:lang w:val="en-US"/>
                    </w:rPr>
                    <w:t>t/a</w:t>
                  </w:r>
                </w:p>
              </w:tc>
            </w:tr>
          </w:tbl>
          <w:p>
            <w:pPr>
              <w:spacing w:line="360" w:lineRule="auto"/>
              <w:ind w:firstLine="480" w:firstLineChars="200"/>
              <w:rPr>
                <w:sz w:val="24"/>
              </w:rPr>
            </w:pPr>
            <w:r>
              <w:rPr>
                <w:sz w:val="24"/>
              </w:rPr>
              <w:t>2、废水</w:t>
            </w:r>
          </w:p>
          <w:p>
            <w:pPr>
              <w:spacing w:line="360" w:lineRule="auto"/>
              <w:ind w:firstLine="480" w:firstLineChars="200"/>
              <w:rPr>
                <w:sz w:val="24"/>
              </w:rPr>
            </w:pPr>
            <w:r>
              <w:rPr>
                <w:rFonts w:hint="eastAsia"/>
                <w:sz w:val="24"/>
              </w:rPr>
              <w:t>项目搅拌用水</w:t>
            </w:r>
            <w:r>
              <w:rPr>
                <w:rFonts w:hAnsi="宋体"/>
                <w:sz w:val="24"/>
              </w:rPr>
              <w:t>经干燥焙烧后，以蒸汽的形式蒸发掉，不外排</w:t>
            </w:r>
            <w:r>
              <w:rPr>
                <w:rFonts w:hint="eastAsia" w:hAnsi="宋体"/>
                <w:sz w:val="24"/>
              </w:rPr>
              <w:t>；</w:t>
            </w:r>
            <w:r>
              <w:rPr>
                <w:rFonts w:hint="eastAsia"/>
                <w:sz w:val="24"/>
              </w:rPr>
              <w:t>取土区洒水、绿化洒水及道路洒水，</w:t>
            </w:r>
            <w:r>
              <w:rPr>
                <w:rFonts w:hAnsi="宋体"/>
                <w:sz w:val="24"/>
              </w:rPr>
              <w:t>以蒸汽的形式蒸发掉，不外排</w:t>
            </w:r>
            <w:r>
              <w:rPr>
                <w:rFonts w:hint="eastAsia" w:hAnsi="宋体"/>
                <w:sz w:val="24"/>
              </w:rPr>
              <w:t>；生活污水经化粪池储存后定期清掏，</w:t>
            </w:r>
            <w:r>
              <w:rPr>
                <w:sz w:val="24"/>
              </w:rPr>
              <w:t>运营期所有</w:t>
            </w:r>
            <w:r>
              <w:rPr>
                <w:rFonts w:hint="eastAsia"/>
                <w:sz w:val="24"/>
              </w:rPr>
              <w:t>废水</w:t>
            </w:r>
            <w:r>
              <w:rPr>
                <w:sz w:val="24"/>
              </w:rPr>
              <w:t>均损耗，不外排。</w:t>
            </w:r>
          </w:p>
          <w:p>
            <w:pPr>
              <w:autoSpaceDE w:val="0"/>
              <w:autoSpaceDN w:val="0"/>
              <w:adjustRightInd w:val="0"/>
              <w:spacing w:line="460" w:lineRule="exact"/>
              <w:ind w:firstLine="480" w:firstLineChars="200"/>
              <w:rPr>
                <w:sz w:val="24"/>
                <w:lang w:val="zh-CN"/>
              </w:rPr>
            </w:pPr>
            <w:r>
              <w:rPr>
                <w:rFonts w:hint="eastAsia"/>
                <w:sz w:val="24"/>
              </w:rPr>
              <w:t>生活污水产生量约为7</w:t>
            </w:r>
            <w:r>
              <w:rPr>
                <w:sz w:val="24"/>
              </w:rPr>
              <w:t>m</w:t>
            </w:r>
            <w:r>
              <w:rPr>
                <w:sz w:val="24"/>
                <w:vertAlign w:val="superscript"/>
              </w:rPr>
              <w:t>3</w:t>
            </w:r>
            <w:r>
              <w:rPr>
                <w:sz w:val="24"/>
              </w:rPr>
              <w:t>/d</w:t>
            </w:r>
            <w:r>
              <w:rPr>
                <w:rFonts w:hint="eastAsia"/>
                <w:sz w:val="24"/>
              </w:rPr>
              <w:t>，其主要污染物指标为：</w:t>
            </w:r>
            <w:r>
              <w:rPr>
                <w:sz w:val="24"/>
              </w:rPr>
              <w:t>COD</w:t>
            </w:r>
            <w:r>
              <w:rPr>
                <w:rFonts w:hint="eastAsia"/>
                <w:sz w:val="24"/>
              </w:rPr>
              <w:t>40</w:t>
            </w:r>
            <w:r>
              <w:rPr>
                <w:sz w:val="24"/>
              </w:rPr>
              <w:t>0mg/L</w:t>
            </w:r>
            <w:r>
              <w:rPr>
                <w:rFonts w:hint="eastAsia"/>
                <w:sz w:val="24"/>
              </w:rPr>
              <w:t>、</w:t>
            </w:r>
            <w:r>
              <w:rPr>
                <w:sz w:val="24"/>
              </w:rPr>
              <w:t>BOD</w:t>
            </w:r>
            <w:r>
              <w:rPr>
                <w:sz w:val="24"/>
                <w:vertAlign w:val="subscript"/>
              </w:rPr>
              <w:t>5</w:t>
            </w:r>
            <w:r>
              <w:rPr>
                <w:rFonts w:hint="eastAsia"/>
                <w:sz w:val="24"/>
              </w:rPr>
              <w:t xml:space="preserve"> 250</w:t>
            </w:r>
            <w:r>
              <w:rPr>
                <w:sz w:val="24"/>
              </w:rPr>
              <w:t>mg/L</w:t>
            </w:r>
            <w:r>
              <w:rPr>
                <w:rFonts w:hint="eastAsia"/>
                <w:sz w:val="24"/>
              </w:rPr>
              <w:t>、</w:t>
            </w:r>
            <w:r>
              <w:rPr>
                <w:sz w:val="24"/>
              </w:rPr>
              <w:t>SS</w:t>
            </w:r>
            <w:r>
              <w:rPr>
                <w:rFonts w:hint="eastAsia"/>
                <w:sz w:val="24"/>
              </w:rPr>
              <w:t>18</w:t>
            </w:r>
            <w:r>
              <w:rPr>
                <w:sz w:val="24"/>
              </w:rPr>
              <w:t>0mg/L</w:t>
            </w:r>
            <w:r>
              <w:rPr>
                <w:rFonts w:hint="eastAsia"/>
                <w:sz w:val="24"/>
              </w:rPr>
              <w:t>、</w:t>
            </w:r>
            <w:r>
              <w:rPr>
                <w:rFonts w:hint="eastAsia"/>
                <w:spacing w:val="5"/>
                <w:kern w:val="0"/>
                <w:sz w:val="24"/>
              </w:rPr>
              <w:t>氨氮</w:t>
            </w:r>
            <w:r>
              <w:rPr>
                <w:rFonts w:hint="eastAsia"/>
                <w:sz w:val="24"/>
              </w:rPr>
              <w:t>30</w:t>
            </w:r>
            <w:r>
              <w:rPr>
                <w:sz w:val="24"/>
              </w:rPr>
              <w:t>mg/L</w:t>
            </w:r>
            <w:r>
              <w:rPr>
                <w:rFonts w:hint="eastAsia"/>
                <w:sz w:val="24"/>
              </w:rPr>
              <w:t>。废水经</w:t>
            </w:r>
            <w:r>
              <w:rPr>
                <w:rFonts w:hint="eastAsia"/>
                <w:sz w:val="24"/>
                <w:szCs w:val="24"/>
              </w:rPr>
              <w:t>化粪池储存后定期清掏，不外排</w:t>
            </w:r>
            <w:r>
              <w:rPr>
                <w:rFonts w:hint="eastAsia"/>
                <w:sz w:val="24"/>
                <w:lang w:val="zh-CN"/>
              </w:rPr>
              <w:t>。</w:t>
            </w:r>
          </w:p>
          <w:p>
            <w:pPr>
              <w:spacing w:line="360" w:lineRule="auto"/>
              <w:ind w:firstLine="480" w:firstLineChars="200"/>
              <w:rPr>
                <w:sz w:val="24"/>
              </w:rPr>
            </w:pPr>
            <w:r>
              <w:rPr>
                <w:rFonts w:hint="eastAsia"/>
                <w:sz w:val="24"/>
              </w:rPr>
              <w:t>3、噪声</w:t>
            </w:r>
          </w:p>
          <w:p>
            <w:pPr>
              <w:spacing w:line="360" w:lineRule="auto"/>
              <w:ind w:firstLine="480" w:firstLineChars="200"/>
              <w:rPr>
                <w:rFonts w:hAnsi="宋体"/>
                <w:bCs/>
                <w:sz w:val="24"/>
              </w:rPr>
            </w:pPr>
            <w:r>
              <w:rPr>
                <w:rFonts w:hint="eastAsia"/>
                <w:sz w:val="24"/>
              </w:rPr>
              <w:t>本项目噪声源来自粘土开采期间运行产生的设备噪声及生产车间设备噪声，粘土开采期间产生的噪声源为挖掘机、推土机及装载机</w:t>
            </w:r>
            <w:r>
              <w:rPr>
                <w:rFonts w:hint="eastAsia"/>
                <w:sz w:val="24"/>
                <w:szCs w:val="24"/>
              </w:rPr>
              <w:t>，</w:t>
            </w:r>
            <w:r>
              <w:rPr>
                <w:rFonts w:hint="eastAsia"/>
                <w:sz w:val="24"/>
              </w:rPr>
              <w:t>生产车间产生的设备噪声源为粉碎机、搅拌机、挤出机、切条机、切坯机、风机等</w:t>
            </w:r>
            <w:r>
              <w:rPr>
                <w:rFonts w:hint="eastAsia" w:hAnsi="宋体"/>
                <w:bCs/>
                <w:sz w:val="24"/>
                <w:szCs w:val="24"/>
              </w:rPr>
              <w:t>；</w:t>
            </w:r>
            <w:r>
              <w:rPr>
                <w:rFonts w:hAnsi="宋体"/>
                <w:bCs/>
                <w:sz w:val="24"/>
                <w:szCs w:val="24"/>
              </w:rPr>
              <w:t>噪声级在</w:t>
            </w:r>
            <w:r>
              <w:rPr>
                <w:rFonts w:hint="eastAsia"/>
                <w:bCs/>
                <w:sz w:val="24"/>
                <w:szCs w:val="24"/>
              </w:rPr>
              <w:t>80</w:t>
            </w:r>
            <w:r>
              <w:rPr>
                <w:rFonts w:hAnsi="宋体"/>
                <w:bCs/>
                <w:sz w:val="24"/>
                <w:szCs w:val="24"/>
              </w:rPr>
              <w:t>～</w:t>
            </w:r>
            <w:r>
              <w:rPr>
                <w:rFonts w:hint="eastAsia"/>
                <w:bCs/>
                <w:sz w:val="24"/>
                <w:szCs w:val="24"/>
              </w:rPr>
              <w:t>90</w:t>
            </w:r>
            <w:r>
              <w:rPr>
                <w:bCs/>
                <w:sz w:val="24"/>
                <w:szCs w:val="24"/>
              </w:rPr>
              <w:t>dB(A)</w:t>
            </w:r>
            <w:r>
              <w:rPr>
                <w:rFonts w:hAnsi="宋体"/>
                <w:bCs/>
                <w:sz w:val="24"/>
                <w:szCs w:val="24"/>
              </w:rPr>
              <w:t>之间</w:t>
            </w:r>
            <w:r>
              <w:rPr>
                <w:rFonts w:hint="eastAsia"/>
                <w:sz w:val="24"/>
              </w:rPr>
              <w:t>。</w:t>
            </w:r>
            <w:r>
              <w:rPr>
                <w:rFonts w:hint="eastAsia" w:hAnsi="宋体"/>
                <w:bCs/>
                <w:sz w:val="24"/>
              </w:rPr>
              <w:t>噪声源强见表32。</w:t>
            </w:r>
          </w:p>
          <w:p>
            <w:pPr>
              <w:spacing w:line="360" w:lineRule="auto"/>
              <w:ind w:firstLine="480" w:firstLineChars="200"/>
              <w:rPr>
                <w:rFonts w:hAnsi="宋体"/>
                <w:bCs/>
                <w:sz w:val="24"/>
              </w:rPr>
            </w:pPr>
          </w:p>
          <w:p>
            <w:pPr>
              <w:spacing w:line="360" w:lineRule="auto"/>
              <w:ind w:firstLine="480" w:firstLineChars="200"/>
              <w:rPr>
                <w:rFonts w:hint="eastAsia" w:hAnsi="宋体"/>
                <w:bCs/>
                <w:sz w:val="24"/>
              </w:rPr>
            </w:pPr>
          </w:p>
          <w:p>
            <w:pPr>
              <w:jc w:val="center"/>
              <w:rPr>
                <w:b/>
                <w:szCs w:val="21"/>
              </w:rPr>
            </w:pPr>
            <w:r>
              <w:rPr>
                <w:b/>
                <w:szCs w:val="21"/>
              </w:rPr>
              <w:t>表</w:t>
            </w:r>
            <w:r>
              <w:rPr>
                <w:rFonts w:hint="eastAsia"/>
                <w:b/>
                <w:szCs w:val="21"/>
              </w:rPr>
              <w:t>32</w:t>
            </w:r>
            <w:r>
              <w:rPr>
                <w:b/>
                <w:szCs w:val="21"/>
              </w:rPr>
              <w:t xml:space="preserve">  工程主要噪声源一览表</w:t>
            </w:r>
          </w:p>
          <w:tbl>
            <w:tblPr>
              <w:tblStyle w:val="24"/>
              <w:tblW w:w="882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68"/>
              <w:gridCol w:w="976"/>
              <w:gridCol w:w="1559"/>
              <w:gridCol w:w="284"/>
              <w:gridCol w:w="1276"/>
              <w:gridCol w:w="21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pStyle w:val="57"/>
                    <w:spacing w:beforeLines="0" w:afterLines="0" w:line="240" w:lineRule="auto"/>
                  </w:pPr>
                  <w:r>
                    <w:rPr>
                      <w:rFonts w:hint="eastAsia" w:hAnsi="宋体"/>
                    </w:rPr>
                    <w:t>噪声源</w:t>
                  </w:r>
                </w:p>
              </w:tc>
              <w:tc>
                <w:tcPr>
                  <w:tcW w:w="976" w:type="dxa"/>
                  <w:vAlign w:val="center"/>
                </w:tcPr>
                <w:p>
                  <w:pPr>
                    <w:pStyle w:val="11"/>
                    <w:tabs>
                      <w:tab w:val="left" w:pos="2430"/>
                    </w:tabs>
                    <w:spacing w:line="240" w:lineRule="auto"/>
                    <w:ind w:firstLine="0"/>
                    <w:jc w:val="center"/>
                    <w:rPr>
                      <w:kern w:val="2"/>
                      <w:sz w:val="21"/>
                      <w:szCs w:val="21"/>
                      <w:lang w:val="en-US"/>
                    </w:rPr>
                  </w:pPr>
                  <w:r>
                    <w:rPr>
                      <w:szCs w:val="21"/>
                    </w:rPr>
                    <w:t>数量（台/套）</w:t>
                  </w:r>
                </w:p>
              </w:tc>
              <w:tc>
                <w:tcPr>
                  <w:tcW w:w="1559" w:type="dxa"/>
                  <w:vAlign w:val="center"/>
                </w:tcPr>
                <w:p>
                  <w:pPr>
                    <w:pStyle w:val="11"/>
                    <w:tabs>
                      <w:tab w:val="left" w:pos="2430"/>
                    </w:tabs>
                    <w:spacing w:line="240" w:lineRule="auto"/>
                    <w:ind w:firstLine="0"/>
                    <w:jc w:val="center"/>
                    <w:rPr>
                      <w:kern w:val="2"/>
                      <w:sz w:val="21"/>
                      <w:szCs w:val="21"/>
                      <w:lang w:val="en-US"/>
                    </w:rPr>
                  </w:pPr>
                  <w:r>
                    <w:rPr>
                      <w:szCs w:val="21"/>
                    </w:rPr>
                    <w:t>位置</w:t>
                  </w:r>
                </w:p>
              </w:tc>
              <w:tc>
                <w:tcPr>
                  <w:tcW w:w="1560" w:type="dxa"/>
                  <w:gridSpan w:val="2"/>
                  <w:vAlign w:val="center"/>
                </w:tcPr>
                <w:p>
                  <w:pPr>
                    <w:pStyle w:val="11"/>
                    <w:tabs>
                      <w:tab w:val="left" w:pos="2430"/>
                    </w:tabs>
                    <w:spacing w:line="240" w:lineRule="auto"/>
                    <w:ind w:firstLine="0"/>
                    <w:jc w:val="center"/>
                    <w:rPr>
                      <w:kern w:val="2"/>
                      <w:sz w:val="21"/>
                      <w:szCs w:val="21"/>
                      <w:lang w:val="en-US"/>
                    </w:rPr>
                  </w:pPr>
                  <w:r>
                    <w:rPr>
                      <w:rFonts w:hint="eastAsia"/>
                      <w:kern w:val="2"/>
                      <w:sz w:val="21"/>
                      <w:szCs w:val="21"/>
                      <w:lang w:val="en-US"/>
                    </w:rPr>
                    <w:t>排放规律</w:t>
                  </w:r>
                </w:p>
              </w:tc>
              <w:tc>
                <w:tcPr>
                  <w:tcW w:w="2161" w:type="dxa"/>
                  <w:vAlign w:val="center"/>
                </w:tcPr>
                <w:p>
                  <w:pPr>
                    <w:pStyle w:val="57"/>
                    <w:spacing w:beforeLines="0" w:afterLines="0" w:line="240" w:lineRule="auto"/>
                  </w:pPr>
                  <w:r>
                    <w:rPr>
                      <w:rFonts w:hint="eastAsia" w:hAnsi="宋体"/>
                    </w:rPr>
                    <w:t>单台声级dB（A</w:t>
                  </w:r>
                  <w:r>
                    <w:rPr>
                      <w:rFonts w:hAnsi="宋体"/>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824" w:type="dxa"/>
                  <w:gridSpan w:val="6"/>
                  <w:vAlign w:val="center"/>
                </w:tcPr>
                <w:p>
                  <w:pPr>
                    <w:pStyle w:val="57"/>
                    <w:spacing w:beforeLines="0" w:afterLines="0" w:line="240" w:lineRule="auto"/>
                    <w:jc w:val="left"/>
                    <w:rPr>
                      <w:rFonts w:hAnsi="宋体"/>
                    </w:rPr>
                  </w:pPr>
                  <w:r>
                    <w:rPr>
                      <w:rFonts w:hint="eastAsia" w:hAnsi="宋体"/>
                    </w:rPr>
                    <w:t>一、开采设备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jc w:val="center"/>
                    <w:rPr>
                      <w:szCs w:val="21"/>
                    </w:rPr>
                  </w:pPr>
                  <w:r>
                    <w:rPr>
                      <w:rFonts w:hint="eastAsia"/>
                      <w:szCs w:val="21"/>
                    </w:rPr>
                    <w:t>挖掘机</w:t>
                  </w:r>
                </w:p>
              </w:tc>
              <w:tc>
                <w:tcPr>
                  <w:tcW w:w="976" w:type="dxa"/>
                  <w:vAlign w:val="center"/>
                </w:tcPr>
                <w:p>
                  <w:pPr>
                    <w:jc w:val="center"/>
                  </w:pPr>
                  <w:r>
                    <w:rPr>
                      <w:rFonts w:hint="eastAsia" w:hAnsi="宋体"/>
                      <w:szCs w:val="21"/>
                    </w:rPr>
                    <w:t>2</w:t>
                  </w:r>
                </w:p>
              </w:tc>
              <w:tc>
                <w:tcPr>
                  <w:tcW w:w="1843" w:type="dxa"/>
                  <w:gridSpan w:val="2"/>
                  <w:vAlign w:val="center"/>
                </w:tcPr>
                <w:p>
                  <w:pPr>
                    <w:jc w:val="center"/>
                  </w:pPr>
                  <w:r>
                    <w:rPr>
                      <w:rFonts w:hint="eastAsia"/>
                    </w:rPr>
                    <w:t>采区</w:t>
                  </w:r>
                </w:p>
              </w:tc>
              <w:tc>
                <w:tcPr>
                  <w:tcW w:w="1276" w:type="dxa"/>
                  <w:vAlign w:val="center"/>
                </w:tcPr>
                <w:p>
                  <w:pPr>
                    <w:jc w:val="center"/>
                  </w:pPr>
                  <w:r>
                    <w:rPr>
                      <w:rFonts w:hint="eastAsia"/>
                    </w:rPr>
                    <w:t>间歇</w:t>
                  </w:r>
                </w:p>
              </w:tc>
              <w:tc>
                <w:tcPr>
                  <w:tcW w:w="2161" w:type="dxa"/>
                  <w:vAlign w:val="center"/>
                </w:tcPr>
                <w:p>
                  <w:pPr>
                    <w:pStyle w:val="57"/>
                    <w:spacing w:beforeLines="0" w:afterLines="0" w:line="240" w:lineRule="auto"/>
                    <w:rPr>
                      <w:szCs w:val="21"/>
                    </w:rPr>
                  </w:pPr>
                  <w:r>
                    <w:rPr>
                      <w:rFonts w:hint="eastAsia"/>
                      <w:bCs/>
                      <w:szCs w:val="21"/>
                    </w:rPr>
                    <w:t>80</w:t>
                  </w:r>
                  <w:r>
                    <w:rPr>
                      <w:rFonts w:hAnsi="宋体"/>
                      <w:bCs/>
                      <w:szCs w:val="21"/>
                    </w:rPr>
                    <w:t>～</w:t>
                  </w:r>
                  <w:r>
                    <w:rPr>
                      <w:rFonts w:hint="eastAsia"/>
                      <w:szCs w:val="21"/>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jc w:val="center"/>
                    <w:rPr>
                      <w:szCs w:val="21"/>
                    </w:rPr>
                  </w:pPr>
                  <w:r>
                    <w:rPr>
                      <w:rFonts w:hint="eastAsia"/>
                      <w:szCs w:val="21"/>
                    </w:rPr>
                    <w:t>推土机</w:t>
                  </w:r>
                </w:p>
              </w:tc>
              <w:tc>
                <w:tcPr>
                  <w:tcW w:w="976" w:type="dxa"/>
                  <w:vAlign w:val="center"/>
                </w:tcPr>
                <w:p>
                  <w:pPr>
                    <w:jc w:val="center"/>
                  </w:pPr>
                  <w:r>
                    <w:rPr>
                      <w:rFonts w:hint="eastAsia"/>
                      <w:szCs w:val="21"/>
                    </w:rPr>
                    <w:t>1</w:t>
                  </w:r>
                </w:p>
              </w:tc>
              <w:tc>
                <w:tcPr>
                  <w:tcW w:w="1843" w:type="dxa"/>
                  <w:gridSpan w:val="2"/>
                </w:tcPr>
                <w:p>
                  <w:pPr>
                    <w:jc w:val="center"/>
                  </w:pPr>
                  <w:r>
                    <w:rPr>
                      <w:rFonts w:hint="eastAsia"/>
                    </w:rPr>
                    <w:t>采区</w:t>
                  </w:r>
                </w:p>
              </w:tc>
              <w:tc>
                <w:tcPr>
                  <w:tcW w:w="1276" w:type="dxa"/>
                  <w:vAlign w:val="center"/>
                </w:tcPr>
                <w:p>
                  <w:pPr>
                    <w:jc w:val="center"/>
                  </w:pPr>
                  <w:r>
                    <w:rPr>
                      <w:rFonts w:hint="eastAsia"/>
                    </w:rPr>
                    <w:t>间歇</w:t>
                  </w:r>
                </w:p>
              </w:tc>
              <w:tc>
                <w:tcPr>
                  <w:tcW w:w="2161" w:type="dxa"/>
                  <w:vAlign w:val="center"/>
                </w:tcPr>
                <w:p>
                  <w:pPr>
                    <w:pStyle w:val="57"/>
                    <w:spacing w:beforeLines="0" w:afterLines="0" w:line="240" w:lineRule="auto"/>
                    <w:rPr>
                      <w:rFonts w:hAnsi="宋体"/>
                      <w:szCs w:val="21"/>
                    </w:rPr>
                  </w:pPr>
                  <w:r>
                    <w:rPr>
                      <w:rFonts w:hint="eastAsia"/>
                      <w:bCs/>
                      <w:szCs w:val="21"/>
                    </w:rPr>
                    <w:t>80</w:t>
                  </w:r>
                  <w:r>
                    <w:rPr>
                      <w:rFonts w:hAnsi="宋体"/>
                      <w:bCs/>
                      <w:szCs w:val="21"/>
                    </w:rPr>
                    <w:t>～</w:t>
                  </w:r>
                  <w:r>
                    <w:rPr>
                      <w:rFonts w:hint="eastAsia" w:hAnsi="宋体"/>
                      <w:szCs w:val="21"/>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jc w:val="center"/>
                    <w:rPr>
                      <w:szCs w:val="21"/>
                    </w:rPr>
                  </w:pPr>
                  <w:r>
                    <w:rPr>
                      <w:rFonts w:hint="eastAsia"/>
                      <w:szCs w:val="21"/>
                    </w:rPr>
                    <w:t>装载机</w:t>
                  </w:r>
                </w:p>
              </w:tc>
              <w:tc>
                <w:tcPr>
                  <w:tcW w:w="976" w:type="dxa"/>
                  <w:vAlign w:val="center"/>
                </w:tcPr>
                <w:p>
                  <w:pPr>
                    <w:jc w:val="center"/>
                  </w:pPr>
                  <w:r>
                    <w:rPr>
                      <w:rFonts w:hint="eastAsia"/>
                      <w:szCs w:val="21"/>
                    </w:rPr>
                    <w:t>1</w:t>
                  </w:r>
                </w:p>
              </w:tc>
              <w:tc>
                <w:tcPr>
                  <w:tcW w:w="1843" w:type="dxa"/>
                  <w:gridSpan w:val="2"/>
                </w:tcPr>
                <w:p>
                  <w:pPr>
                    <w:jc w:val="center"/>
                  </w:pPr>
                  <w:r>
                    <w:rPr>
                      <w:rFonts w:hint="eastAsia"/>
                    </w:rPr>
                    <w:t>采区</w:t>
                  </w:r>
                </w:p>
              </w:tc>
              <w:tc>
                <w:tcPr>
                  <w:tcW w:w="1276" w:type="dxa"/>
                  <w:vAlign w:val="center"/>
                </w:tcPr>
                <w:p>
                  <w:pPr>
                    <w:jc w:val="center"/>
                  </w:pPr>
                  <w:r>
                    <w:rPr>
                      <w:rFonts w:hint="eastAsia"/>
                    </w:rPr>
                    <w:t>间歇</w:t>
                  </w:r>
                </w:p>
              </w:tc>
              <w:tc>
                <w:tcPr>
                  <w:tcW w:w="2161" w:type="dxa"/>
                  <w:vAlign w:val="center"/>
                </w:tcPr>
                <w:p>
                  <w:pPr>
                    <w:pStyle w:val="57"/>
                    <w:spacing w:beforeLines="0" w:afterLines="0" w:line="240" w:lineRule="auto"/>
                    <w:rPr>
                      <w:rFonts w:hAnsi="宋体"/>
                      <w:szCs w:val="21"/>
                    </w:rPr>
                  </w:pPr>
                  <w:r>
                    <w:rPr>
                      <w:rFonts w:hint="eastAsia"/>
                      <w:bCs/>
                      <w:szCs w:val="21"/>
                    </w:rPr>
                    <w:t>80</w:t>
                  </w:r>
                  <w:r>
                    <w:rPr>
                      <w:rFonts w:hAnsi="宋体"/>
                      <w:bCs/>
                      <w:szCs w:val="21"/>
                    </w:rPr>
                    <w:t>～</w:t>
                  </w:r>
                  <w:r>
                    <w:rPr>
                      <w:rFonts w:hint="eastAsia"/>
                      <w:szCs w:val="21"/>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jc w:val="center"/>
                    <w:rPr>
                      <w:szCs w:val="21"/>
                    </w:rPr>
                  </w:pPr>
                  <w:r>
                    <w:rPr>
                      <w:rFonts w:hint="eastAsia"/>
                      <w:szCs w:val="21"/>
                    </w:rPr>
                    <w:t>矿用三轮车</w:t>
                  </w:r>
                </w:p>
              </w:tc>
              <w:tc>
                <w:tcPr>
                  <w:tcW w:w="976" w:type="dxa"/>
                  <w:vAlign w:val="center"/>
                </w:tcPr>
                <w:p>
                  <w:pPr>
                    <w:jc w:val="center"/>
                  </w:pPr>
                  <w:r>
                    <w:rPr>
                      <w:rFonts w:hint="eastAsia"/>
                      <w:szCs w:val="21"/>
                    </w:rPr>
                    <w:t>2</w:t>
                  </w:r>
                </w:p>
              </w:tc>
              <w:tc>
                <w:tcPr>
                  <w:tcW w:w="1843" w:type="dxa"/>
                  <w:gridSpan w:val="2"/>
                </w:tcPr>
                <w:p>
                  <w:pPr>
                    <w:jc w:val="center"/>
                  </w:pPr>
                  <w:r>
                    <w:rPr>
                      <w:rFonts w:hint="eastAsia"/>
                    </w:rPr>
                    <w:t>采区</w:t>
                  </w:r>
                </w:p>
              </w:tc>
              <w:tc>
                <w:tcPr>
                  <w:tcW w:w="1276" w:type="dxa"/>
                  <w:vAlign w:val="center"/>
                </w:tcPr>
                <w:p>
                  <w:pPr>
                    <w:jc w:val="center"/>
                  </w:pPr>
                  <w:r>
                    <w:rPr>
                      <w:rFonts w:hint="eastAsia"/>
                    </w:rPr>
                    <w:t>间歇</w:t>
                  </w:r>
                </w:p>
              </w:tc>
              <w:tc>
                <w:tcPr>
                  <w:tcW w:w="2161" w:type="dxa"/>
                  <w:vAlign w:val="center"/>
                </w:tcPr>
                <w:p>
                  <w:pPr>
                    <w:pStyle w:val="57"/>
                    <w:spacing w:beforeLines="0" w:afterLines="0" w:line="240" w:lineRule="auto"/>
                    <w:rPr>
                      <w:rFonts w:hAnsi="宋体"/>
                      <w:szCs w:val="21"/>
                    </w:rPr>
                  </w:pPr>
                  <w:r>
                    <w:rPr>
                      <w:rFonts w:hint="eastAsia"/>
                      <w:bCs/>
                      <w:szCs w:val="21"/>
                    </w:rPr>
                    <w:t>80</w:t>
                  </w:r>
                  <w:r>
                    <w:rPr>
                      <w:rFonts w:hAnsi="宋体"/>
                      <w:bCs/>
                      <w:szCs w:val="21"/>
                    </w:rPr>
                    <w:t>～</w:t>
                  </w:r>
                  <w:r>
                    <w:rPr>
                      <w:rFonts w:hint="eastAsia"/>
                      <w:szCs w:val="21"/>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544" w:type="dxa"/>
                  <w:gridSpan w:val="2"/>
                  <w:vAlign w:val="center"/>
                </w:tcPr>
                <w:p>
                  <w:pPr>
                    <w:pStyle w:val="57"/>
                    <w:spacing w:beforeLines="0" w:afterLines="0" w:line="240" w:lineRule="auto"/>
                    <w:jc w:val="left"/>
                    <w:rPr>
                      <w:rFonts w:hAnsi="宋体"/>
                      <w:szCs w:val="21"/>
                    </w:rPr>
                  </w:pPr>
                  <w:r>
                    <w:rPr>
                      <w:rFonts w:hint="eastAsia" w:hAnsi="宋体"/>
                      <w:szCs w:val="21"/>
                    </w:rPr>
                    <w:t>二、生产车间设备</w:t>
                  </w:r>
                </w:p>
              </w:tc>
              <w:tc>
                <w:tcPr>
                  <w:tcW w:w="1843" w:type="dxa"/>
                  <w:gridSpan w:val="2"/>
                  <w:vAlign w:val="center"/>
                </w:tcPr>
                <w:p>
                  <w:pPr>
                    <w:pStyle w:val="57"/>
                    <w:spacing w:beforeLines="0" w:afterLines="0" w:line="240" w:lineRule="auto"/>
                    <w:jc w:val="left"/>
                    <w:rPr>
                      <w:rFonts w:hAnsi="宋体"/>
                      <w:szCs w:val="21"/>
                    </w:rPr>
                  </w:pPr>
                </w:p>
              </w:tc>
              <w:tc>
                <w:tcPr>
                  <w:tcW w:w="3437" w:type="dxa"/>
                  <w:gridSpan w:val="2"/>
                  <w:vAlign w:val="center"/>
                </w:tcPr>
                <w:p>
                  <w:pPr>
                    <w:pStyle w:val="57"/>
                    <w:spacing w:beforeLines="0" w:afterLines="0" w:line="240" w:lineRule="auto"/>
                    <w:jc w:val="left"/>
                    <w:rPr>
                      <w:rFonts w:hAnsi="宋体"/>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jc w:val="center"/>
                    <w:rPr>
                      <w:szCs w:val="21"/>
                    </w:rPr>
                  </w:pPr>
                  <w:r>
                    <w:rPr>
                      <w:rFonts w:hint="eastAsia"/>
                      <w:szCs w:val="21"/>
                    </w:rPr>
                    <w:t>配料机</w:t>
                  </w:r>
                </w:p>
              </w:tc>
              <w:tc>
                <w:tcPr>
                  <w:tcW w:w="976" w:type="dxa"/>
                  <w:vAlign w:val="center"/>
                </w:tcPr>
                <w:p>
                  <w:pPr>
                    <w:jc w:val="center"/>
                  </w:pPr>
                  <w:r>
                    <w:rPr>
                      <w:rFonts w:hint="eastAsia"/>
                    </w:rPr>
                    <w:t>2</w:t>
                  </w:r>
                </w:p>
              </w:tc>
              <w:tc>
                <w:tcPr>
                  <w:tcW w:w="1843" w:type="dxa"/>
                  <w:gridSpan w:val="2"/>
                  <w:vAlign w:val="center"/>
                </w:tcPr>
                <w:p>
                  <w:pPr>
                    <w:jc w:val="center"/>
                  </w:pPr>
                  <w:r>
                    <w:rPr>
                      <w:rFonts w:hint="eastAsia"/>
                    </w:rPr>
                    <w:t>生产车间内</w:t>
                  </w:r>
                </w:p>
              </w:tc>
              <w:tc>
                <w:tcPr>
                  <w:tcW w:w="1276" w:type="dxa"/>
                  <w:vAlign w:val="center"/>
                </w:tcPr>
                <w:p>
                  <w:pPr>
                    <w:jc w:val="center"/>
                  </w:pPr>
                  <w:r>
                    <w:rPr>
                      <w:rFonts w:hint="eastAsia"/>
                    </w:rPr>
                    <w:t>连续</w:t>
                  </w:r>
                </w:p>
              </w:tc>
              <w:tc>
                <w:tcPr>
                  <w:tcW w:w="2161" w:type="dxa"/>
                  <w:vAlign w:val="center"/>
                </w:tcPr>
                <w:p>
                  <w:pPr>
                    <w:pStyle w:val="57"/>
                    <w:spacing w:beforeLines="0" w:afterLines="0" w:line="240" w:lineRule="auto"/>
                    <w:rPr>
                      <w:szCs w:val="21"/>
                    </w:rPr>
                  </w:pPr>
                  <w:r>
                    <w:rPr>
                      <w:rFonts w:hint="eastAsia"/>
                      <w:bCs/>
                      <w:szCs w:val="21"/>
                    </w:rPr>
                    <w:t>80</w:t>
                  </w:r>
                  <w:r>
                    <w:rPr>
                      <w:rFonts w:hAnsi="宋体"/>
                      <w:bCs/>
                      <w:szCs w:val="21"/>
                    </w:rPr>
                    <w:t>～</w:t>
                  </w:r>
                  <w:r>
                    <w:rPr>
                      <w:rFonts w:hint="eastAsia"/>
                      <w:szCs w:val="21"/>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jc w:val="center"/>
                    <w:rPr>
                      <w:szCs w:val="21"/>
                    </w:rPr>
                  </w:pPr>
                  <w:r>
                    <w:rPr>
                      <w:rFonts w:hint="eastAsia"/>
                      <w:szCs w:val="21"/>
                    </w:rPr>
                    <w:t>给料机</w:t>
                  </w:r>
                </w:p>
              </w:tc>
              <w:tc>
                <w:tcPr>
                  <w:tcW w:w="976" w:type="dxa"/>
                  <w:vAlign w:val="center"/>
                </w:tcPr>
                <w:p>
                  <w:pPr>
                    <w:jc w:val="center"/>
                  </w:pPr>
                  <w:r>
                    <w:rPr>
                      <w:rFonts w:hint="eastAsia"/>
                    </w:rPr>
                    <w:t>3</w:t>
                  </w:r>
                </w:p>
              </w:tc>
              <w:tc>
                <w:tcPr>
                  <w:tcW w:w="1843" w:type="dxa"/>
                  <w:gridSpan w:val="2"/>
                </w:tcPr>
                <w:p>
                  <w:pPr>
                    <w:jc w:val="center"/>
                  </w:pPr>
                  <w:r>
                    <w:rPr>
                      <w:rFonts w:hint="eastAsia"/>
                    </w:rPr>
                    <w:t>生产车间内</w:t>
                  </w:r>
                </w:p>
              </w:tc>
              <w:tc>
                <w:tcPr>
                  <w:tcW w:w="1276" w:type="dxa"/>
                </w:tcPr>
                <w:p>
                  <w:pPr>
                    <w:jc w:val="center"/>
                  </w:pPr>
                  <w:r>
                    <w:rPr>
                      <w:rFonts w:hint="eastAsia"/>
                    </w:rPr>
                    <w:t>连续</w:t>
                  </w:r>
                </w:p>
              </w:tc>
              <w:tc>
                <w:tcPr>
                  <w:tcW w:w="2161" w:type="dxa"/>
                  <w:vAlign w:val="center"/>
                </w:tcPr>
                <w:p>
                  <w:pPr>
                    <w:pStyle w:val="57"/>
                    <w:spacing w:beforeLines="0" w:afterLines="0" w:line="240" w:lineRule="auto"/>
                    <w:rPr>
                      <w:szCs w:val="21"/>
                    </w:rPr>
                  </w:pPr>
                  <w:r>
                    <w:rPr>
                      <w:rFonts w:hint="eastAsia"/>
                      <w:bCs/>
                      <w:szCs w:val="21"/>
                    </w:rPr>
                    <w:t>80</w:t>
                  </w:r>
                  <w:r>
                    <w:rPr>
                      <w:rFonts w:hAnsi="宋体"/>
                      <w:bCs/>
                      <w:szCs w:val="21"/>
                    </w:rPr>
                    <w:t>～</w:t>
                  </w:r>
                  <w:r>
                    <w:rPr>
                      <w:rFonts w:hint="eastAsia"/>
                      <w:szCs w:val="21"/>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jc w:val="center"/>
                    <w:rPr>
                      <w:szCs w:val="21"/>
                    </w:rPr>
                  </w:pPr>
                  <w:r>
                    <w:rPr>
                      <w:rFonts w:hint="eastAsia"/>
                      <w:szCs w:val="21"/>
                    </w:rPr>
                    <w:t>破碎机</w:t>
                  </w:r>
                </w:p>
              </w:tc>
              <w:tc>
                <w:tcPr>
                  <w:tcW w:w="976" w:type="dxa"/>
                  <w:vAlign w:val="center"/>
                </w:tcPr>
                <w:p>
                  <w:pPr>
                    <w:jc w:val="center"/>
                  </w:pPr>
                  <w:r>
                    <w:rPr>
                      <w:rFonts w:hint="eastAsia"/>
                    </w:rPr>
                    <w:t>1</w:t>
                  </w:r>
                </w:p>
              </w:tc>
              <w:tc>
                <w:tcPr>
                  <w:tcW w:w="1843" w:type="dxa"/>
                  <w:gridSpan w:val="2"/>
                </w:tcPr>
                <w:p>
                  <w:pPr>
                    <w:jc w:val="center"/>
                  </w:pPr>
                  <w:r>
                    <w:rPr>
                      <w:rFonts w:hint="eastAsia"/>
                    </w:rPr>
                    <w:t>生产车间内</w:t>
                  </w:r>
                </w:p>
              </w:tc>
              <w:tc>
                <w:tcPr>
                  <w:tcW w:w="1276" w:type="dxa"/>
                </w:tcPr>
                <w:p>
                  <w:pPr>
                    <w:jc w:val="center"/>
                  </w:pPr>
                  <w:r>
                    <w:rPr>
                      <w:rFonts w:hint="eastAsia"/>
                    </w:rPr>
                    <w:t>连续</w:t>
                  </w:r>
                </w:p>
              </w:tc>
              <w:tc>
                <w:tcPr>
                  <w:tcW w:w="2161" w:type="dxa"/>
                </w:tcPr>
                <w:p>
                  <w:pPr>
                    <w:pStyle w:val="57"/>
                    <w:spacing w:beforeLines="0" w:afterLines="0" w:line="240" w:lineRule="auto"/>
                    <w:rPr>
                      <w:szCs w:val="21"/>
                    </w:rPr>
                  </w:pPr>
                  <w:r>
                    <w:rPr>
                      <w:rFonts w:hint="eastAsia"/>
                      <w:bCs/>
                      <w:szCs w:val="21"/>
                    </w:rPr>
                    <w:t>80</w:t>
                  </w:r>
                  <w:r>
                    <w:rPr>
                      <w:rFonts w:hAnsi="宋体"/>
                      <w:bCs/>
                      <w:szCs w:val="21"/>
                    </w:rPr>
                    <w:t>～</w:t>
                  </w:r>
                  <w:r>
                    <w:rPr>
                      <w:rFonts w:hint="eastAsia"/>
                      <w:szCs w:val="21"/>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pStyle w:val="57"/>
                    <w:spacing w:beforeLines="0" w:afterLines="0" w:line="240" w:lineRule="auto"/>
                  </w:pPr>
                  <w:r>
                    <w:rPr>
                      <w:szCs w:val="21"/>
                    </w:rPr>
                    <w:t>对辊机</w:t>
                  </w:r>
                </w:p>
              </w:tc>
              <w:tc>
                <w:tcPr>
                  <w:tcW w:w="976" w:type="dxa"/>
                  <w:vAlign w:val="center"/>
                </w:tcPr>
                <w:p>
                  <w:pPr>
                    <w:jc w:val="center"/>
                  </w:pPr>
                  <w:r>
                    <w:rPr>
                      <w:rFonts w:hint="eastAsia"/>
                    </w:rPr>
                    <w:t>4</w:t>
                  </w:r>
                </w:p>
              </w:tc>
              <w:tc>
                <w:tcPr>
                  <w:tcW w:w="1843" w:type="dxa"/>
                  <w:gridSpan w:val="2"/>
                </w:tcPr>
                <w:p>
                  <w:pPr>
                    <w:jc w:val="center"/>
                  </w:pPr>
                  <w:r>
                    <w:rPr>
                      <w:rFonts w:hint="eastAsia"/>
                    </w:rPr>
                    <w:t>生产车间内</w:t>
                  </w:r>
                </w:p>
              </w:tc>
              <w:tc>
                <w:tcPr>
                  <w:tcW w:w="1276" w:type="dxa"/>
                </w:tcPr>
                <w:p>
                  <w:pPr>
                    <w:jc w:val="center"/>
                  </w:pPr>
                  <w:r>
                    <w:rPr>
                      <w:rFonts w:hint="eastAsia"/>
                    </w:rPr>
                    <w:t>连续</w:t>
                  </w:r>
                </w:p>
              </w:tc>
              <w:tc>
                <w:tcPr>
                  <w:tcW w:w="2161" w:type="dxa"/>
                </w:tcPr>
                <w:p>
                  <w:pPr>
                    <w:pStyle w:val="57"/>
                    <w:spacing w:beforeLines="0" w:afterLines="0" w:line="240" w:lineRule="auto"/>
                    <w:rPr>
                      <w:szCs w:val="21"/>
                    </w:rPr>
                  </w:pPr>
                  <w:r>
                    <w:rPr>
                      <w:rFonts w:hint="eastAsia"/>
                      <w:bCs/>
                      <w:szCs w:val="21"/>
                    </w:rPr>
                    <w:t>80</w:t>
                  </w:r>
                  <w:r>
                    <w:rPr>
                      <w:rFonts w:hAnsi="宋体"/>
                      <w:bCs/>
                      <w:szCs w:val="21"/>
                    </w:rPr>
                    <w:t>～</w:t>
                  </w:r>
                  <w:r>
                    <w:rPr>
                      <w:rFonts w:hint="eastAsia"/>
                      <w:szCs w:val="21"/>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pStyle w:val="57"/>
                    <w:spacing w:beforeLines="0" w:afterLines="0" w:line="240" w:lineRule="auto"/>
                  </w:pPr>
                  <w:r>
                    <w:rPr>
                      <w:szCs w:val="21"/>
                    </w:rPr>
                    <w:t>双轴搅拌机</w:t>
                  </w:r>
                </w:p>
              </w:tc>
              <w:tc>
                <w:tcPr>
                  <w:tcW w:w="976" w:type="dxa"/>
                  <w:vAlign w:val="center"/>
                </w:tcPr>
                <w:p>
                  <w:pPr>
                    <w:jc w:val="center"/>
                  </w:pPr>
                  <w:r>
                    <w:rPr>
                      <w:rFonts w:hint="eastAsia"/>
                    </w:rPr>
                    <w:t>3</w:t>
                  </w:r>
                </w:p>
              </w:tc>
              <w:tc>
                <w:tcPr>
                  <w:tcW w:w="1843" w:type="dxa"/>
                  <w:gridSpan w:val="2"/>
                </w:tcPr>
                <w:p>
                  <w:pPr>
                    <w:jc w:val="center"/>
                  </w:pPr>
                  <w:r>
                    <w:rPr>
                      <w:rFonts w:hint="eastAsia"/>
                    </w:rPr>
                    <w:t>生产车间内</w:t>
                  </w:r>
                </w:p>
              </w:tc>
              <w:tc>
                <w:tcPr>
                  <w:tcW w:w="1276" w:type="dxa"/>
                </w:tcPr>
                <w:p>
                  <w:pPr>
                    <w:jc w:val="center"/>
                  </w:pPr>
                  <w:r>
                    <w:rPr>
                      <w:rFonts w:hint="eastAsia"/>
                    </w:rPr>
                    <w:t>连续</w:t>
                  </w:r>
                </w:p>
              </w:tc>
              <w:tc>
                <w:tcPr>
                  <w:tcW w:w="2161" w:type="dxa"/>
                  <w:vAlign w:val="center"/>
                </w:tcPr>
                <w:p>
                  <w:pPr>
                    <w:pStyle w:val="57"/>
                    <w:spacing w:beforeLines="0" w:afterLines="0" w:line="240" w:lineRule="auto"/>
                    <w:rPr>
                      <w:szCs w:val="21"/>
                    </w:rPr>
                  </w:pPr>
                  <w:r>
                    <w:rPr>
                      <w:rFonts w:hint="eastAsia"/>
                      <w:bCs/>
                      <w:szCs w:val="21"/>
                    </w:rPr>
                    <w:t>80</w:t>
                  </w:r>
                  <w:r>
                    <w:rPr>
                      <w:rFonts w:hAnsi="宋体"/>
                      <w:bCs/>
                      <w:szCs w:val="21"/>
                    </w:rPr>
                    <w:t>～</w:t>
                  </w:r>
                  <w:r>
                    <w:rPr>
                      <w:rFonts w:hint="eastAsia"/>
                      <w:szCs w:val="21"/>
                    </w:rPr>
                    <w:t>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pStyle w:val="57"/>
                    <w:spacing w:beforeLines="0" w:afterLines="0" w:line="240" w:lineRule="auto"/>
                    <w:rPr>
                      <w:rFonts w:hAnsi="宋体"/>
                    </w:rPr>
                  </w:pPr>
                  <w:r>
                    <w:rPr>
                      <w:szCs w:val="21"/>
                    </w:rPr>
                    <w:t>双级真空挤出机</w:t>
                  </w:r>
                </w:p>
              </w:tc>
              <w:tc>
                <w:tcPr>
                  <w:tcW w:w="976" w:type="dxa"/>
                  <w:vAlign w:val="center"/>
                </w:tcPr>
                <w:p>
                  <w:pPr>
                    <w:jc w:val="center"/>
                  </w:pPr>
                  <w:r>
                    <w:rPr>
                      <w:rFonts w:hint="eastAsia"/>
                    </w:rPr>
                    <w:t>1</w:t>
                  </w:r>
                </w:p>
              </w:tc>
              <w:tc>
                <w:tcPr>
                  <w:tcW w:w="1843" w:type="dxa"/>
                  <w:gridSpan w:val="2"/>
                </w:tcPr>
                <w:p>
                  <w:pPr>
                    <w:jc w:val="center"/>
                  </w:pPr>
                  <w:r>
                    <w:rPr>
                      <w:rFonts w:hint="eastAsia"/>
                    </w:rPr>
                    <w:t>生产车间内</w:t>
                  </w:r>
                </w:p>
              </w:tc>
              <w:tc>
                <w:tcPr>
                  <w:tcW w:w="1276" w:type="dxa"/>
                </w:tcPr>
                <w:p>
                  <w:pPr>
                    <w:jc w:val="center"/>
                  </w:pPr>
                  <w:r>
                    <w:rPr>
                      <w:rFonts w:hint="eastAsia"/>
                    </w:rPr>
                    <w:t>连续</w:t>
                  </w:r>
                </w:p>
              </w:tc>
              <w:tc>
                <w:tcPr>
                  <w:tcW w:w="2161" w:type="dxa"/>
                  <w:vAlign w:val="center"/>
                </w:tcPr>
                <w:p>
                  <w:pPr>
                    <w:pStyle w:val="57"/>
                    <w:spacing w:beforeLines="0" w:afterLines="0" w:line="240" w:lineRule="auto"/>
                    <w:rPr>
                      <w:szCs w:val="21"/>
                    </w:rPr>
                  </w:pPr>
                  <w:r>
                    <w:rPr>
                      <w:rFonts w:hint="eastAsia"/>
                      <w:bCs/>
                      <w:szCs w:val="21"/>
                    </w:rPr>
                    <w:t>80</w:t>
                  </w:r>
                  <w:r>
                    <w:rPr>
                      <w:rFonts w:hAnsi="宋体"/>
                      <w:bCs/>
                      <w:szCs w:val="21"/>
                    </w:rPr>
                    <w:t>～</w:t>
                  </w:r>
                  <w:r>
                    <w:rPr>
                      <w:rFonts w:hint="eastAsia"/>
                      <w:szCs w:val="21"/>
                    </w:rPr>
                    <w:t>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pStyle w:val="57"/>
                    <w:spacing w:beforeLines="0" w:afterLines="0" w:line="240" w:lineRule="auto"/>
                    <w:rPr>
                      <w:rFonts w:hAnsi="宋体"/>
                    </w:rPr>
                  </w:pPr>
                  <w:r>
                    <w:rPr>
                      <w:szCs w:val="21"/>
                    </w:rPr>
                    <w:t>油环式真空泵</w:t>
                  </w:r>
                </w:p>
              </w:tc>
              <w:tc>
                <w:tcPr>
                  <w:tcW w:w="976" w:type="dxa"/>
                  <w:vAlign w:val="center"/>
                </w:tcPr>
                <w:p>
                  <w:pPr>
                    <w:pStyle w:val="57"/>
                    <w:spacing w:beforeLines="0" w:afterLines="0" w:line="240" w:lineRule="auto"/>
                  </w:pPr>
                  <w:r>
                    <w:rPr>
                      <w:rFonts w:hint="eastAsia"/>
                    </w:rPr>
                    <w:t>1</w:t>
                  </w:r>
                </w:p>
              </w:tc>
              <w:tc>
                <w:tcPr>
                  <w:tcW w:w="1843" w:type="dxa"/>
                  <w:gridSpan w:val="2"/>
                </w:tcPr>
                <w:p>
                  <w:pPr>
                    <w:pStyle w:val="57"/>
                    <w:spacing w:beforeLines="0" w:afterLines="0" w:line="240" w:lineRule="auto"/>
                  </w:pPr>
                  <w:r>
                    <w:rPr>
                      <w:rFonts w:hint="eastAsia"/>
                    </w:rPr>
                    <w:t>生产车间内</w:t>
                  </w:r>
                </w:p>
              </w:tc>
              <w:tc>
                <w:tcPr>
                  <w:tcW w:w="1276" w:type="dxa"/>
                </w:tcPr>
                <w:p>
                  <w:pPr>
                    <w:pStyle w:val="57"/>
                    <w:spacing w:beforeLines="0" w:afterLines="0" w:line="240" w:lineRule="auto"/>
                  </w:pPr>
                  <w:r>
                    <w:rPr>
                      <w:rFonts w:hint="eastAsia"/>
                    </w:rPr>
                    <w:t>连续</w:t>
                  </w:r>
                </w:p>
              </w:tc>
              <w:tc>
                <w:tcPr>
                  <w:tcW w:w="2161" w:type="dxa"/>
                  <w:vAlign w:val="center"/>
                </w:tcPr>
                <w:p>
                  <w:pPr>
                    <w:pStyle w:val="57"/>
                    <w:spacing w:beforeLines="0" w:afterLines="0" w:line="240" w:lineRule="auto"/>
                    <w:rPr>
                      <w:szCs w:val="21"/>
                    </w:rPr>
                  </w:pPr>
                  <w:r>
                    <w:rPr>
                      <w:rFonts w:hint="eastAsia"/>
                      <w:bCs/>
                      <w:szCs w:val="21"/>
                    </w:rPr>
                    <w:t>80</w:t>
                  </w:r>
                  <w:r>
                    <w:rPr>
                      <w:rFonts w:hAnsi="宋体"/>
                      <w:bCs/>
                      <w:szCs w:val="21"/>
                    </w:rPr>
                    <w:t>～</w:t>
                  </w:r>
                  <w:r>
                    <w:rPr>
                      <w:rFonts w:hint="eastAsia"/>
                      <w:szCs w:val="21"/>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pStyle w:val="57"/>
                    <w:spacing w:beforeLines="0" w:afterLines="0" w:line="240" w:lineRule="auto"/>
                    <w:rPr>
                      <w:szCs w:val="21"/>
                    </w:rPr>
                  </w:pPr>
                  <w:r>
                    <w:rPr>
                      <w:rFonts w:hint="eastAsia"/>
                      <w:szCs w:val="21"/>
                    </w:rPr>
                    <w:t>空压机</w:t>
                  </w:r>
                </w:p>
              </w:tc>
              <w:tc>
                <w:tcPr>
                  <w:tcW w:w="976" w:type="dxa"/>
                  <w:vAlign w:val="center"/>
                </w:tcPr>
                <w:p>
                  <w:pPr>
                    <w:pStyle w:val="57"/>
                    <w:spacing w:beforeLines="0" w:afterLines="0" w:line="240" w:lineRule="auto"/>
                  </w:pPr>
                  <w:r>
                    <w:rPr>
                      <w:rFonts w:hint="eastAsia"/>
                    </w:rPr>
                    <w:t>1</w:t>
                  </w:r>
                </w:p>
              </w:tc>
              <w:tc>
                <w:tcPr>
                  <w:tcW w:w="1843" w:type="dxa"/>
                  <w:gridSpan w:val="2"/>
                </w:tcPr>
                <w:p>
                  <w:pPr>
                    <w:pStyle w:val="57"/>
                    <w:spacing w:beforeLines="0" w:afterLines="0" w:line="240" w:lineRule="auto"/>
                  </w:pPr>
                  <w:r>
                    <w:rPr>
                      <w:rFonts w:hint="eastAsia"/>
                    </w:rPr>
                    <w:t>生产车间内</w:t>
                  </w:r>
                </w:p>
              </w:tc>
              <w:tc>
                <w:tcPr>
                  <w:tcW w:w="1276" w:type="dxa"/>
                </w:tcPr>
                <w:p>
                  <w:pPr>
                    <w:pStyle w:val="57"/>
                    <w:spacing w:beforeLines="0" w:afterLines="0" w:line="240" w:lineRule="auto"/>
                  </w:pPr>
                  <w:r>
                    <w:rPr>
                      <w:rFonts w:hint="eastAsia"/>
                    </w:rPr>
                    <w:t>连续</w:t>
                  </w:r>
                </w:p>
              </w:tc>
              <w:tc>
                <w:tcPr>
                  <w:tcW w:w="2161" w:type="dxa"/>
                  <w:vAlign w:val="center"/>
                </w:tcPr>
                <w:p>
                  <w:pPr>
                    <w:pStyle w:val="57"/>
                    <w:spacing w:beforeLines="0" w:afterLines="0" w:line="240" w:lineRule="auto"/>
                    <w:rPr>
                      <w:bCs/>
                      <w:szCs w:val="21"/>
                    </w:rPr>
                  </w:pPr>
                  <w:r>
                    <w:rPr>
                      <w:rFonts w:hint="eastAsia"/>
                      <w:bCs/>
                      <w:szCs w:val="21"/>
                    </w:rPr>
                    <w:t>90</w:t>
                  </w:r>
                  <w:r>
                    <w:rPr>
                      <w:rFonts w:hAnsi="宋体"/>
                      <w:bCs/>
                      <w:szCs w:val="21"/>
                    </w:rPr>
                    <w:t>～</w:t>
                  </w:r>
                  <w:r>
                    <w:rPr>
                      <w:rFonts w:hint="eastAsia"/>
                      <w:szCs w:val="21"/>
                    </w:rPr>
                    <w:t>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pStyle w:val="57"/>
                    <w:spacing w:beforeLines="0" w:afterLines="0" w:line="240" w:lineRule="auto"/>
                    <w:rPr>
                      <w:rFonts w:hAnsi="宋体"/>
                    </w:rPr>
                  </w:pPr>
                  <w:r>
                    <w:rPr>
                      <w:szCs w:val="21"/>
                    </w:rPr>
                    <w:t>全自动同步切条机</w:t>
                  </w:r>
                </w:p>
              </w:tc>
              <w:tc>
                <w:tcPr>
                  <w:tcW w:w="976" w:type="dxa"/>
                  <w:vAlign w:val="center"/>
                </w:tcPr>
                <w:p>
                  <w:pPr>
                    <w:pStyle w:val="57"/>
                    <w:spacing w:beforeLines="0" w:afterLines="0" w:line="240" w:lineRule="auto"/>
                  </w:pPr>
                  <w:r>
                    <w:rPr>
                      <w:rFonts w:hint="eastAsia"/>
                    </w:rPr>
                    <w:t>1</w:t>
                  </w:r>
                </w:p>
              </w:tc>
              <w:tc>
                <w:tcPr>
                  <w:tcW w:w="1843" w:type="dxa"/>
                  <w:gridSpan w:val="2"/>
                </w:tcPr>
                <w:p>
                  <w:pPr>
                    <w:pStyle w:val="57"/>
                    <w:spacing w:beforeLines="0" w:afterLines="0" w:line="240" w:lineRule="auto"/>
                  </w:pPr>
                  <w:r>
                    <w:rPr>
                      <w:rFonts w:hint="eastAsia"/>
                    </w:rPr>
                    <w:t>生产车间内</w:t>
                  </w:r>
                </w:p>
              </w:tc>
              <w:tc>
                <w:tcPr>
                  <w:tcW w:w="1276" w:type="dxa"/>
                </w:tcPr>
                <w:p>
                  <w:pPr>
                    <w:pStyle w:val="57"/>
                    <w:spacing w:beforeLines="0" w:afterLines="0" w:line="240" w:lineRule="auto"/>
                  </w:pPr>
                  <w:r>
                    <w:rPr>
                      <w:rFonts w:hint="eastAsia"/>
                    </w:rPr>
                    <w:t>连续</w:t>
                  </w:r>
                </w:p>
              </w:tc>
              <w:tc>
                <w:tcPr>
                  <w:tcW w:w="2161" w:type="dxa"/>
                  <w:vAlign w:val="center"/>
                </w:tcPr>
                <w:p>
                  <w:pPr>
                    <w:pStyle w:val="57"/>
                    <w:spacing w:beforeLines="0" w:afterLines="0" w:line="240" w:lineRule="auto"/>
                    <w:rPr>
                      <w:szCs w:val="21"/>
                    </w:rPr>
                  </w:pPr>
                  <w:r>
                    <w:rPr>
                      <w:rFonts w:hint="eastAsia"/>
                      <w:bCs/>
                      <w:szCs w:val="21"/>
                    </w:rPr>
                    <w:t>80</w:t>
                  </w:r>
                  <w:r>
                    <w:rPr>
                      <w:rFonts w:hAnsi="宋体"/>
                      <w:bCs/>
                      <w:szCs w:val="21"/>
                    </w:rPr>
                    <w:t>～</w:t>
                  </w:r>
                  <w:r>
                    <w:rPr>
                      <w:rFonts w:hint="eastAsia"/>
                      <w:szCs w:val="21"/>
                    </w:rPr>
                    <w:t>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pStyle w:val="57"/>
                    <w:spacing w:beforeLines="0" w:afterLines="0" w:line="240" w:lineRule="auto"/>
                    <w:rPr>
                      <w:szCs w:val="21"/>
                    </w:rPr>
                  </w:pPr>
                  <w:r>
                    <w:rPr>
                      <w:rFonts w:hint="eastAsia"/>
                      <w:szCs w:val="21"/>
                    </w:rPr>
                    <w:t>切割机</w:t>
                  </w:r>
                </w:p>
              </w:tc>
              <w:tc>
                <w:tcPr>
                  <w:tcW w:w="976" w:type="dxa"/>
                  <w:vAlign w:val="center"/>
                </w:tcPr>
                <w:p>
                  <w:pPr>
                    <w:pStyle w:val="57"/>
                    <w:spacing w:beforeLines="0" w:afterLines="0" w:line="240" w:lineRule="auto"/>
                  </w:pPr>
                  <w:r>
                    <w:rPr>
                      <w:rFonts w:hint="eastAsia"/>
                    </w:rPr>
                    <w:t>1</w:t>
                  </w:r>
                </w:p>
              </w:tc>
              <w:tc>
                <w:tcPr>
                  <w:tcW w:w="1843" w:type="dxa"/>
                  <w:gridSpan w:val="2"/>
                </w:tcPr>
                <w:p>
                  <w:pPr>
                    <w:pStyle w:val="57"/>
                    <w:spacing w:beforeLines="0" w:afterLines="0" w:line="240" w:lineRule="auto"/>
                  </w:pPr>
                  <w:r>
                    <w:rPr>
                      <w:rFonts w:hint="eastAsia"/>
                    </w:rPr>
                    <w:t>生产车间内</w:t>
                  </w:r>
                </w:p>
              </w:tc>
              <w:tc>
                <w:tcPr>
                  <w:tcW w:w="1276" w:type="dxa"/>
                </w:tcPr>
                <w:p>
                  <w:pPr>
                    <w:pStyle w:val="57"/>
                    <w:spacing w:beforeLines="0" w:afterLines="0" w:line="240" w:lineRule="auto"/>
                  </w:pPr>
                  <w:r>
                    <w:rPr>
                      <w:rFonts w:hint="eastAsia"/>
                    </w:rPr>
                    <w:t>连续</w:t>
                  </w:r>
                </w:p>
              </w:tc>
              <w:tc>
                <w:tcPr>
                  <w:tcW w:w="2161" w:type="dxa"/>
                  <w:vAlign w:val="center"/>
                </w:tcPr>
                <w:p>
                  <w:pPr>
                    <w:pStyle w:val="57"/>
                    <w:spacing w:beforeLines="0" w:afterLines="0" w:line="240" w:lineRule="auto"/>
                    <w:rPr>
                      <w:bCs/>
                      <w:szCs w:val="21"/>
                    </w:rPr>
                  </w:pPr>
                  <w:r>
                    <w:rPr>
                      <w:rFonts w:hint="eastAsia"/>
                      <w:bCs/>
                      <w:szCs w:val="21"/>
                    </w:rPr>
                    <w:t>80</w:t>
                  </w:r>
                  <w:r>
                    <w:rPr>
                      <w:rFonts w:hAnsi="宋体"/>
                      <w:bCs/>
                      <w:szCs w:val="21"/>
                    </w:rPr>
                    <w:t>～</w:t>
                  </w:r>
                  <w:r>
                    <w:rPr>
                      <w:rFonts w:hint="eastAsia"/>
                      <w:szCs w:val="21"/>
                    </w:rPr>
                    <w:t>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pStyle w:val="57"/>
                    <w:spacing w:beforeLines="0" w:afterLines="0" w:line="240" w:lineRule="auto"/>
                    <w:rPr>
                      <w:szCs w:val="21"/>
                    </w:rPr>
                  </w:pPr>
                  <w:r>
                    <w:rPr>
                      <w:rFonts w:hint="eastAsia"/>
                      <w:szCs w:val="21"/>
                    </w:rPr>
                    <w:t>牵引机</w:t>
                  </w:r>
                </w:p>
              </w:tc>
              <w:tc>
                <w:tcPr>
                  <w:tcW w:w="976" w:type="dxa"/>
                  <w:vAlign w:val="center"/>
                </w:tcPr>
                <w:p>
                  <w:pPr>
                    <w:pStyle w:val="57"/>
                    <w:spacing w:beforeLines="0" w:afterLines="0" w:line="240" w:lineRule="auto"/>
                  </w:pPr>
                  <w:r>
                    <w:rPr>
                      <w:rFonts w:hint="eastAsia"/>
                    </w:rPr>
                    <w:t>9</w:t>
                  </w:r>
                </w:p>
              </w:tc>
              <w:tc>
                <w:tcPr>
                  <w:tcW w:w="1843" w:type="dxa"/>
                  <w:gridSpan w:val="2"/>
                </w:tcPr>
                <w:p>
                  <w:pPr>
                    <w:pStyle w:val="57"/>
                    <w:spacing w:beforeLines="0" w:afterLines="0" w:line="240" w:lineRule="auto"/>
                  </w:pPr>
                  <w:r>
                    <w:rPr>
                      <w:rFonts w:hint="eastAsia"/>
                    </w:rPr>
                    <w:t>生产车间内</w:t>
                  </w:r>
                </w:p>
              </w:tc>
              <w:tc>
                <w:tcPr>
                  <w:tcW w:w="1276" w:type="dxa"/>
                </w:tcPr>
                <w:p>
                  <w:pPr>
                    <w:pStyle w:val="57"/>
                    <w:spacing w:beforeLines="0" w:afterLines="0" w:line="240" w:lineRule="auto"/>
                  </w:pPr>
                  <w:r>
                    <w:rPr>
                      <w:rFonts w:hint="eastAsia"/>
                    </w:rPr>
                    <w:t>连续</w:t>
                  </w:r>
                </w:p>
              </w:tc>
              <w:tc>
                <w:tcPr>
                  <w:tcW w:w="2161" w:type="dxa"/>
                  <w:vAlign w:val="center"/>
                </w:tcPr>
                <w:p>
                  <w:pPr>
                    <w:pStyle w:val="57"/>
                    <w:spacing w:beforeLines="0" w:afterLines="0" w:line="240" w:lineRule="auto"/>
                    <w:rPr>
                      <w:bCs/>
                      <w:szCs w:val="21"/>
                    </w:rPr>
                  </w:pPr>
                  <w:r>
                    <w:rPr>
                      <w:rFonts w:hint="eastAsia"/>
                      <w:bCs/>
                      <w:szCs w:val="21"/>
                    </w:rPr>
                    <w:t>80</w:t>
                  </w:r>
                  <w:r>
                    <w:rPr>
                      <w:rFonts w:hAnsi="宋体"/>
                      <w:bCs/>
                      <w:szCs w:val="21"/>
                    </w:rPr>
                    <w:t>～</w:t>
                  </w:r>
                  <w:r>
                    <w:rPr>
                      <w:rFonts w:hint="eastAsia"/>
                      <w:szCs w:val="21"/>
                    </w:rPr>
                    <w:t>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pStyle w:val="57"/>
                    <w:spacing w:beforeLines="0" w:afterLines="0" w:line="240" w:lineRule="auto"/>
                    <w:rPr>
                      <w:szCs w:val="21"/>
                    </w:rPr>
                  </w:pPr>
                  <w:r>
                    <w:rPr>
                      <w:szCs w:val="21"/>
                    </w:rPr>
                    <w:t>风机</w:t>
                  </w:r>
                </w:p>
              </w:tc>
              <w:tc>
                <w:tcPr>
                  <w:tcW w:w="976" w:type="dxa"/>
                  <w:vAlign w:val="center"/>
                </w:tcPr>
                <w:p>
                  <w:pPr>
                    <w:pStyle w:val="57"/>
                    <w:spacing w:beforeLines="0" w:afterLines="0" w:line="240" w:lineRule="auto"/>
                  </w:pPr>
                  <w:r>
                    <w:rPr>
                      <w:rFonts w:hint="eastAsia"/>
                    </w:rPr>
                    <w:t>18</w:t>
                  </w:r>
                </w:p>
              </w:tc>
              <w:tc>
                <w:tcPr>
                  <w:tcW w:w="1843" w:type="dxa"/>
                  <w:gridSpan w:val="2"/>
                </w:tcPr>
                <w:p>
                  <w:pPr>
                    <w:pStyle w:val="57"/>
                    <w:spacing w:beforeLines="0" w:afterLines="0" w:line="240" w:lineRule="auto"/>
                  </w:pPr>
                  <w:r>
                    <w:rPr>
                      <w:rFonts w:hint="eastAsia"/>
                    </w:rPr>
                    <w:t>生产车间内</w:t>
                  </w:r>
                </w:p>
              </w:tc>
              <w:tc>
                <w:tcPr>
                  <w:tcW w:w="1276" w:type="dxa"/>
                </w:tcPr>
                <w:p>
                  <w:pPr>
                    <w:pStyle w:val="57"/>
                    <w:spacing w:beforeLines="0" w:afterLines="0" w:line="240" w:lineRule="auto"/>
                  </w:pPr>
                  <w:r>
                    <w:rPr>
                      <w:rFonts w:hint="eastAsia"/>
                    </w:rPr>
                    <w:t>连续</w:t>
                  </w:r>
                </w:p>
              </w:tc>
              <w:tc>
                <w:tcPr>
                  <w:tcW w:w="2161" w:type="dxa"/>
                  <w:vAlign w:val="center"/>
                </w:tcPr>
                <w:p>
                  <w:pPr>
                    <w:pStyle w:val="57"/>
                    <w:spacing w:beforeLines="0" w:afterLines="0" w:line="240" w:lineRule="auto"/>
                    <w:rPr>
                      <w:bCs/>
                      <w:szCs w:val="21"/>
                    </w:rPr>
                  </w:pPr>
                  <w:r>
                    <w:rPr>
                      <w:rFonts w:hint="eastAsia"/>
                      <w:bCs/>
                      <w:szCs w:val="21"/>
                    </w:rPr>
                    <w:t>85</w:t>
                  </w:r>
                  <w:r>
                    <w:rPr>
                      <w:rFonts w:hAnsi="宋体"/>
                      <w:bCs/>
                      <w:szCs w:val="21"/>
                    </w:rPr>
                    <w:t>～</w:t>
                  </w:r>
                  <w:r>
                    <w:rPr>
                      <w:rFonts w:hint="eastAsia"/>
                      <w:szCs w:val="21"/>
                    </w:rPr>
                    <w:t>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pStyle w:val="57"/>
                    <w:spacing w:beforeLines="0" w:afterLines="0" w:line="240" w:lineRule="auto"/>
                    <w:rPr>
                      <w:szCs w:val="21"/>
                    </w:rPr>
                  </w:pPr>
                  <w:r>
                    <w:rPr>
                      <w:szCs w:val="21"/>
                    </w:rPr>
                    <w:t>液压步进机</w:t>
                  </w:r>
                </w:p>
              </w:tc>
              <w:tc>
                <w:tcPr>
                  <w:tcW w:w="976" w:type="dxa"/>
                  <w:vAlign w:val="center"/>
                </w:tcPr>
                <w:p>
                  <w:pPr>
                    <w:pStyle w:val="57"/>
                    <w:spacing w:beforeLines="0" w:afterLines="0" w:line="240" w:lineRule="auto"/>
                  </w:pPr>
                  <w:r>
                    <w:rPr>
                      <w:rFonts w:hint="eastAsia"/>
                    </w:rPr>
                    <w:t>3</w:t>
                  </w:r>
                </w:p>
              </w:tc>
              <w:tc>
                <w:tcPr>
                  <w:tcW w:w="1843" w:type="dxa"/>
                  <w:gridSpan w:val="2"/>
                </w:tcPr>
                <w:p>
                  <w:pPr>
                    <w:pStyle w:val="57"/>
                    <w:spacing w:beforeLines="0" w:afterLines="0" w:line="240" w:lineRule="auto"/>
                  </w:pPr>
                  <w:r>
                    <w:rPr>
                      <w:rFonts w:hint="eastAsia"/>
                    </w:rPr>
                    <w:t>生产车间内</w:t>
                  </w:r>
                </w:p>
              </w:tc>
              <w:tc>
                <w:tcPr>
                  <w:tcW w:w="1276" w:type="dxa"/>
                </w:tcPr>
                <w:p>
                  <w:pPr>
                    <w:pStyle w:val="57"/>
                    <w:spacing w:beforeLines="0" w:afterLines="0" w:line="240" w:lineRule="auto"/>
                  </w:pPr>
                  <w:r>
                    <w:rPr>
                      <w:rFonts w:hint="eastAsia"/>
                    </w:rPr>
                    <w:t>连续</w:t>
                  </w:r>
                </w:p>
              </w:tc>
              <w:tc>
                <w:tcPr>
                  <w:tcW w:w="2161" w:type="dxa"/>
                  <w:vAlign w:val="center"/>
                </w:tcPr>
                <w:p>
                  <w:pPr>
                    <w:pStyle w:val="57"/>
                    <w:spacing w:beforeLines="0" w:afterLines="0" w:line="240" w:lineRule="auto"/>
                    <w:rPr>
                      <w:bCs/>
                      <w:szCs w:val="21"/>
                    </w:rPr>
                  </w:pPr>
                  <w:r>
                    <w:rPr>
                      <w:rFonts w:hint="eastAsia"/>
                      <w:bCs/>
                      <w:szCs w:val="21"/>
                    </w:rPr>
                    <w:t>80</w:t>
                  </w:r>
                  <w:r>
                    <w:rPr>
                      <w:rFonts w:hAnsi="宋体"/>
                      <w:bCs/>
                      <w:szCs w:val="21"/>
                    </w:rPr>
                    <w:t>～</w:t>
                  </w:r>
                  <w:r>
                    <w:rPr>
                      <w:rFonts w:hint="eastAsia"/>
                      <w:szCs w:val="21"/>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pStyle w:val="57"/>
                    <w:spacing w:beforeLines="0" w:afterLines="0" w:line="240" w:lineRule="auto"/>
                    <w:rPr>
                      <w:szCs w:val="21"/>
                    </w:rPr>
                  </w:pPr>
                  <w:r>
                    <w:rPr>
                      <w:rFonts w:hint="eastAsia"/>
                      <w:szCs w:val="21"/>
                    </w:rPr>
                    <w:t>打带机</w:t>
                  </w:r>
                </w:p>
              </w:tc>
              <w:tc>
                <w:tcPr>
                  <w:tcW w:w="976" w:type="dxa"/>
                  <w:vAlign w:val="center"/>
                </w:tcPr>
                <w:p>
                  <w:pPr>
                    <w:pStyle w:val="57"/>
                    <w:spacing w:beforeLines="0" w:afterLines="0" w:line="240" w:lineRule="auto"/>
                  </w:pPr>
                  <w:r>
                    <w:rPr>
                      <w:rFonts w:hint="eastAsia"/>
                    </w:rPr>
                    <w:t>2</w:t>
                  </w:r>
                </w:p>
              </w:tc>
              <w:tc>
                <w:tcPr>
                  <w:tcW w:w="1843" w:type="dxa"/>
                  <w:gridSpan w:val="2"/>
                </w:tcPr>
                <w:p>
                  <w:pPr>
                    <w:pStyle w:val="57"/>
                    <w:spacing w:beforeLines="0" w:afterLines="0" w:line="240" w:lineRule="auto"/>
                  </w:pPr>
                  <w:r>
                    <w:rPr>
                      <w:rFonts w:hint="eastAsia"/>
                    </w:rPr>
                    <w:t>生产车间内</w:t>
                  </w:r>
                </w:p>
              </w:tc>
              <w:tc>
                <w:tcPr>
                  <w:tcW w:w="1276" w:type="dxa"/>
                </w:tcPr>
                <w:p>
                  <w:pPr>
                    <w:pStyle w:val="57"/>
                    <w:spacing w:beforeLines="0" w:afterLines="0" w:line="240" w:lineRule="auto"/>
                  </w:pPr>
                  <w:r>
                    <w:rPr>
                      <w:rFonts w:hint="eastAsia"/>
                    </w:rPr>
                    <w:t>连续</w:t>
                  </w:r>
                </w:p>
              </w:tc>
              <w:tc>
                <w:tcPr>
                  <w:tcW w:w="2161" w:type="dxa"/>
                  <w:vAlign w:val="center"/>
                </w:tcPr>
                <w:p>
                  <w:pPr>
                    <w:pStyle w:val="57"/>
                    <w:spacing w:beforeLines="0" w:afterLines="0" w:line="240" w:lineRule="auto"/>
                    <w:rPr>
                      <w:bCs/>
                      <w:szCs w:val="21"/>
                    </w:rPr>
                  </w:pPr>
                  <w:r>
                    <w:rPr>
                      <w:rFonts w:hint="eastAsia"/>
                      <w:bCs/>
                      <w:szCs w:val="21"/>
                    </w:rPr>
                    <w:t>80</w:t>
                  </w:r>
                  <w:r>
                    <w:rPr>
                      <w:rFonts w:hAnsi="宋体"/>
                      <w:bCs/>
                      <w:szCs w:val="21"/>
                    </w:rPr>
                    <w:t>～</w:t>
                  </w:r>
                  <w:r>
                    <w:rPr>
                      <w:rFonts w:hint="eastAsia"/>
                      <w:szCs w:val="21"/>
                    </w:rPr>
                    <w:t>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pStyle w:val="57"/>
                    <w:spacing w:beforeLines="0" w:afterLines="0" w:line="240" w:lineRule="auto"/>
                    <w:rPr>
                      <w:szCs w:val="21"/>
                    </w:rPr>
                  </w:pPr>
                  <w:r>
                    <w:rPr>
                      <w:szCs w:val="21"/>
                    </w:rPr>
                    <w:t>皮带输送机B800</w:t>
                  </w:r>
                </w:p>
              </w:tc>
              <w:tc>
                <w:tcPr>
                  <w:tcW w:w="976" w:type="dxa"/>
                  <w:vAlign w:val="center"/>
                </w:tcPr>
                <w:p>
                  <w:pPr>
                    <w:pStyle w:val="57"/>
                    <w:spacing w:beforeLines="0" w:afterLines="0" w:line="240" w:lineRule="auto"/>
                  </w:pPr>
                  <w:r>
                    <w:rPr>
                      <w:rFonts w:hint="eastAsia"/>
                    </w:rPr>
                    <w:t>18</w:t>
                  </w:r>
                </w:p>
              </w:tc>
              <w:tc>
                <w:tcPr>
                  <w:tcW w:w="1843" w:type="dxa"/>
                  <w:gridSpan w:val="2"/>
                </w:tcPr>
                <w:p>
                  <w:pPr>
                    <w:pStyle w:val="57"/>
                    <w:spacing w:beforeLines="0" w:afterLines="0" w:line="240" w:lineRule="auto"/>
                  </w:pPr>
                  <w:r>
                    <w:rPr>
                      <w:rFonts w:hint="eastAsia"/>
                    </w:rPr>
                    <w:t>生产车间内</w:t>
                  </w:r>
                </w:p>
              </w:tc>
              <w:tc>
                <w:tcPr>
                  <w:tcW w:w="1276" w:type="dxa"/>
                </w:tcPr>
                <w:p>
                  <w:pPr>
                    <w:pStyle w:val="57"/>
                    <w:spacing w:beforeLines="0" w:afterLines="0" w:line="240" w:lineRule="auto"/>
                  </w:pPr>
                  <w:r>
                    <w:rPr>
                      <w:rFonts w:hint="eastAsia"/>
                    </w:rPr>
                    <w:t>连续</w:t>
                  </w:r>
                </w:p>
              </w:tc>
              <w:tc>
                <w:tcPr>
                  <w:tcW w:w="2161" w:type="dxa"/>
                  <w:vAlign w:val="center"/>
                </w:tcPr>
                <w:p>
                  <w:pPr>
                    <w:pStyle w:val="57"/>
                    <w:spacing w:beforeLines="0" w:afterLines="0" w:line="240" w:lineRule="auto"/>
                    <w:rPr>
                      <w:bCs/>
                      <w:szCs w:val="21"/>
                    </w:rPr>
                  </w:pPr>
                  <w:r>
                    <w:rPr>
                      <w:rFonts w:hint="eastAsia"/>
                      <w:bCs/>
                      <w:szCs w:val="21"/>
                    </w:rPr>
                    <w:t>80</w:t>
                  </w:r>
                  <w:r>
                    <w:rPr>
                      <w:rFonts w:hAnsi="宋体"/>
                      <w:bCs/>
                      <w:szCs w:val="21"/>
                    </w:rPr>
                    <w:t>～</w:t>
                  </w:r>
                  <w:r>
                    <w:rPr>
                      <w:rFonts w:hint="eastAsia"/>
                      <w:szCs w:val="21"/>
                    </w:rPr>
                    <w:t>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68" w:type="dxa"/>
                  <w:vAlign w:val="center"/>
                </w:tcPr>
                <w:p>
                  <w:pPr>
                    <w:pStyle w:val="57"/>
                    <w:spacing w:beforeLines="0" w:afterLines="0" w:line="240" w:lineRule="auto"/>
                    <w:rPr>
                      <w:szCs w:val="21"/>
                    </w:rPr>
                  </w:pPr>
                  <w:r>
                    <w:rPr>
                      <w:rFonts w:hint="eastAsia"/>
                      <w:szCs w:val="21"/>
                    </w:rPr>
                    <w:t>摆渡车</w:t>
                  </w:r>
                </w:p>
              </w:tc>
              <w:tc>
                <w:tcPr>
                  <w:tcW w:w="976" w:type="dxa"/>
                  <w:vAlign w:val="center"/>
                </w:tcPr>
                <w:p>
                  <w:pPr>
                    <w:pStyle w:val="57"/>
                    <w:spacing w:beforeLines="0" w:afterLines="0" w:line="240" w:lineRule="auto"/>
                  </w:pPr>
                  <w:r>
                    <w:rPr>
                      <w:rFonts w:hint="eastAsia"/>
                    </w:rPr>
                    <w:t>4</w:t>
                  </w:r>
                </w:p>
              </w:tc>
              <w:tc>
                <w:tcPr>
                  <w:tcW w:w="1843" w:type="dxa"/>
                  <w:gridSpan w:val="2"/>
                </w:tcPr>
                <w:p>
                  <w:pPr>
                    <w:pStyle w:val="57"/>
                    <w:spacing w:beforeLines="0" w:afterLines="0" w:line="240" w:lineRule="auto"/>
                  </w:pPr>
                  <w:r>
                    <w:rPr>
                      <w:rFonts w:hint="eastAsia"/>
                    </w:rPr>
                    <w:t>生产车间内</w:t>
                  </w:r>
                </w:p>
              </w:tc>
              <w:tc>
                <w:tcPr>
                  <w:tcW w:w="1276" w:type="dxa"/>
                </w:tcPr>
                <w:p>
                  <w:pPr>
                    <w:pStyle w:val="57"/>
                    <w:spacing w:beforeLines="0" w:afterLines="0" w:line="240" w:lineRule="auto"/>
                  </w:pPr>
                  <w:r>
                    <w:rPr>
                      <w:rFonts w:hint="eastAsia"/>
                    </w:rPr>
                    <w:t>连续</w:t>
                  </w:r>
                </w:p>
              </w:tc>
              <w:tc>
                <w:tcPr>
                  <w:tcW w:w="2161" w:type="dxa"/>
                  <w:vAlign w:val="center"/>
                </w:tcPr>
                <w:p>
                  <w:pPr>
                    <w:pStyle w:val="57"/>
                    <w:spacing w:beforeLines="0" w:afterLines="0" w:line="240" w:lineRule="auto"/>
                    <w:rPr>
                      <w:bCs/>
                      <w:szCs w:val="21"/>
                    </w:rPr>
                  </w:pPr>
                  <w:r>
                    <w:rPr>
                      <w:rFonts w:hint="eastAsia"/>
                      <w:bCs/>
                      <w:szCs w:val="21"/>
                    </w:rPr>
                    <w:t>80</w:t>
                  </w:r>
                  <w:r>
                    <w:rPr>
                      <w:rFonts w:hAnsi="宋体"/>
                      <w:bCs/>
                      <w:szCs w:val="21"/>
                    </w:rPr>
                    <w:t>～</w:t>
                  </w:r>
                  <w:r>
                    <w:rPr>
                      <w:rFonts w:hint="eastAsia"/>
                      <w:szCs w:val="21"/>
                    </w:rPr>
                    <w:t>85</w:t>
                  </w:r>
                </w:p>
              </w:tc>
            </w:tr>
          </w:tbl>
          <w:p>
            <w:pPr>
              <w:spacing w:line="360" w:lineRule="auto"/>
              <w:ind w:firstLine="480" w:firstLineChars="200"/>
              <w:rPr>
                <w:sz w:val="24"/>
              </w:rPr>
            </w:pPr>
          </w:p>
          <w:p>
            <w:pPr>
              <w:spacing w:line="360" w:lineRule="auto"/>
              <w:ind w:firstLine="480" w:firstLineChars="200"/>
              <w:rPr>
                <w:sz w:val="24"/>
              </w:rPr>
            </w:pPr>
            <w:r>
              <w:rPr>
                <w:sz w:val="24"/>
              </w:rPr>
              <w:t>4</w:t>
            </w:r>
            <w:r>
              <w:rPr>
                <w:rFonts w:hAnsi="宋体"/>
                <w:sz w:val="24"/>
              </w:rPr>
              <w:t>、固体废物</w:t>
            </w:r>
          </w:p>
          <w:p>
            <w:pPr>
              <w:spacing w:line="360" w:lineRule="auto"/>
              <w:ind w:firstLine="480" w:firstLineChars="200"/>
              <w:rPr>
                <w:rFonts w:hAnsi="宋体"/>
                <w:sz w:val="24"/>
              </w:rPr>
            </w:pPr>
            <w:r>
              <w:rPr>
                <w:rFonts w:hAnsi="宋体"/>
                <w:sz w:val="24"/>
              </w:rPr>
              <w:t>项目营运期产生的固体废物主要是</w:t>
            </w:r>
            <w:r>
              <w:rPr>
                <w:rFonts w:hint="eastAsia" w:hAnsi="宋体"/>
                <w:sz w:val="24"/>
              </w:rPr>
              <w:t>生产过程中产生的废砖坯、废机油及少量生活垃圾。</w:t>
            </w:r>
          </w:p>
          <w:p>
            <w:pPr>
              <w:spacing w:line="360" w:lineRule="auto"/>
              <w:ind w:firstLine="480" w:firstLineChars="200"/>
              <w:rPr>
                <w:rFonts w:hAnsi="宋体"/>
                <w:sz w:val="24"/>
              </w:rPr>
            </w:pPr>
            <w:r>
              <w:rPr>
                <w:rFonts w:hint="eastAsia" w:hAnsi="宋体"/>
                <w:sz w:val="24"/>
              </w:rPr>
              <w:t>（1）废砖坯</w:t>
            </w:r>
          </w:p>
          <w:p>
            <w:pPr>
              <w:spacing w:line="360" w:lineRule="auto"/>
              <w:ind w:firstLine="480" w:firstLineChars="200"/>
              <w:rPr>
                <w:rFonts w:hAnsi="宋体"/>
                <w:sz w:val="24"/>
              </w:rPr>
            </w:pPr>
            <w:r>
              <w:rPr>
                <w:rFonts w:hint="eastAsia" w:hAnsi="宋体"/>
                <w:sz w:val="24"/>
              </w:rPr>
              <w:t>项目营运</w:t>
            </w:r>
            <w:r>
              <w:rPr>
                <w:rFonts w:hAnsi="宋体"/>
                <w:sz w:val="24"/>
              </w:rPr>
              <w:t>期切块过程中会产生不合格的湿</w:t>
            </w:r>
            <w:r>
              <w:rPr>
                <w:rFonts w:hint="eastAsia" w:hAnsi="宋体"/>
                <w:sz w:val="24"/>
              </w:rPr>
              <w:t>坯</w:t>
            </w:r>
            <w:r>
              <w:rPr>
                <w:rFonts w:hAnsi="宋体"/>
                <w:sz w:val="24"/>
              </w:rPr>
              <w:t>、烧结过程中会产生不合格的焙烧</w:t>
            </w:r>
            <w:r>
              <w:rPr>
                <w:rFonts w:hint="eastAsia" w:hAnsi="宋体"/>
                <w:sz w:val="24"/>
              </w:rPr>
              <w:t>砖，根据设计参数，</w:t>
            </w:r>
            <w:r>
              <w:rPr>
                <w:rFonts w:hAnsi="宋体"/>
                <w:sz w:val="24"/>
              </w:rPr>
              <w:t>不合格产生</w:t>
            </w:r>
            <w:r>
              <w:rPr>
                <w:sz w:val="24"/>
              </w:rPr>
              <w:t>量按照</w:t>
            </w:r>
            <w:r>
              <w:rPr>
                <w:rFonts w:hint="eastAsia"/>
                <w:sz w:val="24"/>
              </w:rPr>
              <w:t>原料量2</w:t>
            </w:r>
            <w:r>
              <w:rPr>
                <w:sz w:val="24"/>
              </w:rPr>
              <w:t>%核算，约为</w:t>
            </w:r>
            <w:r>
              <w:rPr>
                <w:rFonts w:hint="eastAsia"/>
                <w:sz w:val="24"/>
              </w:rPr>
              <w:t>3380t</w:t>
            </w:r>
            <w:r>
              <w:rPr>
                <w:sz w:val="24"/>
              </w:rPr>
              <w:t>/a，本项目生</w:t>
            </w:r>
            <w:r>
              <w:rPr>
                <w:rFonts w:hAnsi="宋体"/>
                <w:sz w:val="24"/>
              </w:rPr>
              <w:t>产过程中</w:t>
            </w:r>
            <w:r>
              <w:rPr>
                <w:rFonts w:hint="eastAsia" w:hAnsi="宋体"/>
                <w:sz w:val="24"/>
              </w:rPr>
              <w:t>产生的</w:t>
            </w:r>
            <w:r>
              <w:rPr>
                <w:rFonts w:hAnsi="宋体"/>
                <w:sz w:val="24"/>
              </w:rPr>
              <w:t>不合格湿坯</w:t>
            </w:r>
            <w:r>
              <w:rPr>
                <w:rFonts w:hint="eastAsia" w:hAnsi="宋体"/>
                <w:sz w:val="24"/>
              </w:rPr>
              <w:t>和不合格焙烧砖均返回到成型车间，全部重新回用于生产线。</w:t>
            </w:r>
          </w:p>
          <w:p>
            <w:pPr>
              <w:spacing w:line="360" w:lineRule="auto"/>
              <w:ind w:firstLine="480" w:firstLineChars="200"/>
              <w:rPr>
                <w:rFonts w:hAnsi="宋体"/>
                <w:sz w:val="24"/>
              </w:rPr>
            </w:pPr>
            <w:r>
              <w:rPr>
                <w:rFonts w:hint="eastAsia" w:hAnsi="宋体"/>
                <w:sz w:val="24"/>
              </w:rPr>
              <w:t>（2）废机油</w:t>
            </w:r>
          </w:p>
          <w:p>
            <w:pPr>
              <w:autoSpaceDE w:val="0"/>
              <w:autoSpaceDN w:val="0"/>
              <w:adjustRightInd w:val="0"/>
              <w:snapToGrid w:val="0"/>
              <w:spacing w:line="360" w:lineRule="auto"/>
              <w:ind w:firstLine="480" w:firstLineChars="200"/>
              <w:rPr>
                <w:rFonts w:hAnsi="宋体"/>
                <w:sz w:val="24"/>
              </w:rPr>
            </w:pPr>
            <w:r>
              <w:rPr>
                <w:rFonts w:hint="eastAsia" w:hAnsi="宋体"/>
                <w:sz w:val="24"/>
              </w:rPr>
              <w:t>项目生产过程、设备维护及机械设备维修过程中使用机油，属于危险废物，废物代码为900-217-08，产生量约0.05t/a，交有资质单位处置。</w:t>
            </w:r>
          </w:p>
          <w:p>
            <w:pPr>
              <w:spacing w:line="360" w:lineRule="auto"/>
              <w:ind w:firstLine="480" w:firstLineChars="200"/>
              <w:rPr>
                <w:rFonts w:hAnsi="宋体"/>
                <w:sz w:val="24"/>
              </w:rPr>
            </w:pPr>
            <w:r>
              <w:rPr>
                <w:rFonts w:hint="eastAsia" w:hAnsi="宋体"/>
                <w:sz w:val="24"/>
              </w:rPr>
              <w:t>（3）生活垃圾</w:t>
            </w:r>
          </w:p>
          <w:p>
            <w:pPr>
              <w:spacing w:line="360" w:lineRule="auto"/>
              <w:ind w:firstLine="480" w:firstLineChars="200"/>
              <w:rPr>
                <w:rFonts w:hAnsi="宋体"/>
                <w:sz w:val="24"/>
              </w:rPr>
            </w:pPr>
            <w:r>
              <w:rPr>
                <w:rFonts w:hAnsi="宋体"/>
                <w:sz w:val="24"/>
              </w:rPr>
              <w:t>项目</w:t>
            </w:r>
            <w:r>
              <w:rPr>
                <w:rFonts w:hint="eastAsia" w:hAnsi="宋体"/>
                <w:sz w:val="24"/>
              </w:rPr>
              <w:t>营运</w:t>
            </w:r>
            <w:r>
              <w:rPr>
                <w:rFonts w:hAnsi="宋体"/>
                <w:sz w:val="24"/>
              </w:rPr>
              <w:t>期劳动定员为</w:t>
            </w:r>
            <w:r>
              <w:rPr>
                <w:rFonts w:hint="eastAsia" w:hAnsi="宋体"/>
                <w:sz w:val="24"/>
              </w:rPr>
              <w:t>82</w:t>
            </w:r>
            <w:r>
              <w:rPr>
                <w:rFonts w:hAnsi="宋体"/>
                <w:sz w:val="24"/>
              </w:rPr>
              <w:t>人，人均产生生活垃圾按</w:t>
            </w:r>
            <w:r>
              <w:rPr>
                <w:rFonts w:hint="eastAsia" w:hAnsi="宋体"/>
                <w:sz w:val="24"/>
              </w:rPr>
              <w:t>0.5</w:t>
            </w:r>
            <w:r>
              <w:rPr>
                <w:rFonts w:hAnsi="宋体"/>
                <w:sz w:val="24"/>
              </w:rPr>
              <w:t>kg/d计，则项目运营期生活垃圾产生量</w:t>
            </w:r>
            <w:r>
              <w:rPr>
                <w:rFonts w:hint="eastAsia" w:hAnsi="宋体"/>
                <w:sz w:val="24"/>
              </w:rPr>
              <w:t>约</w:t>
            </w:r>
            <w:r>
              <w:rPr>
                <w:rFonts w:hAnsi="宋体"/>
                <w:sz w:val="24"/>
              </w:rPr>
              <w:t>为</w:t>
            </w:r>
            <w:r>
              <w:rPr>
                <w:rFonts w:hint="eastAsia" w:hAnsi="宋体"/>
                <w:sz w:val="24"/>
              </w:rPr>
              <w:t>12.3</w:t>
            </w:r>
            <w:r>
              <w:rPr>
                <w:rFonts w:hAnsi="宋体"/>
                <w:sz w:val="24"/>
              </w:rPr>
              <w:t>t/a</w:t>
            </w:r>
            <w:r>
              <w:rPr>
                <w:rFonts w:hint="eastAsia" w:hAnsi="宋体"/>
                <w:sz w:val="24"/>
              </w:rPr>
              <w:t>。</w:t>
            </w:r>
          </w:p>
          <w:p>
            <w:pPr>
              <w:spacing w:line="360" w:lineRule="auto"/>
              <w:ind w:firstLine="480" w:firstLineChars="200"/>
              <w:rPr>
                <w:rFonts w:hAnsi="宋体"/>
                <w:color w:val="FF0000"/>
                <w:sz w:val="24"/>
              </w:rPr>
            </w:pPr>
            <w:r>
              <w:rPr>
                <w:rFonts w:hint="eastAsia" w:hAnsi="宋体"/>
                <w:color w:val="FF0000"/>
                <w:sz w:val="24"/>
              </w:rPr>
              <w:t>职工餐厅使用过程中产生餐厨垃圾，产生量以0.1kg/人·d计，餐厨垃圾产生量约为8kg/d（2.4t/a），废油脂产生量约为0.2t/a。餐厨垃圾集中收集交相关回收单位处置，其中，废油脂交由有资质单位处置。</w:t>
            </w:r>
          </w:p>
          <w:p>
            <w:pPr>
              <w:jc w:val="center"/>
              <w:rPr>
                <w:b/>
                <w:szCs w:val="21"/>
              </w:rPr>
            </w:pPr>
            <w:r>
              <w:rPr>
                <w:rFonts w:hint="eastAsia"/>
                <w:b/>
                <w:szCs w:val="21"/>
              </w:rPr>
              <w:t>表33  固废产生情况一览表</w:t>
            </w:r>
          </w:p>
          <w:tbl>
            <w:tblPr>
              <w:tblStyle w:val="24"/>
              <w:tblW w:w="8839"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05"/>
              <w:gridCol w:w="1695"/>
              <w:gridCol w:w="1165"/>
              <w:gridCol w:w="1135"/>
              <w:gridCol w:w="1063"/>
              <w:gridCol w:w="1246"/>
              <w:gridCol w:w="183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07" w:hRule="atLeast"/>
              </w:trPr>
              <w:tc>
                <w:tcPr>
                  <w:tcW w:w="705" w:type="dxa"/>
                  <w:vAlign w:val="center"/>
                </w:tcPr>
                <w:p>
                  <w:pPr>
                    <w:pStyle w:val="76"/>
                    <w:rPr>
                      <w:sz w:val="21"/>
                      <w:szCs w:val="21"/>
                    </w:rPr>
                  </w:pPr>
                  <w:r>
                    <w:rPr>
                      <w:sz w:val="21"/>
                      <w:szCs w:val="21"/>
                    </w:rPr>
                    <w:t>序号</w:t>
                  </w:r>
                </w:p>
              </w:tc>
              <w:tc>
                <w:tcPr>
                  <w:tcW w:w="1695" w:type="dxa"/>
                  <w:vAlign w:val="center"/>
                </w:tcPr>
                <w:p>
                  <w:pPr>
                    <w:pStyle w:val="76"/>
                    <w:rPr>
                      <w:sz w:val="21"/>
                      <w:szCs w:val="21"/>
                    </w:rPr>
                  </w:pPr>
                  <w:r>
                    <w:rPr>
                      <w:sz w:val="21"/>
                      <w:szCs w:val="21"/>
                    </w:rPr>
                    <w:t>名称</w:t>
                  </w:r>
                </w:p>
              </w:tc>
              <w:tc>
                <w:tcPr>
                  <w:tcW w:w="1165" w:type="dxa"/>
                  <w:vAlign w:val="center"/>
                </w:tcPr>
                <w:p>
                  <w:pPr>
                    <w:pStyle w:val="76"/>
                    <w:rPr>
                      <w:sz w:val="21"/>
                      <w:szCs w:val="21"/>
                    </w:rPr>
                  </w:pPr>
                  <w:r>
                    <w:rPr>
                      <w:rFonts w:hint="eastAsia"/>
                      <w:sz w:val="21"/>
                      <w:szCs w:val="21"/>
                    </w:rPr>
                    <w:t>属性</w:t>
                  </w:r>
                </w:p>
              </w:tc>
              <w:tc>
                <w:tcPr>
                  <w:tcW w:w="1135" w:type="dxa"/>
                  <w:vAlign w:val="center"/>
                </w:tcPr>
                <w:p>
                  <w:pPr>
                    <w:pStyle w:val="76"/>
                    <w:rPr>
                      <w:sz w:val="21"/>
                      <w:szCs w:val="21"/>
                    </w:rPr>
                  </w:pPr>
                  <w:r>
                    <w:rPr>
                      <w:rFonts w:hint="eastAsia"/>
                      <w:sz w:val="21"/>
                      <w:szCs w:val="21"/>
                    </w:rPr>
                    <w:t>产生工序</w:t>
                  </w:r>
                </w:p>
              </w:tc>
              <w:tc>
                <w:tcPr>
                  <w:tcW w:w="1063" w:type="dxa"/>
                  <w:vAlign w:val="center"/>
                </w:tcPr>
                <w:p>
                  <w:pPr>
                    <w:pStyle w:val="76"/>
                    <w:rPr>
                      <w:sz w:val="21"/>
                      <w:szCs w:val="21"/>
                    </w:rPr>
                  </w:pPr>
                  <w:r>
                    <w:rPr>
                      <w:sz w:val="21"/>
                      <w:szCs w:val="21"/>
                    </w:rPr>
                    <w:t>产生量</w:t>
                  </w:r>
                </w:p>
              </w:tc>
              <w:tc>
                <w:tcPr>
                  <w:tcW w:w="1246" w:type="dxa"/>
                  <w:vAlign w:val="center"/>
                </w:tcPr>
                <w:p>
                  <w:pPr>
                    <w:pStyle w:val="76"/>
                    <w:rPr>
                      <w:sz w:val="21"/>
                      <w:szCs w:val="21"/>
                    </w:rPr>
                  </w:pPr>
                  <w:r>
                    <w:rPr>
                      <w:sz w:val="21"/>
                      <w:szCs w:val="21"/>
                    </w:rPr>
                    <w:t>主要成分</w:t>
                  </w:r>
                </w:p>
              </w:tc>
              <w:tc>
                <w:tcPr>
                  <w:tcW w:w="1830" w:type="dxa"/>
                  <w:vAlign w:val="center"/>
                </w:tcPr>
                <w:p>
                  <w:pPr>
                    <w:pStyle w:val="76"/>
                    <w:rPr>
                      <w:sz w:val="21"/>
                      <w:szCs w:val="21"/>
                    </w:rPr>
                  </w:pPr>
                  <w:r>
                    <w:rPr>
                      <w:sz w:val="21"/>
                      <w:szCs w:val="21"/>
                    </w:rPr>
                    <w:t>处置方式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07" w:hRule="atLeast"/>
              </w:trPr>
              <w:tc>
                <w:tcPr>
                  <w:tcW w:w="705" w:type="dxa"/>
                  <w:vAlign w:val="center"/>
                </w:tcPr>
                <w:p>
                  <w:pPr>
                    <w:pStyle w:val="76"/>
                    <w:rPr>
                      <w:sz w:val="21"/>
                      <w:szCs w:val="21"/>
                    </w:rPr>
                  </w:pPr>
                  <w:r>
                    <w:rPr>
                      <w:sz w:val="21"/>
                      <w:szCs w:val="21"/>
                    </w:rPr>
                    <w:t>1</w:t>
                  </w:r>
                </w:p>
              </w:tc>
              <w:tc>
                <w:tcPr>
                  <w:tcW w:w="1695" w:type="dxa"/>
                  <w:vAlign w:val="center"/>
                </w:tcPr>
                <w:p>
                  <w:pPr>
                    <w:pStyle w:val="76"/>
                    <w:rPr>
                      <w:sz w:val="21"/>
                      <w:szCs w:val="21"/>
                    </w:rPr>
                  </w:pPr>
                  <w:r>
                    <w:rPr>
                      <w:rFonts w:hint="eastAsia"/>
                      <w:sz w:val="21"/>
                      <w:szCs w:val="21"/>
                    </w:rPr>
                    <w:t>废砖坯</w:t>
                  </w:r>
                </w:p>
              </w:tc>
              <w:tc>
                <w:tcPr>
                  <w:tcW w:w="1165" w:type="dxa"/>
                  <w:vAlign w:val="center"/>
                </w:tcPr>
                <w:p>
                  <w:pPr>
                    <w:pStyle w:val="76"/>
                    <w:rPr>
                      <w:sz w:val="21"/>
                      <w:szCs w:val="21"/>
                    </w:rPr>
                  </w:pPr>
                  <w:r>
                    <w:rPr>
                      <w:rFonts w:hint="eastAsia"/>
                      <w:sz w:val="21"/>
                      <w:szCs w:val="21"/>
                    </w:rPr>
                    <w:t>一般固废</w:t>
                  </w:r>
                </w:p>
              </w:tc>
              <w:tc>
                <w:tcPr>
                  <w:tcW w:w="1135" w:type="dxa"/>
                  <w:vAlign w:val="center"/>
                </w:tcPr>
                <w:p>
                  <w:pPr>
                    <w:pStyle w:val="76"/>
                    <w:rPr>
                      <w:sz w:val="21"/>
                      <w:szCs w:val="21"/>
                    </w:rPr>
                  </w:pPr>
                  <w:r>
                    <w:rPr>
                      <w:rFonts w:hint="eastAsia"/>
                      <w:sz w:val="21"/>
                      <w:szCs w:val="21"/>
                    </w:rPr>
                    <w:t>隧道窑</w:t>
                  </w:r>
                </w:p>
              </w:tc>
              <w:tc>
                <w:tcPr>
                  <w:tcW w:w="1063" w:type="dxa"/>
                  <w:vAlign w:val="center"/>
                </w:tcPr>
                <w:p>
                  <w:pPr>
                    <w:pStyle w:val="76"/>
                    <w:rPr>
                      <w:sz w:val="21"/>
                      <w:szCs w:val="21"/>
                    </w:rPr>
                  </w:pPr>
                  <w:r>
                    <w:rPr>
                      <w:rFonts w:hint="eastAsia"/>
                      <w:sz w:val="21"/>
                      <w:szCs w:val="21"/>
                    </w:rPr>
                    <w:t>3380</w:t>
                  </w:r>
                  <w:r>
                    <w:rPr>
                      <w:sz w:val="21"/>
                      <w:szCs w:val="21"/>
                    </w:rPr>
                    <w:t>t/a</w:t>
                  </w:r>
                </w:p>
              </w:tc>
              <w:tc>
                <w:tcPr>
                  <w:tcW w:w="1246" w:type="dxa"/>
                  <w:vAlign w:val="center"/>
                </w:tcPr>
                <w:p>
                  <w:pPr>
                    <w:pStyle w:val="76"/>
                    <w:rPr>
                      <w:sz w:val="21"/>
                      <w:szCs w:val="21"/>
                    </w:rPr>
                  </w:pPr>
                  <w:r>
                    <w:rPr>
                      <w:rFonts w:hint="eastAsia"/>
                      <w:sz w:val="21"/>
                      <w:szCs w:val="21"/>
                    </w:rPr>
                    <w:t>粘土</w:t>
                  </w:r>
                </w:p>
              </w:tc>
              <w:tc>
                <w:tcPr>
                  <w:tcW w:w="1830" w:type="dxa"/>
                  <w:vAlign w:val="center"/>
                </w:tcPr>
                <w:p>
                  <w:pPr>
                    <w:pStyle w:val="76"/>
                    <w:rPr>
                      <w:sz w:val="21"/>
                      <w:szCs w:val="21"/>
                    </w:rPr>
                  </w:pPr>
                  <w:r>
                    <w:rPr>
                      <w:rFonts w:hint="eastAsia"/>
                      <w:sz w:val="21"/>
                      <w:szCs w:val="21"/>
                    </w:rPr>
                    <w:t>回用于粉碎车间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07" w:hRule="atLeast"/>
              </w:trPr>
              <w:tc>
                <w:tcPr>
                  <w:tcW w:w="705" w:type="dxa"/>
                  <w:vAlign w:val="center"/>
                </w:tcPr>
                <w:p>
                  <w:pPr>
                    <w:pStyle w:val="76"/>
                    <w:rPr>
                      <w:sz w:val="21"/>
                      <w:szCs w:val="21"/>
                    </w:rPr>
                  </w:pPr>
                  <w:r>
                    <w:rPr>
                      <w:rFonts w:hint="eastAsia"/>
                      <w:sz w:val="21"/>
                      <w:szCs w:val="21"/>
                    </w:rPr>
                    <w:t>2</w:t>
                  </w:r>
                </w:p>
              </w:tc>
              <w:tc>
                <w:tcPr>
                  <w:tcW w:w="1695" w:type="dxa"/>
                  <w:vAlign w:val="center"/>
                </w:tcPr>
                <w:p>
                  <w:pPr>
                    <w:pStyle w:val="76"/>
                    <w:rPr>
                      <w:sz w:val="21"/>
                      <w:szCs w:val="21"/>
                    </w:rPr>
                  </w:pPr>
                  <w:r>
                    <w:rPr>
                      <w:rFonts w:hint="eastAsia"/>
                      <w:sz w:val="21"/>
                      <w:szCs w:val="21"/>
                    </w:rPr>
                    <w:t>废机油</w:t>
                  </w:r>
                </w:p>
              </w:tc>
              <w:tc>
                <w:tcPr>
                  <w:tcW w:w="1165" w:type="dxa"/>
                  <w:vAlign w:val="center"/>
                </w:tcPr>
                <w:p>
                  <w:pPr>
                    <w:pStyle w:val="76"/>
                    <w:rPr>
                      <w:sz w:val="21"/>
                      <w:szCs w:val="21"/>
                    </w:rPr>
                  </w:pPr>
                  <w:r>
                    <w:rPr>
                      <w:rFonts w:hint="eastAsia"/>
                      <w:sz w:val="21"/>
                      <w:szCs w:val="21"/>
                    </w:rPr>
                    <w:t>危险废物</w:t>
                  </w:r>
                </w:p>
              </w:tc>
              <w:tc>
                <w:tcPr>
                  <w:tcW w:w="1135" w:type="dxa"/>
                  <w:vAlign w:val="center"/>
                </w:tcPr>
                <w:p>
                  <w:pPr>
                    <w:pStyle w:val="76"/>
                    <w:rPr>
                      <w:sz w:val="21"/>
                      <w:szCs w:val="21"/>
                    </w:rPr>
                  </w:pPr>
                  <w:r>
                    <w:rPr>
                      <w:rFonts w:hint="eastAsia"/>
                      <w:sz w:val="21"/>
                      <w:szCs w:val="21"/>
                    </w:rPr>
                    <w:t>设备维修</w:t>
                  </w:r>
                </w:p>
              </w:tc>
              <w:tc>
                <w:tcPr>
                  <w:tcW w:w="1063" w:type="dxa"/>
                  <w:vAlign w:val="center"/>
                </w:tcPr>
                <w:p>
                  <w:pPr>
                    <w:pStyle w:val="76"/>
                    <w:rPr>
                      <w:sz w:val="21"/>
                      <w:szCs w:val="21"/>
                    </w:rPr>
                  </w:pPr>
                  <w:r>
                    <w:rPr>
                      <w:rFonts w:hint="eastAsia"/>
                      <w:sz w:val="21"/>
                      <w:szCs w:val="21"/>
                    </w:rPr>
                    <w:t>0.05t/a</w:t>
                  </w:r>
                </w:p>
              </w:tc>
              <w:tc>
                <w:tcPr>
                  <w:tcW w:w="1246" w:type="dxa"/>
                  <w:vAlign w:val="center"/>
                </w:tcPr>
                <w:p>
                  <w:pPr>
                    <w:pStyle w:val="76"/>
                    <w:rPr>
                      <w:sz w:val="21"/>
                      <w:szCs w:val="21"/>
                    </w:rPr>
                  </w:pPr>
                  <w:r>
                    <w:rPr>
                      <w:rFonts w:hint="eastAsia"/>
                      <w:sz w:val="21"/>
                      <w:szCs w:val="21"/>
                    </w:rPr>
                    <w:t>矿物油</w:t>
                  </w:r>
                </w:p>
              </w:tc>
              <w:tc>
                <w:tcPr>
                  <w:tcW w:w="1830" w:type="dxa"/>
                  <w:vAlign w:val="center"/>
                </w:tcPr>
                <w:p>
                  <w:pPr>
                    <w:pStyle w:val="76"/>
                    <w:rPr>
                      <w:sz w:val="21"/>
                      <w:szCs w:val="21"/>
                    </w:rPr>
                  </w:pPr>
                  <w:r>
                    <w:rPr>
                      <w:rFonts w:hint="eastAsia"/>
                      <w:sz w:val="21"/>
                      <w:szCs w:val="21"/>
                    </w:rPr>
                    <w:t>有资质单位处置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705" w:type="dxa"/>
                  <w:vAlign w:val="center"/>
                </w:tcPr>
                <w:p>
                  <w:pPr>
                    <w:pStyle w:val="76"/>
                    <w:rPr>
                      <w:sz w:val="21"/>
                      <w:szCs w:val="21"/>
                    </w:rPr>
                  </w:pPr>
                  <w:r>
                    <w:rPr>
                      <w:rFonts w:hint="eastAsia"/>
                      <w:sz w:val="21"/>
                      <w:szCs w:val="21"/>
                    </w:rPr>
                    <w:t>3</w:t>
                  </w:r>
                </w:p>
              </w:tc>
              <w:tc>
                <w:tcPr>
                  <w:tcW w:w="1695" w:type="dxa"/>
                  <w:vAlign w:val="center"/>
                </w:tcPr>
                <w:p>
                  <w:pPr>
                    <w:pStyle w:val="76"/>
                    <w:rPr>
                      <w:sz w:val="21"/>
                      <w:szCs w:val="21"/>
                    </w:rPr>
                  </w:pPr>
                  <w:r>
                    <w:rPr>
                      <w:sz w:val="21"/>
                      <w:szCs w:val="21"/>
                    </w:rPr>
                    <w:t>生活垃圾</w:t>
                  </w:r>
                </w:p>
              </w:tc>
              <w:tc>
                <w:tcPr>
                  <w:tcW w:w="1165" w:type="dxa"/>
                  <w:vAlign w:val="center"/>
                </w:tcPr>
                <w:p>
                  <w:pPr>
                    <w:pStyle w:val="76"/>
                    <w:rPr>
                      <w:sz w:val="21"/>
                      <w:szCs w:val="21"/>
                    </w:rPr>
                  </w:pPr>
                  <w:r>
                    <w:rPr>
                      <w:rFonts w:hint="eastAsia"/>
                      <w:sz w:val="21"/>
                      <w:szCs w:val="21"/>
                    </w:rPr>
                    <w:t>一般固废</w:t>
                  </w:r>
                </w:p>
              </w:tc>
              <w:tc>
                <w:tcPr>
                  <w:tcW w:w="1135" w:type="dxa"/>
                  <w:vAlign w:val="center"/>
                </w:tcPr>
                <w:p>
                  <w:pPr>
                    <w:pStyle w:val="76"/>
                    <w:rPr>
                      <w:sz w:val="21"/>
                      <w:szCs w:val="21"/>
                    </w:rPr>
                  </w:pPr>
                  <w:r>
                    <w:rPr>
                      <w:rFonts w:hint="eastAsia"/>
                      <w:sz w:val="21"/>
                      <w:szCs w:val="21"/>
                    </w:rPr>
                    <w:t>厂区</w:t>
                  </w:r>
                </w:p>
              </w:tc>
              <w:tc>
                <w:tcPr>
                  <w:tcW w:w="1063" w:type="dxa"/>
                  <w:vAlign w:val="center"/>
                </w:tcPr>
                <w:p>
                  <w:pPr>
                    <w:pStyle w:val="76"/>
                    <w:rPr>
                      <w:sz w:val="21"/>
                      <w:szCs w:val="21"/>
                    </w:rPr>
                  </w:pPr>
                  <w:r>
                    <w:rPr>
                      <w:rFonts w:hint="eastAsia"/>
                      <w:sz w:val="21"/>
                      <w:szCs w:val="21"/>
                    </w:rPr>
                    <w:t>12.3</w:t>
                  </w:r>
                  <w:r>
                    <w:rPr>
                      <w:sz w:val="21"/>
                      <w:szCs w:val="21"/>
                    </w:rPr>
                    <w:t>t/a</w:t>
                  </w:r>
                </w:p>
              </w:tc>
              <w:tc>
                <w:tcPr>
                  <w:tcW w:w="1246" w:type="dxa"/>
                  <w:vAlign w:val="center"/>
                </w:tcPr>
                <w:p>
                  <w:pPr>
                    <w:pStyle w:val="76"/>
                    <w:rPr>
                      <w:sz w:val="21"/>
                      <w:szCs w:val="21"/>
                    </w:rPr>
                  </w:pPr>
                  <w:r>
                    <w:rPr>
                      <w:sz w:val="21"/>
                      <w:szCs w:val="21"/>
                    </w:rPr>
                    <w:t>生活垃圾</w:t>
                  </w:r>
                </w:p>
              </w:tc>
              <w:tc>
                <w:tcPr>
                  <w:tcW w:w="1830" w:type="dxa"/>
                  <w:vAlign w:val="center"/>
                </w:tcPr>
                <w:p>
                  <w:pPr>
                    <w:pStyle w:val="76"/>
                    <w:rPr>
                      <w:sz w:val="21"/>
                      <w:szCs w:val="21"/>
                    </w:rPr>
                  </w:pPr>
                  <w:r>
                    <w:rPr>
                      <w:sz w:val="21"/>
                      <w:szCs w:val="21"/>
                    </w:rPr>
                    <w:t>环卫</w:t>
                  </w:r>
                  <w:r>
                    <w:rPr>
                      <w:rFonts w:hint="eastAsia"/>
                      <w:sz w:val="21"/>
                      <w:szCs w:val="21"/>
                    </w:rPr>
                    <w:t>部门</w:t>
                  </w:r>
                  <w:r>
                    <w:rPr>
                      <w:sz w:val="21"/>
                      <w:szCs w:val="21"/>
                    </w:rPr>
                    <w:t>清运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705" w:type="dxa"/>
                  <w:vAlign w:val="center"/>
                </w:tcPr>
                <w:p>
                  <w:pPr>
                    <w:pStyle w:val="76"/>
                    <w:rPr>
                      <w:color w:val="FF0000"/>
                      <w:sz w:val="21"/>
                      <w:szCs w:val="21"/>
                    </w:rPr>
                  </w:pPr>
                  <w:r>
                    <w:rPr>
                      <w:rFonts w:hint="eastAsia"/>
                      <w:color w:val="FF0000"/>
                      <w:sz w:val="21"/>
                      <w:szCs w:val="21"/>
                    </w:rPr>
                    <w:t>4</w:t>
                  </w:r>
                </w:p>
              </w:tc>
              <w:tc>
                <w:tcPr>
                  <w:tcW w:w="1695" w:type="dxa"/>
                  <w:vAlign w:val="center"/>
                </w:tcPr>
                <w:p>
                  <w:pPr>
                    <w:pStyle w:val="76"/>
                    <w:rPr>
                      <w:color w:val="FF0000"/>
                      <w:sz w:val="21"/>
                      <w:szCs w:val="21"/>
                    </w:rPr>
                  </w:pPr>
                  <w:r>
                    <w:rPr>
                      <w:rFonts w:hint="eastAsia"/>
                      <w:color w:val="FF0000"/>
                      <w:sz w:val="21"/>
                      <w:szCs w:val="21"/>
                    </w:rPr>
                    <w:t>餐厨垃圾</w:t>
                  </w:r>
                </w:p>
              </w:tc>
              <w:tc>
                <w:tcPr>
                  <w:tcW w:w="1165" w:type="dxa"/>
                  <w:vAlign w:val="center"/>
                </w:tcPr>
                <w:p>
                  <w:pPr>
                    <w:pStyle w:val="76"/>
                    <w:rPr>
                      <w:color w:val="FF0000"/>
                      <w:sz w:val="21"/>
                      <w:szCs w:val="21"/>
                    </w:rPr>
                  </w:pPr>
                  <w:r>
                    <w:rPr>
                      <w:rFonts w:hint="eastAsia"/>
                      <w:color w:val="FF0000"/>
                      <w:sz w:val="21"/>
                      <w:szCs w:val="21"/>
                    </w:rPr>
                    <w:t>一般固废</w:t>
                  </w:r>
                </w:p>
              </w:tc>
              <w:tc>
                <w:tcPr>
                  <w:tcW w:w="1135" w:type="dxa"/>
                  <w:vAlign w:val="center"/>
                </w:tcPr>
                <w:p>
                  <w:pPr>
                    <w:pStyle w:val="76"/>
                    <w:rPr>
                      <w:color w:val="FF0000"/>
                      <w:sz w:val="21"/>
                      <w:szCs w:val="21"/>
                    </w:rPr>
                  </w:pPr>
                  <w:r>
                    <w:rPr>
                      <w:rFonts w:hint="eastAsia"/>
                      <w:color w:val="FF0000"/>
                      <w:sz w:val="21"/>
                      <w:szCs w:val="21"/>
                    </w:rPr>
                    <w:t>餐厅</w:t>
                  </w:r>
                </w:p>
              </w:tc>
              <w:tc>
                <w:tcPr>
                  <w:tcW w:w="1063" w:type="dxa"/>
                  <w:vAlign w:val="center"/>
                </w:tcPr>
                <w:p>
                  <w:pPr>
                    <w:pStyle w:val="76"/>
                    <w:rPr>
                      <w:color w:val="FF0000"/>
                      <w:sz w:val="21"/>
                      <w:szCs w:val="21"/>
                    </w:rPr>
                  </w:pPr>
                  <w:r>
                    <w:rPr>
                      <w:rFonts w:hint="eastAsia"/>
                      <w:color w:val="FF0000"/>
                      <w:sz w:val="21"/>
                      <w:szCs w:val="21"/>
                    </w:rPr>
                    <w:t>2.4t/a</w:t>
                  </w:r>
                </w:p>
              </w:tc>
              <w:tc>
                <w:tcPr>
                  <w:tcW w:w="1246" w:type="dxa"/>
                  <w:vAlign w:val="center"/>
                </w:tcPr>
                <w:p>
                  <w:pPr>
                    <w:pStyle w:val="76"/>
                    <w:rPr>
                      <w:color w:val="FF0000"/>
                      <w:sz w:val="21"/>
                      <w:szCs w:val="21"/>
                    </w:rPr>
                  </w:pPr>
                  <w:r>
                    <w:rPr>
                      <w:rFonts w:hint="eastAsia"/>
                      <w:color w:val="FF0000"/>
                      <w:sz w:val="21"/>
                      <w:szCs w:val="21"/>
                    </w:rPr>
                    <w:t>餐厨废物</w:t>
                  </w:r>
                </w:p>
              </w:tc>
              <w:tc>
                <w:tcPr>
                  <w:tcW w:w="1830" w:type="dxa"/>
                  <w:vAlign w:val="center"/>
                </w:tcPr>
                <w:p>
                  <w:pPr>
                    <w:pStyle w:val="76"/>
                    <w:rPr>
                      <w:color w:val="FF0000"/>
                      <w:sz w:val="21"/>
                      <w:szCs w:val="21"/>
                    </w:rPr>
                  </w:pPr>
                  <w:r>
                    <w:rPr>
                      <w:rFonts w:hint="eastAsia"/>
                      <w:color w:val="FF0000"/>
                      <w:sz w:val="21"/>
                      <w:szCs w:val="21"/>
                    </w:rPr>
                    <w:t>交专业回收单位回收处置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705" w:type="dxa"/>
                  <w:vAlign w:val="center"/>
                </w:tcPr>
                <w:p>
                  <w:pPr>
                    <w:pStyle w:val="76"/>
                    <w:rPr>
                      <w:color w:val="FF0000"/>
                      <w:sz w:val="21"/>
                      <w:szCs w:val="21"/>
                    </w:rPr>
                  </w:pPr>
                  <w:r>
                    <w:rPr>
                      <w:rFonts w:hint="eastAsia"/>
                      <w:color w:val="FF0000"/>
                      <w:sz w:val="21"/>
                      <w:szCs w:val="21"/>
                    </w:rPr>
                    <w:t>5</w:t>
                  </w:r>
                </w:p>
              </w:tc>
              <w:tc>
                <w:tcPr>
                  <w:tcW w:w="1695" w:type="dxa"/>
                  <w:vAlign w:val="center"/>
                </w:tcPr>
                <w:p>
                  <w:pPr>
                    <w:pStyle w:val="76"/>
                    <w:rPr>
                      <w:color w:val="FF0000"/>
                      <w:sz w:val="21"/>
                      <w:szCs w:val="21"/>
                    </w:rPr>
                  </w:pPr>
                  <w:r>
                    <w:rPr>
                      <w:rFonts w:hint="eastAsia"/>
                      <w:color w:val="FF0000"/>
                      <w:sz w:val="21"/>
                      <w:szCs w:val="21"/>
                    </w:rPr>
                    <w:t>废油脂</w:t>
                  </w:r>
                </w:p>
              </w:tc>
              <w:tc>
                <w:tcPr>
                  <w:tcW w:w="1165" w:type="dxa"/>
                  <w:vAlign w:val="center"/>
                </w:tcPr>
                <w:p>
                  <w:pPr>
                    <w:pStyle w:val="76"/>
                    <w:rPr>
                      <w:color w:val="FF0000"/>
                      <w:sz w:val="21"/>
                      <w:szCs w:val="21"/>
                    </w:rPr>
                  </w:pPr>
                  <w:r>
                    <w:rPr>
                      <w:rFonts w:hint="eastAsia"/>
                      <w:color w:val="FF0000"/>
                      <w:sz w:val="21"/>
                      <w:szCs w:val="21"/>
                    </w:rPr>
                    <w:t>一般固废</w:t>
                  </w:r>
                </w:p>
              </w:tc>
              <w:tc>
                <w:tcPr>
                  <w:tcW w:w="1135" w:type="dxa"/>
                  <w:vAlign w:val="center"/>
                </w:tcPr>
                <w:p>
                  <w:pPr>
                    <w:pStyle w:val="76"/>
                    <w:rPr>
                      <w:color w:val="FF0000"/>
                      <w:sz w:val="21"/>
                      <w:szCs w:val="21"/>
                    </w:rPr>
                  </w:pPr>
                  <w:r>
                    <w:rPr>
                      <w:rFonts w:hint="eastAsia"/>
                      <w:color w:val="FF0000"/>
                      <w:sz w:val="21"/>
                      <w:szCs w:val="21"/>
                    </w:rPr>
                    <w:t>餐厅</w:t>
                  </w:r>
                </w:p>
              </w:tc>
              <w:tc>
                <w:tcPr>
                  <w:tcW w:w="1063" w:type="dxa"/>
                  <w:vAlign w:val="center"/>
                </w:tcPr>
                <w:p>
                  <w:pPr>
                    <w:pStyle w:val="76"/>
                    <w:rPr>
                      <w:color w:val="FF0000"/>
                      <w:sz w:val="21"/>
                      <w:szCs w:val="21"/>
                    </w:rPr>
                  </w:pPr>
                  <w:r>
                    <w:rPr>
                      <w:rFonts w:hint="eastAsia"/>
                      <w:color w:val="FF0000"/>
                      <w:sz w:val="21"/>
                      <w:szCs w:val="21"/>
                    </w:rPr>
                    <w:t>0.2t/a</w:t>
                  </w:r>
                </w:p>
              </w:tc>
              <w:tc>
                <w:tcPr>
                  <w:tcW w:w="1246" w:type="dxa"/>
                  <w:vAlign w:val="center"/>
                </w:tcPr>
                <w:p>
                  <w:pPr>
                    <w:pStyle w:val="76"/>
                    <w:rPr>
                      <w:color w:val="FF0000"/>
                      <w:sz w:val="21"/>
                      <w:szCs w:val="21"/>
                    </w:rPr>
                  </w:pPr>
                  <w:r>
                    <w:rPr>
                      <w:rFonts w:hint="eastAsia"/>
                      <w:color w:val="FF0000"/>
                      <w:sz w:val="21"/>
                      <w:szCs w:val="21"/>
                    </w:rPr>
                    <w:t>油脂</w:t>
                  </w:r>
                </w:p>
              </w:tc>
              <w:tc>
                <w:tcPr>
                  <w:tcW w:w="1830" w:type="dxa"/>
                  <w:vAlign w:val="center"/>
                </w:tcPr>
                <w:p>
                  <w:pPr>
                    <w:pStyle w:val="76"/>
                    <w:rPr>
                      <w:color w:val="FF0000"/>
                      <w:sz w:val="21"/>
                      <w:szCs w:val="21"/>
                    </w:rPr>
                  </w:pPr>
                  <w:r>
                    <w:rPr>
                      <w:rFonts w:hint="eastAsia"/>
                      <w:color w:val="FF0000"/>
                      <w:sz w:val="21"/>
                      <w:szCs w:val="21"/>
                    </w:rPr>
                    <w:t>交有资质单位处置</w:t>
                  </w:r>
                </w:p>
              </w:tc>
            </w:tr>
          </w:tbl>
          <w:p>
            <w:pPr>
              <w:spacing w:line="360" w:lineRule="auto"/>
              <w:ind w:firstLine="480" w:firstLineChars="200"/>
              <w:rPr>
                <w:rFonts w:hAnsi="宋体"/>
                <w:sz w:val="24"/>
              </w:rPr>
            </w:pPr>
            <w:r>
              <w:rPr>
                <w:rFonts w:hint="eastAsia" w:hAnsi="宋体"/>
                <w:sz w:val="24"/>
              </w:rPr>
              <w:t>5、生态环境</w:t>
            </w:r>
          </w:p>
          <w:p>
            <w:pPr>
              <w:tabs>
                <w:tab w:val="left" w:pos="11"/>
              </w:tabs>
              <w:spacing w:line="360" w:lineRule="auto"/>
              <w:ind w:firstLine="480" w:firstLineChars="200"/>
              <w:rPr>
                <w:rFonts w:hAnsi="宋体"/>
                <w:bCs/>
                <w:sz w:val="24"/>
              </w:rPr>
            </w:pPr>
            <w:r>
              <w:rPr>
                <w:rFonts w:hAnsi="宋体"/>
                <w:bCs/>
                <w:sz w:val="24"/>
              </w:rPr>
              <w:t>（1）</w:t>
            </w:r>
            <w:r>
              <w:rPr>
                <w:rFonts w:hint="eastAsia" w:hAnsi="宋体"/>
                <w:bCs/>
                <w:sz w:val="24"/>
              </w:rPr>
              <w:t>厂区生态影响因素</w:t>
            </w:r>
          </w:p>
          <w:p>
            <w:pPr>
              <w:tabs>
                <w:tab w:val="left" w:pos="11"/>
              </w:tabs>
              <w:spacing w:line="360" w:lineRule="auto"/>
              <w:ind w:firstLine="480" w:firstLineChars="200"/>
              <w:rPr>
                <w:rFonts w:hAnsi="宋体"/>
                <w:bCs/>
                <w:sz w:val="24"/>
              </w:rPr>
            </w:pPr>
            <w:r>
              <w:rPr>
                <w:rFonts w:hAnsi="宋体"/>
                <w:bCs/>
                <w:sz w:val="24"/>
              </w:rPr>
              <w:t>本项目施工期会对原有地表产生一定的扰动和破坏，主要是挖方、填方及建筑材料的堆放，所占用土地范围内的植被将被铲除或掩埋，遭到破坏。根据现场踏勘，项目所在区域为城市生态系统，生态环境相对简单，影响的程度和范围有限。施工区域内不涉及自然保护区和珍稀濒危动物及植物群落分布及其它生态敏感点。</w:t>
            </w:r>
          </w:p>
          <w:p>
            <w:pPr>
              <w:tabs>
                <w:tab w:val="left" w:pos="11"/>
              </w:tabs>
              <w:spacing w:line="360" w:lineRule="auto"/>
              <w:ind w:firstLine="480" w:firstLineChars="200"/>
              <w:rPr>
                <w:rFonts w:hAnsi="宋体"/>
                <w:bCs/>
                <w:sz w:val="24"/>
              </w:rPr>
            </w:pPr>
            <w:r>
              <w:rPr>
                <w:rFonts w:hAnsi="宋体"/>
                <w:bCs/>
                <w:sz w:val="24"/>
              </w:rPr>
              <w:t>（</w:t>
            </w:r>
            <w:r>
              <w:rPr>
                <w:rFonts w:hint="eastAsia" w:hAnsi="宋体"/>
                <w:bCs/>
                <w:sz w:val="24"/>
              </w:rPr>
              <w:t>2</w:t>
            </w:r>
            <w:r>
              <w:rPr>
                <w:rFonts w:hAnsi="宋体"/>
                <w:bCs/>
                <w:sz w:val="24"/>
              </w:rPr>
              <w:t>）</w:t>
            </w:r>
            <w:r>
              <w:rPr>
                <w:rFonts w:hint="eastAsia" w:hAnsi="宋体"/>
                <w:bCs/>
                <w:sz w:val="24"/>
              </w:rPr>
              <w:t>取土区生态影响因素</w:t>
            </w:r>
          </w:p>
          <w:p>
            <w:pPr>
              <w:tabs>
                <w:tab w:val="left" w:pos="11"/>
              </w:tabs>
              <w:spacing w:line="360" w:lineRule="auto"/>
              <w:ind w:firstLine="480" w:firstLineChars="200"/>
              <w:rPr>
                <w:rFonts w:hAnsi="宋体"/>
                <w:bCs/>
                <w:sz w:val="24"/>
              </w:rPr>
            </w:pPr>
            <w:r>
              <w:rPr>
                <w:rFonts w:hint="eastAsia" w:hAnsi="宋体"/>
                <w:bCs/>
                <w:sz w:val="24"/>
              </w:rPr>
              <w:t>本项目粘土取土区的主要生态影响如下：</w:t>
            </w:r>
          </w:p>
          <w:p>
            <w:pPr>
              <w:pStyle w:val="11"/>
              <w:spacing w:line="360" w:lineRule="auto"/>
              <w:ind w:firstLineChars="200"/>
              <w:rPr>
                <w:rFonts w:hAnsi="宋体"/>
                <w:spacing w:val="6"/>
                <w:sz w:val="24"/>
              </w:rPr>
            </w:pPr>
            <w:r>
              <w:rPr>
                <w:rFonts w:hAnsi="宋体"/>
                <w:spacing w:val="6"/>
                <w:sz w:val="24"/>
              </w:rPr>
              <w:fldChar w:fldCharType="begin"/>
            </w:r>
            <w:r>
              <w:rPr>
                <w:rFonts w:hAnsi="宋体"/>
                <w:spacing w:val="6"/>
                <w:sz w:val="24"/>
              </w:rPr>
              <w:instrText xml:space="preserve"> </w:instrText>
            </w:r>
            <w:r>
              <w:rPr>
                <w:rFonts w:hint="eastAsia" w:hAnsi="宋体"/>
                <w:spacing w:val="6"/>
                <w:sz w:val="24"/>
              </w:rPr>
              <w:instrText xml:space="preserve">= 1 \* GB3</w:instrText>
            </w:r>
            <w:r>
              <w:rPr>
                <w:rFonts w:hAnsi="宋体"/>
                <w:spacing w:val="6"/>
                <w:sz w:val="24"/>
              </w:rPr>
              <w:instrText xml:space="preserve"> </w:instrText>
            </w:r>
            <w:r>
              <w:rPr>
                <w:rFonts w:hAnsi="宋体"/>
                <w:spacing w:val="6"/>
                <w:sz w:val="24"/>
              </w:rPr>
              <w:fldChar w:fldCharType="separate"/>
            </w:r>
            <w:r>
              <w:rPr>
                <w:rFonts w:hint="eastAsia" w:hAnsi="宋体"/>
                <w:spacing w:val="6"/>
                <w:sz w:val="24"/>
              </w:rPr>
              <w:t>①</w:t>
            </w:r>
            <w:r>
              <w:rPr>
                <w:rFonts w:hAnsi="宋体"/>
                <w:spacing w:val="6"/>
                <w:sz w:val="24"/>
              </w:rPr>
              <w:fldChar w:fldCharType="end"/>
            </w:r>
            <w:r>
              <w:rPr>
                <w:rFonts w:hint="eastAsia" w:hAnsi="宋体"/>
                <w:spacing w:val="6"/>
                <w:sz w:val="24"/>
              </w:rPr>
              <w:t>植被影响因素</w:t>
            </w:r>
          </w:p>
          <w:p>
            <w:pPr>
              <w:pStyle w:val="11"/>
              <w:spacing w:line="360" w:lineRule="auto"/>
              <w:ind w:firstLine="504" w:firstLineChars="200"/>
              <w:rPr>
                <w:rFonts w:hAnsi="宋体"/>
                <w:spacing w:val="6"/>
                <w:sz w:val="24"/>
              </w:rPr>
            </w:pPr>
            <w:r>
              <w:rPr>
                <w:rFonts w:hint="eastAsia" w:hAnsi="宋体"/>
                <w:spacing w:val="6"/>
                <w:sz w:val="24"/>
              </w:rPr>
              <w:t>项目占地的土地类型主要为草地，还有少量的旱地，粘土开采时，由于粘土的开采，需对取土区地表土层和植被进行剥离，以及机械碾压、施工人员践踏等，施工作业周围的植被将遭到不同程度的破坏，造成植物资源的减少，将对当地植物资源带来一定的负面影响。项目占地对植被破坏影响是短期的、可恢复的，待开采结束后可用于植被恢复或复耕。根据调查，项目地植被主要是白茅、薹草以及艾蒿、狗尾草等杂草，总生物量约为12.4t/ha，被破坏的土地生物量损失较小。</w:t>
            </w:r>
          </w:p>
          <w:p>
            <w:pPr>
              <w:pStyle w:val="11"/>
              <w:spacing w:line="360" w:lineRule="auto"/>
              <w:ind w:firstLineChars="200"/>
              <w:rPr>
                <w:rFonts w:hAnsi="宋体"/>
                <w:spacing w:val="6"/>
                <w:sz w:val="24"/>
              </w:rPr>
            </w:pPr>
            <w:r>
              <w:rPr>
                <w:rFonts w:hAnsi="宋体"/>
                <w:spacing w:val="6"/>
                <w:sz w:val="24"/>
              </w:rPr>
              <w:fldChar w:fldCharType="begin"/>
            </w:r>
            <w:r>
              <w:rPr>
                <w:rFonts w:hAnsi="宋体"/>
                <w:spacing w:val="6"/>
                <w:sz w:val="24"/>
              </w:rPr>
              <w:instrText xml:space="preserve"> </w:instrText>
            </w:r>
            <w:r>
              <w:rPr>
                <w:rFonts w:hint="eastAsia" w:hAnsi="宋体"/>
                <w:spacing w:val="6"/>
                <w:sz w:val="24"/>
              </w:rPr>
              <w:instrText xml:space="preserve">= 2 \* GB3</w:instrText>
            </w:r>
            <w:r>
              <w:rPr>
                <w:rFonts w:hAnsi="宋体"/>
                <w:spacing w:val="6"/>
                <w:sz w:val="24"/>
              </w:rPr>
              <w:instrText xml:space="preserve"> </w:instrText>
            </w:r>
            <w:r>
              <w:rPr>
                <w:rFonts w:hAnsi="宋体"/>
                <w:spacing w:val="6"/>
                <w:sz w:val="24"/>
              </w:rPr>
              <w:fldChar w:fldCharType="separate"/>
            </w:r>
            <w:r>
              <w:rPr>
                <w:rFonts w:hint="eastAsia" w:hAnsi="宋体"/>
                <w:spacing w:val="6"/>
                <w:sz w:val="24"/>
              </w:rPr>
              <w:t>②</w:t>
            </w:r>
            <w:r>
              <w:rPr>
                <w:rFonts w:hAnsi="宋体"/>
                <w:spacing w:val="6"/>
                <w:sz w:val="24"/>
              </w:rPr>
              <w:fldChar w:fldCharType="end"/>
            </w:r>
            <w:r>
              <w:rPr>
                <w:rFonts w:hint="eastAsia" w:hAnsi="宋体"/>
                <w:spacing w:val="6"/>
                <w:sz w:val="24"/>
              </w:rPr>
              <w:t>景观生态影响因素</w:t>
            </w:r>
          </w:p>
          <w:p>
            <w:pPr>
              <w:pStyle w:val="11"/>
              <w:spacing w:line="360" w:lineRule="auto"/>
              <w:ind w:firstLine="504" w:firstLineChars="200"/>
              <w:rPr>
                <w:rFonts w:hAnsi="宋体"/>
                <w:spacing w:val="6"/>
                <w:sz w:val="24"/>
              </w:rPr>
            </w:pPr>
            <w:r>
              <w:rPr>
                <w:rFonts w:hint="eastAsia" w:hAnsi="宋体"/>
                <w:spacing w:val="6"/>
                <w:sz w:val="24"/>
              </w:rPr>
              <w:t>项目所在地人类活动频繁，属于农村自然景观生态体系，生产期粘土开采对景观格局产生干扰破坏作用。剥离地表直接破坏地表植被植被，造成局部地表植被破坏，剥离区域原来的草地基质被破坏，草地基质退化为局部工矿用地斑块。取土区开采过程通过开挖粘土破坏局部结构，导致斜坡被削平或人为凹坑，形成切坡，进一步分割原绿地基质，同时也对其他斑块数量和面积产生一定的冲积影响。</w:t>
            </w:r>
          </w:p>
          <w:p>
            <w:pPr>
              <w:pStyle w:val="11"/>
              <w:spacing w:line="360" w:lineRule="auto"/>
              <w:ind w:firstLineChars="200"/>
              <w:rPr>
                <w:rFonts w:hAnsi="宋体"/>
                <w:spacing w:val="6"/>
                <w:sz w:val="24"/>
              </w:rPr>
            </w:pPr>
            <w:r>
              <w:rPr>
                <w:rFonts w:hAnsi="宋体"/>
                <w:spacing w:val="6"/>
                <w:sz w:val="24"/>
              </w:rPr>
              <w:fldChar w:fldCharType="begin"/>
            </w:r>
            <w:r>
              <w:rPr>
                <w:rFonts w:hAnsi="宋体"/>
                <w:spacing w:val="6"/>
                <w:sz w:val="24"/>
              </w:rPr>
              <w:instrText xml:space="preserve"> </w:instrText>
            </w:r>
            <w:r>
              <w:rPr>
                <w:rFonts w:hint="eastAsia" w:hAnsi="宋体"/>
                <w:spacing w:val="6"/>
                <w:sz w:val="24"/>
              </w:rPr>
              <w:instrText xml:space="preserve">= 3 \* GB3</w:instrText>
            </w:r>
            <w:r>
              <w:rPr>
                <w:rFonts w:hAnsi="宋体"/>
                <w:spacing w:val="6"/>
                <w:sz w:val="24"/>
              </w:rPr>
              <w:instrText xml:space="preserve"> </w:instrText>
            </w:r>
            <w:r>
              <w:rPr>
                <w:rFonts w:hAnsi="宋体"/>
                <w:spacing w:val="6"/>
                <w:sz w:val="24"/>
              </w:rPr>
              <w:fldChar w:fldCharType="separate"/>
            </w:r>
            <w:r>
              <w:rPr>
                <w:rFonts w:hint="eastAsia" w:hAnsi="宋体"/>
                <w:spacing w:val="6"/>
                <w:sz w:val="24"/>
              </w:rPr>
              <w:t>③</w:t>
            </w:r>
            <w:r>
              <w:rPr>
                <w:rFonts w:hAnsi="宋体"/>
                <w:spacing w:val="6"/>
                <w:sz w:val="24"/>
              </w:rPr>
              <w:fldChar w:fldCharType="end"/>
            </w:r>
            <w:r>
              <w:rPr>
                <w:rFonts w:hint="eastAsia" w:hAnsi="宋体"/>
                <w:spacing w:val="6"/>
                <w:sz w:val="24"/>
              </w:rPr>
              <w:t>陆生动物的影响因素</w:t>
            </w:r>
          </w:p>
          <w:p>
            <w:pPr>
              <w:pStyle w:val="11"/>
              <w:spacing w:line="360" w:lineRule="auto"/>
              <w:ind w:firstLine="504" w:firstLineChars="200"/>
              <w:rPr>
                <w:rFonts w:hAnsi="宋体"/>
                <w:spacing w:val="6"/>
                <w:sz w:val="24"/>
              </w:rPr>
            </w:pPr>
            <w:r>
              <w:rPr>
                <w:rFonts w:hint="eastAsia" w:hAnsi="宋体"/>
                <w:spacing w:val="6"/>
                <w:sz w:val="24"/>
              </w:rPr>
              <w:t>取土区范围未见大型野生动物出没，无国家重点保护珍惜野生动物及其栖息地分布，仅有田鼠、麻雀等小型野生动物出没，开采导致以取土区地表植被或表土作为栖息地或觅食场所的野生动物生存环境丧失，同时由于大型机械设备进驻，产生的噪声和振动必然使周边一定距离范围内的野生动物受到惊扰。</w:t>
            </w:r>
          </w:p>
          <w:p>
            <w:pPr>
              <w:pStyle w:val="11"/>
              <w:spacing w:line="360" w:lineRule="auto"/>
              <w:ind w:firstLineChars="200"/>
              <w:rPr>
                <w:rFonts w:hAnsi="宋体"/>
                <w:spacing w:val="6"/>
                <w:sz w:val="24"/>
              </w:rPr>
            </w:pPr>
            <w:r>
              <w:rPr>
                <w:rFonts w:hAnsi="宋体"/>
                <w:spacing w:val="6"/>
                <w:sz w:val="24"/>
              </w:rPr>
              <w:fldChar w:fldCharType="begin"/>
            </w:r>
            <w:r>
              <w:rPr>
                <w:rFonts w:hAnsi="宋体"/>
                <w:spacing w:val="6"/>
                <w:sz w:val="24"/>
              </w:rPr>
              <w:instrText xml:space="preserve"> </w:instrText>
            </w:r>
            <w:r>
              <w:rPr>
                <w:rFonts w:hint="eastAsia" w:hAnsi="宋体"/>
                <w:spacing w:val="6"/>
                <w:sz w:val="24"/>
              </w:rPr>
              <w:instrText xml:space="preserve">= 4 \* GB3</w:instrText>
            </w:r>
            <w:r>
              <w:rPr>
                <w:rFonts w:hAnsi="宋体"/>
                <w:spacing w:val="6"/>
                <w:sz w:val="24"/>
              </w:rPr>
              <w:instrText xml:space="preserve"> </w:instrText>
            </w:r>
            <w:r>
              <w:rPr>
                <w:rFonts w:hAnsi="宋体"/>
                <w:spacing w:val="6"/>
                <w:sz w:val="24"/>
              </w:rPr>
              <w:fldChar w:fldCharType="separate"/>
            </w:r>
            <w:r>
              <w:rPr>
                <w:rFonts w:hint="eastAsia" w:hAnsi="宋体"/>
                <w:spacing w:val="6"/>
                <w:sz w:val="24"/>
              </w:rPr>
              <w:t>④</w:t>
            </w:r>
            <w:r>
              <w:rPr>
                <w:rFonts w:hAnsi="宋体"/>
                <w:spacing w:val="6"/>
                <w:sz w:val="24"/>
              </w:rPr>
              <w:fldChar w:fldCharType="end"/>
            </w:r>
            <w:r>
              <w:rPr>
                <w:rFonts w:hint="eastAsia" w:hAnsi="宋体"/>
                <w:spacing w:val="6"/>
                <w:sz w:val="24"/>
              </w:rPr>
              <w:t>水土流失影响因素</w:t>
            </w:r>
          </w:p>
          <w:p>
            <w:pPr>
              <w:pStyle w:val="11"/>
              <w:spacing w:line="360" w:lineRule="auto"/>
              <w:ind w:firstLine="504" w:firstLineChars="200"/>
              <w:rPr>
                <w:rFonts w:hAnsi="宋体"/>
                <w:spacing w:val="6"/>
                <w:sz w:val="24"/>
              </w:rPr>
            </w:pPr>
            <w:r>
              <w:rPr>
                <w:rFonts w:hint="eastAsia" w:hAnsi="宋体"/>
                <w:spacing w:val="6"/>
                <w:sz w:val="24"/>
              </w:rPr>
              <w:t>本项目在粘土开采、取运过程中破坏原有的地表植被，土体被剥离和扰动，土壤可蚀性相应增加，抗侵蚀能力降低，地形切割加剧，从而导致土壤侵蚀程度加大，水土流失增加。</w:t>
            </w:r>
          </w:p>
          <w:p>
            <w:pPr>
              <w:tabs>
                <w:tab w:val="left" w:pos="11"/>
              </w:tabs>
              <w:spacing w:line="360" w:lineRule="auto"/>
              <w:ind w:firstLine="480" w:firstLineChars="200"/>
              <w:rPr>
                <w:rFonts w:hAnsi="宋体"/>
                <w:bCs/>
                <w:sz w:val="24"/>
              </w:rPr>
            </w:pPr>
          </w:p>
          <w:p>
            <w:pPr>
              <w:tabs>
                <w:tab w:val="left" w:pos="11"/>
              </w:tabs>
              <w:spacing w:line="360" w:lineRule="auto"/>
              <w:ind w:firstLine="480" w:firstLineChars="200"/>
              <w:rPr>
                <w:rFonts w:hAnsi="宋体"/>
                <w:bCs/>
                <w:sz w:val="24"/>
              </w:rPr>
            </w:pPr>
          </w:p>
          <w:p>
            <w:pPr>
              <w:tabs>
                <w:tab w:val="left" w:pos="11"/>
              </w:tabs>
              <w:spacing w:line="360" w:lineRule="auto"/>
              <w:ind w:firstLine="480" w:firstLineChars="200"/>
              <w:rPr>
                <w:rFonts w:hAnsi="宋体"/>
                <w:bCs/>
                <w:sz w:val="24"/>
              </w:rPr>
            </w:pPr>
          </w:p>
          <w:p>
            <w:pPr>
              <w:tabs>
                <w:tab w:val="left" w:pos="11"/>
              </w:tabs>
              <w:spacing w:line="360" w:lineRule="auto"/>
              <w:ind w:firstLine="480" w:firstLineChars="200"/>
              <w:rPr>
                <w:rFonts w:hAnsi="宋体"/>
                <w:bCs/>
                <w:sz w:val="24"/>
              </w:rPr>
            </w:pPr>
          </w:p>
        </w:tc>
      </w:tr>
    </w:tbl>
    <w:p>
      <w:pPr>
        <w:spacing w:line="360" w:lineRule="auto"/>
        <w:jc w:val="left"/>
        <w:rPr>
          <w:b/>
          <w:sz w:val="24"/>
        </w:rPr>
      </w:pPr>
      <w:r>
        <w:rPr>
          <w:rFonts w:hAnsi="宋体"/>
          <w:b/>
          <w:sz w:val="24"/>
        </w:rPr>
        <w:t>项目主要污染物产生及预计排放情况</w:t>
      </w:r>
    </w:p>
    <w:tbl>
      <w:tblPr>
        <w:tblStyle w:val="24"/>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603"/>
        <w:gridCol w:w="1599"/>
        <w:gridCol w:w="2587"/>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92" w:type="dxa"/>
            <w:tcBorders>
              <w:top w:val="single" w:color="auto" w:sz="12" w:space="0"/>
              <w:left w:val="single" w:color="auto" w:sz="12" w:space="0"/>
              <w:tl2br w:val="single" w:color="auto" w:sz="4" w:space="0"/>
            </w:tcBorders>
            <w:vAlign w:val="center"/>
          </w:tcPr>
          <w:p>
            <w:pPr>
              <w:jc w:val="center"/>
              <w:rPr>
                <w:sz w:val="24"/>
                <w:szCs w:val="24"/>
              </w:rPr>
            </w:pPr>
            <w:r>
              <w:rPr>
                <w:rFonts w:hAnsi="宋体"/>
                <w:sz w:val="24"/>
                <w:szCs w:val="24"/>
              </w:rPr>
              <w:t>内容</w:t>
            </w:r>
          </w:p>
          <w:p>
            <w:pPr>
              <w:rPr>
                <w:sz w:val="24"/>
                <w:szCs w:val="24"/>
              </w:rPr>
            </w:pPr>
            <w:r>
              <w:rPr>
                <w:rFonts w:hAnsi="宋体"/>
                <w:sz w:val="24"/>
                <w:szCs w:val="24"/>
              </w:rPr>
              <w:t>类型</w:t>
            </w:r>
          </w:p>
        </w:tc>
        <w:tc>
          <w:tcPr>
            <w:tcW w:w="1603" w:type="dxa"/>
            <w:tcBorders>
              <w:top w:val="single" w:color="auto" w:sz="12" w:space="0"/>
            </w:tcBorders>
            <w:vAlign w:val="center"/>
          </w:tcPr>
          <w:p>
            <w:pPr>
              <w:jc w:val="center"/>
              <w:rPr>
                <w:sz w:val="24"/>
                <w:szCs w:val="24"/>
              </w:rPr>
            </w:pPr>
            <w:r>
              <w:rPr>
                <w:rFonts w:hAnsi="宋体"/>
                <w:sz w:val="24"/>
                <w:szCs w:val="24"/>
              </w:rPr>
              <w:t>排放源</w:t>
            </w:r>
          </w:p>
        </w:tc>
        <w:tc>
          <w:tcPr>
            <w:tcW w:w="1599" w:type="dxa"/>
            <w:tcBorders>
              <w:top w:val="single" w:color="auto" w:sz="12" w:space="0"/>
            </w:tcBorders>
            <w:vAlign w:val="center"/>
          </w:tcPr>
          <w:p>
            <w:pPr>
              <w:jc w:val="center"/>
              <w:rPr>
                <w:sz w:val="24"/>
                <w:szCs w:val="24"/>
              </w:rPr>
            </w:pPr>
            <w:r>
              <w:rPr>
                <w:rFonts w:hAnsi="宋体"/>
                <w:sz w:val="24"/>
                <w:szCs w:val="24"/>
              </w:rPr>
              <w:t>污染物名称</w:t>
            </w:r>
          </w:p>
        </w:tc>
        <w:tc>
          <w:tcPr>
            <w:tcW w:w="2587" w:type="dxa"/>
            <w:tcBorders>
              <w:top w:val="single" w:color="auto" w:sz="12" w:space="0"/>
            </w:tcBorders>
            <w:vAlign w:val="center"/>
          </w:tcPr>
          <w:p>
            <w:pPr>
              <w:jc w:val="center"/>
              <w:rPr>
                <w:sz w:val="24"/>
                <w:szCs w:val="24"/>
              </w:rPr>
            </w:pPr>
            <w:r>
              <w:rPr>
                <w:rFonts w:hAnsi="宋体"/>
                <w:sz w:val="24"/>
                <w:szCs w:val="24"/>
              </w:rPr>
              <w:t>处理前产生浓度及产生量（单位）</w:t>
            </w:r>
          </w:p>
        </w:tc>
        <w:tc>
          <w:tcPr>
            <w:tcW w:w="2459" w:type="dxa"/>
            <w:tcBorders>
              <w:top w:val="single" w:color="auto" w:sz="12" w:space="0"/>
              <w:right w:val="single" w:color="auto" w:sz="12" w:space="0"/>
            </w:tcBorders>
            <w:vAlign w:val="center"/>
          </w:tcPr>
          <w:p>
            <w:pPr>
              <w:jc w:val="center"/>
              <w:rPr>
                <w:sz w:val="24"/>
                <w:szCs w:val="24"/>
              </w:rPr>
            </w:pPr>
            <w:r>
              <w:rPr>
                <w:rFonts w:hAnsi="宋体"/>
                <w:sz w:val="24"/>
                <w:szCs w:val="24"/>
              </w:rPr>
              <w:t>排放浓度及排放量（单位）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dxa"/>
            <w:vMerge w:val="restart"/>
            <w:tcBorders>
              <w:left w:val="single" w:color="auto" w:sz="12" w:space="0"/>
            </w:tcBorders>
            <w:vAlign w:val="center"/>
          </w:tcPr>
          <w:p>
            <w:pPr>
              <w:jc w:val="center"/>
              <w:rPr>
                <w:sz w:val="24"/>
                <w:szCs w:val="24"/>
              </w:rPr>
            </w:pPr>
            <w:r>
              <w:rPr>
                <w:rFonts w:hint="eastAsia"/>
                <w:sz w:val="24"/>
                <w:szCs w:val="24"/>
              </w:rPr>
              <w:t>大</w:t>
            </w:r>
          </w:p>
          <w:p>
            <w:pPr>
              <w:jc w:val="center"/>
              <w:rPr>
                <w:sz w:val="24"/>
                <w:szCs w:val="24"/>
              </w:rPr>
            </w:pPr>
            <w:r>
              <w:rPr>
                <w:rFonts w:hint="eastAsia"/>
                <w:sz w:val="24"/>
                <w:szCs w:val="24"/>
              </w:rPr>
              <w:t>气</w:t>
            </w:r>
          </w:p>
          <w:p>
            <w:pPr>
              <w:jc w:val="center"/>
              <w:rPr>
                <w:sz w:val="24"/>
                <w:szCs w:val="24"/>
              </w:rPr>
            </w:pPr>
            <w:r>
              <w:rPr>
                <w:sz w:val="24"/>
                <w:szCs w:val="24"/>
              </w:rPr>
              <w:t>污</w:t>
            </w:r>
          </w:p>
          <w:p>
            <w:pPr>
              <w:jc w:val="center"/>
              <w:rPr>
                <w:sz w:val="24"/>
                <w:szCs w:val="24"/>
              </w:rPr>
            </w:pPr>
            <w:r>
              <w:rPr>
                <w:sz w:val="24"/>
                <w:szCs w:val="24"/>
              </w:rPr>
              <w:t>染</w:t>
            </w:r>
          </w:p>
          <w:p>
            <w:pPr>
              <w:jc w:val="center"/>
              <w:rPr>
                <w:sz w:val="24"/>
                <w:szCs w:val="24"/>
              </w:rPr>
            </w:pPr>
            <w:r>
              <w:rPr>
                <w:sz w:val="24"/>
                <w:szCs w:val="24"/>
              </w:rPr>
              <w:t>物</w:t>
            </w:r>
          </w:p>
        </w:tc>
        <w:tc>
          <w:tcPr>
            <w:tcW w:w="1603" w:type="dxa"/>
            <w:vAlign w:val="center"/>
          </w:tcPr>
          <w:p>
            <w:pPr>
              <w:ind w:left="-57" w:leftChars="-27" w:right="-73" w:rightChars="-35"/>
              <w:jc w:val="center"/>
              <w:rPr>
                <w:sz w:val="24"/>
                <w:szCs w:val="24"/>
              </w:rPr>
            </w:pPr>
            <w:r>
              <w:rPr>
                <w:rFonts w:hint="eastAsia"/>
                <w:sz w:val="24"/>
                <w:szCs w:val="24"/>
              </w:rPr>
              <w:t>粘土开采</w:t>
            </w:r>
          </w:p>
        </w:tc>
        <w:tc>
          <w:tcPr>
            <w:tcW w:w="1599" w:type="dxa"/>
            <w:vAlign w:val="center"/>
          </w:tcPr>
          <w:p>
            <w:pPr>
              <w:pStyle w:val="76"/>
              <w:rPr>
                <w:sz w:val="24"/>
                <w:szCs w:val="24"/>
                <w:lang w:val="en-US"/>
              </w:rPr>
            </w:pPr>
            <w:r>
              <w:rPr>
                <w:rFonts w:hint="eastAsia"/>
                <w:sz w:val="24"/>
                <w:szCs w:val="24"/>
                <w:lang w:val="en-US"/>
              </w:rPr>
              <w:t>扬尘</w:t>
            </w:r>
          </w:p>
        </w:tc>
        <w:tc>
          <w:tcPr>
            <w:tcW w:w="2587" w:type="dxa"/>
            <w:vAlign w:val="center"/>
          </w:tcPr>
          <w:p>
            <w:pPr>
              <w:pStyle w:val="76"/>
              <w:rPr>
                <w:sz w:val="24"/>
                <w:szCs w:val="24"/>
                <w:lang w:val="en-US"/>
              </w:rPr>
            </w:pPr>
            <w:r>
              <w:rPr>
                <w:rFonts w:hint="eastAsia"/>
                <w:sz w:val="24"/>
                <w:szCs w:val="24"/>
                <w:lang w:val="en-US"/>
              </w:rPr>
              <w:t>0.47</w:t>
            </w:r>
            <w:r>
              <w:rPr>
                <w:rFonts w:hint="eastAsia"/>
                <w:snapToGrid w:val="0"/>
                <w:sz w:val="24"/>
                <w:szCs w:val="24"/>
                <w:lang w:val="en-US"/>
              </w:rPr>
              <w:t>t/a</w:t>
            </w:r>
          </w:p>
        </w:tc>
        <w:tc>
          <w:tcPr>
            <w:tcW w:w="2459" w:type="dxa"/>
            <w:tcBorders>
              <w:right w:val="single" w:color="auto" w:sz="12" w:space="0"/>
            </w:tcBorders>
            <w:vAlign w:val="center"/>
          </w:tcPr>
          <w:p>
            <w:pPr>
              <w:pStyle w:val="76"/>
              <w:rPr>
                <w:sz w:val="24"/>
                <w:szCs w:val="24"/>
                <w:lang w:val="en-US"/>
              </w:rPr>
            </w:pPr>
            <w:r>
              <w:rPr>
                <w:rFonts w:hint="eastAsia"/>
                <w:sz w:val="24"/>
                <w:szCs w:val="24"/>
                <w:lang w:val="en-US"/>
              </w:rPr>
              <w:t>0.19</w:t>
            </w:r>
            <w:r>
              <w:rPr>
                <w:rFonts w:hint="eastAsia"/>
                <w:snapToGrid w:val="0"/>
                <w:sz w:val="24"/>
                <w:szCs w:val="24"/>
                <w:lang w:val="en-US"/>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dxa"/>
            <w:vMerge w:val="continue"/>
            <w:tcBorders>
              <w:left w:val="single" w:color="auto" w:sz="12" w:space="0"/>
            </w:tcBorders>
            <w:vAlign w:val="center"/>
          </w:tcPr>
          <w:p>
            <w:pPr>
              <w:jc w:val="center"/>
              <w:rPr>
                <w:sz w:val="24"/>
                <w:szCs w:val="24"/>
              </w:rPr>
            </w:pPr>
          </w:p>
        </w:tc>
        <w:tc>
          <w:tcPr>
            <w:tcW w:w="1603" w:type="dxa"/>
            <w:vAlign w:val="center"/>
          </w:tcPr>
          <w:p>
            <w:pPr>
              <w:ind w:left="-57" w:leftChars="-27" w:right="-73" w:rightChars="-35"/>
              <w:jc w:val="center"/>
              <w:rPr>
                <w:sz w:val="24"/>
                <w:szCs w:val="24"/>
              </w:rPr>
            </w:pPr>
            <w:r>
              <w:rPr>
                <w:rFonts w:hint="eastAsia"/>
                <w:sz w:val="24"/>
                <w:szCs w:val="24"/>
              </w:rPr>
              <w:t>物料装卸作业</w:t>
            </w:r>
          </w:p>
        </w:tc>
        <w:tc>
          <w:tcPr>
            <w:tcW w:w="1599" w:type="dxa"/>
            <w:vAlign w:val="center"/>
          </w:tcPr>
          <w:p>
            <w:pPr>
              <w:pStyle w:val="76"/>
              <w:rPr>
                <w:sz w:val="24"/>
                <w:szCs w:val="24"/>
                <w:lang w:val="en-US"/>
              </w:rPr>
            </w:pPr>
            <w:r>
              <w:rPr>
                <w:rFonts w:hint="eastAsia"/>
                <w:sz w:val="24"/>
                <w:szCs w:val="24"/>
                <w:lang w:val="en-US"/>
              </w:rPr>
              <w:t>扬尘</w:t>
            </w:r>
          </w:p>
        </w:tc>
        <w:tc>
          <w:tcPr>
            <w:tcW w:w="2587" w:type="dxa"/>
            <w:vAlign w:val="center"/>
          </w:tcPr>
          <w:p>
            <w:pPr>
              <w:pStyle w:val="76"/>
              <w:rPr>
                <w:sz w:val="24"/>
                <w:szCs w:val="24"/>
                <w:lang w:val="en-US"/>
              </w:rPr>
            </w:pPr>
            <w:r>
              <w:rPr>
                <w:rFonts w:hint="eastAsia"/>
                <w:sz w:val="24"/>
                <w:szCs w:val="24"/>
                <w:lang w:val="en-US"/>
              </w:rPr>
              <w:t>31.1kg</w:t>
            </w:r>
            <w:r>
              <w:rPr>
                <w:rFonts w:hint="eastAsia"/>
                <w:snapToGrid w:val="0"/>
                <w:sz w:val="24"/>
                <w:szCs w:val="24"/>
                <w:lang w:val="en-US"/>
              </w:rPr>
              <w:t>/a</w:t>
            </w:r>
          </w:p>
        </w:tc>
        <w:tc>
          <w:tcPr>
            <w:tcW w:w="2459" w:type="dxa"/>
            <w:tcBorders>
              <w:right w:val="single" w:color="auto" w:sz="12" w:space="0"/>
            </w:tcBorders>
            <w:vAlign w:val="center"/>
          </w:tcPr>
          <w:p>
            <w:pPr>
              <w:pStyle w:val="76"/>
              <w:rPr>
                <w:sz w:val="24"/>
                <w:szCs w:val="24"/>
                <w:lang w:val="en-US"/>
              </w:rPr>
            </w:pPr>
            <w:r>
              <w:rPr>
                <w:rFonts w:hint="eastAsia"/>
                <w:sz w:val="24"/>
                <w:szCs w:val="24"/>
                <w:lang w:val="en-US"/>
              </w:rPr>
              <w:t>31.1kg</w:t>
            </w:r>
            <w:r>
              <w:rPr>
                <w:rFonts w:hint="eastAsia"/>
                <w:snapToGrid w:val="0"/>
                <w:sz w:val="24"/>
                <w:szCs w:val="24"/>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dxa"/>
            <w:vMerge w:val="continue"/>
            <w:tcBorders>
              <w:left w:val="single" w:color="auto" w:sz="12" w:space="0"/>
            </w:tcBorders>
            <w:vAlign w:val="center"/>
          </w:tcPr>
          <w:p>
            <w:pPr>
              <w:jc w:val="center"/>
              <w:rPr>
                <w:sz w:val="24"/>
                <w:szCs w:val="24"/>
              </w:rPr>
            </w:pPr>
          </w:p>
        </w:tc>
        <w:tc>
          <w:tcPr>
            <w:tcW w:w="1603" w:type="dxa"/>
            <w:vAlign w:val="center"/>
          </w:tcPr>
          <w:p>
            <w:pPr>
              <w:ind w:left="-57" w:leftChars="-27" w:right="-73" w:rightChars="-35"/>
              <w:jc w:val="center"/>
              <w:rPr>
                <w:sz w:val="24"/>
                <w:szCs w:val="24"/>
              </w:rPr>
            </w:pPr>
            <w:r>
              <w:rPr>
                <w:bCs/>
                <w:sz w:val="24"/>
                <w:szCs w:val="24"/>
              </w:rPr>
              <w:t>运输</w:t>
            </w:r>
            <w:r>
              <w:rPr>
                <w:rFonts w:hint="eastAsia"/>
                <w:bCs/>
                <w:sz w:val="24"/>
                <w:szCs w:val="24"/>
              </w:rPr>
              <w:t>车辆</w:t>
            </w:r>
          </w:p>
        </w:tc>
        <w:tc>
          <w:tcPr>
            <w:tcW w:w="1599" w:type="dxa"/>
            <w:vAlign w:val="center"/>
          </w:tcPr>
          <w:p>
            <w:pPr>
              <w:pStyle w:val="76"/>
              <w:rPr>
                <w:sz w:val="24"/>
                <w:szCs w:val="24"/>
                <w:lang w:val="en-US"/>
              </w:rPr>
            </w:pPr>
            <w:r>
              <w:rPr>
                <w:bCs/>
                <w:sz w:val="24"/>
                <w:szCs w:val="24"/>
                <w:lang w:val="en-US"/>
              </w:rPr>
              <w:t>扬尘</w:t>
            </w:r>
          </w:p>
        </w:tc>
        <w:tc>
          <w:tcPr>
            <w:tcW w:w="2587" w:type="dxa"/>
            <w:vAlign w:val="center"/>
          </w:tcPr>
          <w:p>
            <w:pPr>
              <w:pStyle w:val="76"/>
              <w:rPr>
                <w:sz w:val="24"/>
                <w:szCs w:val="24"/>
                <w:lang w:val="en-US"/>
              </w:rPr>
            </w:pPr>
            <w:r>
              <w:rPr>
                <w:rFonts w:hint="eastAsia"/>
                <w:sz w:val="24"/>
                <w:szCs w:val="24"/>
                <w:lang w:val="en-US"/>
              </w:rPr>
              <w:t>1.48</w:t>
            </w:r>
            <w:r>
              <w:rPr>
                <w:rFonts w:hint="eastAsia"/>
                <w:snapToGrid w:val="0"/>
                <w:sz w:val="24"/>
                <w:szCs w:val="24"/>
                <w:lang w:val="en-US"/>
              </w:rPr>
              <w:t>t/a</w:t>
            </w:r>
          </w:p>
        </w:tc>
        <w:tc>
          <w:tcPr>
            <w:tcW w:w="2459" w:type="dxa"/>
            <w:tcBorders>
              <w:right w:val="single" w:color="auto" w:sz="12" w:space="0"/>
            </w:tcBorders>
            <w:vAlign w:val="center"/>
          </w:tcPr>
          <w:p>
            <w:pPr>
              <w:pStyle w:val="76"/>
              <w:rPr>
                <w:sz w:val="24"/>
                <w:szCs w:val="24"/>
                <w:lang w:val="en-US"/>
              </w:rPr>
            </w:pPr>
            <w:r>
              <w:rPr>
                <w:rFonts w:hint="eastAsia"/>
                <w:sz w:val="24"/>
                <w:szCs w:val="24"/>
                <w:lang w:val="en-US"/>
              </w:rPr>
              <w:t>1.48</w:t>
            </w:r>
            <w:r>
              <w:rPr>
                <w:rFonts w:hint="eastAsia"/>
                <w:snapToGrid w:val="0"/>
                <w:sz w:val="24"/>
                <w:szCs w:val="24"/>
                <w:lang w:val="en-US"/>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dxa"/>
            <w:vMerge w:val="continue"/>
            <w:tcBorders>
              <w:left w:val="single" w:color="auto" w:sz="12" w:space="0"/>
            </w:tcBorders>
            <w:vAlign w:val="center"/>
          </w:tcPr>
          <w:p>
            <w:pPr>
              <w:jc w:val="center"/>
              <w:rPr>
                <w:sz w:val="24"/>
                <w:szCs w:val="24"/>
              </w:rPr>
            </w:pPr>
          </w:p>
        </w:tc>
        <w:tc>
          <w:tcPr>
            <w:tcW w:w="1603" w:type="dxa"/>
            <w:vMerge w:val="restart"/>
            <w:vAlign w:val="center"/>
          </w:tcPr>
          <w:p>
            <w:pPr>
              <w:ind w:left="-57" w:leftChars="-27" w:right="-73" w:rightChars="-35"/>
              <w:jc w:val="center"/>
              <w:rPr>
                <w:sz w:val="24"/>
                <w:szCs w:val="24"/>
              </w:rPr>
            </w:pPr>
            <w:r>
              <w:rPr>
                <w:rFonts w:hint="eastAsia"/>
                <w:sz w:val="24"/>
                <w:szCs w:val="24"/>
              </w:rPr>
              <w:t>隧道窑</w:t>
            </w:r>
          </w:p>
        </w:tc>
        <w:tc>
          <w:tcPr>
            <w:tcW w:w="1599" w:type="dxa"/>
            <w:vAlign w:val="center"/>
          </w:tcPr>
          <w:p>
            <w:pPr>
              <w:jc w:val="center"/>
              <w:rPr>
                <w:sz w:val="24"/>
                <w:szCs w:val="24"/>
              </w:rPr>
            </w:pPr>
            <w:r>
              <w:rPr>
                <w:sz w:val="24"/>
                <w:szCs w:val="24"/>
              </w:rPr>
              <w:t>废气量</w:t>
            </w:r>
          </w:p>
        </w:tc>
        <w:tc>
          <w:tcPr>
            <w:tcW w:w="2587" w:type="dxa"/>
            <w:vAlign w:val="center"/>
          </w:tcPr>
          <w:p>
            <w:pPr>
              <w:spacing w:line="240" w:lineRule="atLeast"/>
              <w:jc w:val="center"/>
              <w:rPr>
                <w:sz w:val="24"/>
                <w:szCs w:val="24"/>
              </w:rPr>
            </w:pPr>
            <w:r>
              <w:rPr>
                <w:rFonts w:hint="eastAsia"/>
                <w:bCs/>
                <w:snapToGrid w:val="0"/>
                <w:sz w:val="24"/>
                <w:szCs w:val="24"/>
              </w:rPr>
              <w:t>7.7×10</w:t>
            </w:r>
            <w:r>
              <w:rPr>
                <w:rFonts w:hint="eastAsia"/>
                <w:bCs/>
                <w:snapToGrid w:val="0"/>
                <w:sz w:val="24"/>
                <w:szCs w:val="24"/>
                <w:vertAlign w:val="superscript"/>
              </w:rPr>
              <w:t>7</w:t>
            </w:r>
            <w:r>
              <w:rPr>
                <w:rFonts w:hint="eastAsia"/>
                <w:bCs/>
                <w:snapToGrid w:val="0"/>
                <w:sz w:val="24"/>
                <w:szCs w:val="24"/>
              </w:rPr>
              <w:t>m</w:t>
            </w:r>
            <w:r>
              <w:rPr>
                <w:rFonts w:hint="eastAsia"/>
                <w:bCs/>
                <w:snapToGrid w:val="0"/>
                <w:sz w:val="24"/>
                <w:szCs w:val="24"/>
                <w:vertAlign w:val="superscript"/>
              </w:rPr>
              <w:t>3</w:t>
            </w:r>
            <w:r>
              <w:rPr>
                <w:rFonts w:hint="eastAsia"/>
                <w:bCs/>
                <w:snapToGrid w:val="0"/>
                <w:sz w:val="24"/>
                <w:szCs w:val="24"/>
              </w:rPr>
              <w:t>/a</w:t>
            </w:r>
          </w:p>
        </w:tc>
        <w:tc>
          <w:tcPr>
            <w:tcW w:w="2459" w:type="dxa"/>
            <w:tcBorders>
              <w:right w:val="single" w:color="auto" w:sz="12" w:space="0"/>
            </w:tcBorders>
            <w:vAlign w:val="center"/>
          </w:tcPr>
          <w:p>
            <w:pPr>
              <w:spacing w:line="240" w:lineRule="atLeast"/>
              <w:jc w:val="center"/>
              <w:rPr>
                <w:sz w:val="24"/>
                <w:szCs w:val="24"/>
              </w:rPr>
            </w:pPr>
            <w:r>
              <w:rPr>
                <w:rFonts w:hint="eastAsia"/>
                <w:bCs/>
                <w:snapToGrid w:val="0"/>
                <w:sz w:val="24"/>
                <w:szCs w:val="24"/>
              </w:rPr>
              <w:t>7.7×10</w:t>
            </w:r>
            <w:r>
              <w:rPr>
                <w:rFonts w:hint="eastAsia"/>
                <w:bCs/>
                <w:snapToGrid w:val="0"/>
                <w:sz w:val="24"/>
                <w:szCs w:val="24"/>
                <w:vertAlign w:val="superscript"/>
              </w:rPr>
              <w:t>7</w:t>
            </w:r>
            <w:r>
              <w:rPr>
                <w:rFonts w:hint="eastAsia"/>
                <w:bCs/>
                <w:snapToGrid w:val="0"/>
                <w:sz w:val="24"/>
                <w:szCs w:val="24"/>
              </w:rPr>
              <w:t>m</w:t>
            </w:r>
            <w:r>
              <w:rPr>
                <w:rFonts w:hint="eastAsia"/>
                <w:bCs/>
                <w:snapToGrid w:val="0"/>
                <w:sz w:val="24"/>
                <w:szCs w:val="24"/>
                <w:vertAlign w:val="superscript"/>
              </w:rPr>
              <w:t>3</w:t>
            </w:r>
            <w:r>
              <w:rPr>
                <w:rFonts w:hint="eastAsia"/>
                <w:bCs/>
                <w:snapToGrid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dxa"/>
            <w:vMerge w:val="continue"/>
            <w:tcBorders>
              <w:left w:val="single" w:color="auto" w:sz="12" w:space="0"/>
            </w:tcBorders>
            <w:vAlign w:val="center"/>
          </w:tcPr>
          <w:p>
            <w:pPr>
              <w:jc w:val="center"/>
              <w:rPr>
                <w:sz w:val="24"/>
                <w:szCs w:val="24"/>
              </w:rPr>
            </w:pPr>
          </w:p>
        </w:tc>
        <w:tc>
          <w:tcPr>
            <w:tcW w:w="1603" w:type="dxa"/>
            <w:vMerge w:val="continue"/>
            <w:vAlign w:val="center"/>
          </w:tcPr>
          <w:p>
            <w:pPr>
              <w:ind w:left="-57" w:leftChars="-27" w:right="-73" w:rightChars="-35"/>
              <w:jc w:val="center"/>
              <w:rPr>
                <w:sz w:val="24"/>
                <w:szCs w:val="24"/>
              </w:rPr>
            </w:pPr>
          </w:p>
        </w:tc>
        <w:tc>
          <w:tcPr>
            <w:tcW w:w="1599" w:type="dxa"/>
            <w:vAlign w:val="center"/>
          </w:tcPr>
          <w:p>
            <w:pPr>
              <w:jc w:val="center"/>
              <w:rPr>
                <w:sz w:val="24"/>
                <w:szCs w:val="24"/>
              </w:rPr>
            </w:pPr>
            <w:r>
              <w:rPr>
                <w:rFonts w:hint="eastAsia"/>
                <w:sz w:val="24"/>
                <w:szCs w:val="24"/>
              </w:rPr>
              <w:t>烟尘</w:t>
            </w:r>
          </w:p>
        </w:tc>
        <w:tc>
          <w:tcPr>
            <w:tcW w:w="2587" w:type="dxa"/>
            <w:vAlign w:val="center"/>
          </w:tcPr>
          <w:p>
            <w:pPr>
              <w:jc w:val="center"/>
              <w:rPr>
                <w:sz w:val="24"/>
                <w:szCs w:val="24"/>
              </w:rPr>
            </w:pPr>
            <w:r>
              <w:rPr>
                <w:rFonts w:hint="eastAsia"/>
                <w:sz w:val="24"/>
                <w:szCs w:val="24"/>
              </w:rPr>
              <w:t>17.6</w:t>
            </w:r>
            <w:r>
              <w:rPr>
                <w:sz w:val="24"/>
                <w:szCs w:val="24"/>
              </w:rPr>
              <w:t>mg/m</w:t>
            </w:r>
            <w:r>
              <w:rPr>
                <w:sz w:val="24"/>
                <w:szCs w:val="24"/>
                <w:vertAlign w:val="superscript"/>
              </w:rPr>
              <w:t>3</w:t>
            </w:r>
            <w:r>
              <w:rPr>
                <w:rFonts w:hint="eastAsia"/>
                <w:sz w:val="24"/>
                <w:szCs w:val="24"/>
              </w:rPr>
              <w:t>，1.361t</w:t>
            </w:r>
            <w:r>
              <w:rPr>
                <w:sz w:val="24"/>
                <w:szCs w:val="24"/>
              </w:rPr>
              <w:t>/a</w:t>
            </w:r>
          </w:p>
        </w:tc>
        <w:tc>
          <w:tcPr>
            <w:tcW w:w="2459" w:type="dxa"/>
            <w:tcBorders>
              <w:right w:val="single" w:color="auto" w:sz="12" w:space="0"/>
            </w:tcBorders>
            <w:vAlign w:val="center"/>
          </w:tcPr>
          <w:p>
            <w:pPr>
              <w:jc w:val="center"/>
              <w:rPr>
                <w:sz w:val="24"/>
                <w:szCs w:val="24"/>
              </w:rPr>
            </w:pPr>
            <w:r>
              <w:rPr>
                <w:rFonts w:hint="eastAsia"/>
                <w:sz w:val="24"/>
                <w:szCs w:val="24"/>
              </w:rPr>
              <w:t>17.6</w:t>
            </w:r>
            <w:r>
              <w:rPr>
                <w:sz w:val="24"/>
                <w:szCs w:val="24"/>
              </w:rPr>
              <w:t>mg/m</w:t>
            </w:r>
            <w:r>
              <w:rPr>
                <w:sz w:val="24"/>
                <w:szCs w:val="24"/>
                <w:vertAlign w:val="superscript"/>
              </w:rPr>
              <w:t>3</w:t>
            </w:r>
            <w:r>
              <w:rPr>
                <w:rFonts w:hint="eastAsia"/>
                <w:sz w:val="24"/>
                <w:szCs w:val="24"/>
              </w:rPr>
              <w:t>，1.361t</w:t>
            </w:r>
            <w:r>
              <w:rPr>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dxa"/>
            <w:vMerge w:val="continue"/>
            <w:tcBorders>
              <w:left w:val="single" w:color="auto" w:sz="12" w:space="0"/>
            </w:tcBorders>
            <w:vAlign w:val="center"/>
          </w:tcPr>
          <w:p>
            <w:pPr>
              <w:jc w:val="center"/>
              <w:rPr>
                <w:sz w:val="24"/>
                <w:szCs w:val="24"/>
              </w:rPr>
            </w:pPr>
          </w:p>
        </w:tc>
        <w:tc>
          <w:tcPr>
            <w:tcW w:w="1603" w:type="dxa"/>
            <w:vMerge w:val="continue"/>
            <w:vAlign w:val="center"/>
          </w:tcPr>
          <w:p>
            <w:pPr>
              <w:ind w:left="-57" w:leftChars="-27" w:right="-73" w:rightChars="-35"/>
              <w:jc w:val="center"/>
              <w:rPr>
                <w:sz w:val="24"/>
                <w:szCs w:val="24"/>
              </w:rPr>
            </w:pPr>
          </w:p>
        </w:tc>
        <w:tc>
          <w:tcPr>
            <w:tcW w:w="1599" w:type="dxa"/>
            <w:vAlign w:val="center"/>
          </w:tcPr>
          <w:p>
            <w:pPr>
              <w:jc w:val="center"/>
              <w:rPr>
                <w:sz w:val="24"/>
                <w:szCs w:val="24"/>
              </w:rPr>
            </w:pPr>
            <w:r>
              <w:rPr>
                <w:rFonts w:hint="eastAsia"/>
                <w:sz w:val="24"/>
                <w:szCs w:val="24"/>
              </w:rPr>
              <w:t>SO</w:t>
            </w:r>
            <w:r>
              <w:rPr>
                <w:rFonts w:hint="eastAsia"/>
                <w:sz w:val="24"/>
                <w:szCs w:val="24"/>
                <w:vertAlign w:val="subscript"/>
              </w:rPr>
              <w:t>2</w:t>
            </w:r>
          </w:p>
        </w:tc>
        <w:tc>
          <w:tcPr>
            <w:tcW w:w="2587" w:type="dxa"/>
            <w:vAlign w:val="center"/>
          </w:tcPr>
          <w:p>
            <w:pPr>
              <w:jc w:val="center"/>
              <w:rPr>
                <w:sz w:val="24"/>
                <w:szCs w:val="24"/>
              </w:rPr>
            </w:pPr>
            <w:r>
              <w:rPr>
                <w:rFonts w:hint="eastAsia"/>
                <w:sz w:val="24"/>
                <w:szCs w:val="24"/>
              </w:rPr>
              <w:t>8.8</w:t>
            </w:r>
            <w:r>
              <w:rPr>
                <w:sz w:val="24"/>
                <w:szCs w:val="24"/>
              </w:rPr>
              <w:t>mg/m</w:t>
            </w:r>
            <w:r>
              <w:rPr>
                <w:sz w:val="24"/>
                <w:szCs w:val="24"/>
                <w:vertAlign w:val="superscript"/>
              </w:rPr>
              <w:t>3</w:t>
            </w:r>
            <w:r>
              <w:rPr>
                <w:rFonts w:hint="eastAsia"/>
                <w:sz w:val="24"/>
                <w:szCs w:val="24"/>
              </w:rPr>
              <w:t xml:space="preserve"> ，0.680t</w:t>
            </w:r>
            <w:r>
              <w:rPr>
                <w:sz w:val="24"/>
                <w:szCs w:val="24"/>
              </w:rPr>
              <w:t>/a</w:t>
            </w:r>
          </w:p>
        </w:tc>
        <w:tc>
          <w:tcPr>
            <w:tcW w:w="2459" w:type="dxa"/>
            <w:tcBorders>
              <w:right w:val="single" w:color="auto" w:sz="12" w:space="0"/>
            </w:tcBorders>
            <w:vAlign w:val="center"/>
          </w:tcPr>
          <w:p>
            <w:pPr>
              <w:jc w:val="center"/>
              <w:rPr>
                <w:sz w:val="24"/>
                <w:szCs w:val="24"/>
              </w:rPr>
            </w:pPr>
            <w:r>
              <w:rPr>
                <w:rFonts w:hint="eastAsia"/>
                <w:sz w:val="24"/>
                <w:szCs w:val="24"/>
              </w:rPr>
              <w:t>8.8</w:t>
            </w:r>
            <w:r>
              <w:rPr>
                <w:sz w:val="24"/>
                <w:szCs w:val="24"/>
              </w:rPr>
              <w:t>mg/m</w:t>
            </w:r>
            <w:r>
              <w:rPr>
                <w:sz w:val="24"/>
                <w:szCs w:val="24"/>
                <w:vertAlign w:val="superscript"/>
              </w:rPr>
              <w:t>3</w:t>
            </w:r>
            <w:r>
              <w:rPr>
                <w:rFonts w:hint="eastAsia"/>
                <w:sz w:val="24"/>
                <w:szCs w:val="24"/>
              </w:rPr>
              <w:t xml:space="preserve"> ，0.680t</w:t>
            </w:r>
            <w:r>
              <w:rPr>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dxa"/>
            <w:vMerge w:val="continue"/>
            <w:tcBorders>
              <w:left w:val="single" w:color="auto" w:sz="12" w:space="0"/>
            </w:tcBorders>
            <w:vAlign w:val="center"/>
          </w:tcPr>
          <w:p>
            <w:pPr>
              <w:jc w:val="center"/>
              <w:rPr>
                <w:sz w:val="24"/>
                <w:szCs w:val="24"/>
              </w:rPr>
            </w:pPr>
          </w:p>
        </w:tc>
        <w:tc>
          <w:tcPr>
            <w:tcW w:w="1603" w:type="dxa"/>
            <w:vMerge w:val="continue"/>
            <w:vAlign w:val="center"/>
          </w:tcPr>
          <w:p>
            <w:pPr>
              <w:ind w:left="-57" w:leftChars="-27" w:right="-73" w:rightChars="-35"/>
              <w:jc w:val="center"/>
              <w:rPr>
                <w:sz w:val="24"/>
                <w:szCs w:val="24"/>
              </w:rPr>
            </w:pPr>
          </w:p>
        </w:tc>
        <w:tc>
          <w:tcPr>
            <w:tcW w:w="1599" w:type="dxa"/>
            <w:vAlign w:val="center"/>
          </w:tcPr>
          <w:p>
            <w:pPr>
              <w:spacing w:line="240" w:lineRule="atLeast"/>
              <w:jc w:val="center"/>
              <w:rPr>
                <w:sz w:val="24"/>
                <w:szCs w:val="24"/>
              </w:rPr>
            </w:pPr>
            <w:r>
              <w:rPr>
                <w:rFonts w:hint="eastAsia"/>
                <w:sz w:val="24"/>
                <w:szCs w:val="24"/>
              </w:rPr>
              <w:t>NO</w:t>
            </w:r>
            <w:r>
              <w:rPr>
                <w:rFonts w:hint="eastAsia"/>
                <w:sz w:val="24"/>
                <w:szCs w:val="24"/>
                <w:vertAlign w:val="subscript"/>
              </w:rPr>
              <w:t>x</w:t>
            </w:r>
          </w:p>
        </w:tc>
        <w:tc>
          <w:tcPr>
            <w:tcW w:w="2587" w:type="dxa"/>
            <w:vAlign w:val="center"/>
          </w:tcPr>
          <w:p>
            <w:pPr>
              <w:jc w:val="center"/>
              <w:rPr>
                <w:sz w:val="24"/>
                <w:szCs w:val="24"/>
              </w:rPr>
            </w:pPr>
            <w:r>
              <w:rPr>
                <w:rFonts w:hint="eastAsia"/>
                <w:sz w:val="24"/>
                <w:szCs w:val="24"/>
              </w:rPr>
              <w:t>137.3</w:t>
            </w:r>
            <w:r>
              <w:rPr>
                <w:sz w:val="24"/>
                <w:szCs w:val="24"/>
              </w:rPr>
              <w:t>mg/m</w:t>
            </w:r>
            <w:r>
              <w:rPr>
                <w:sz w:val="24"/>
                <w:szCs w:val="24"/>
                <w:vertAlign w:val="superscript"/>
              </w:rPr>
              <w:t>3</w:t>
            </w:r>
            <w:r>
              <w:rPr>
                <w:rFonts w:hint="eastAsia"/>
                <w:sz w:val="24"/>
                <w:szCs w:val="24"/>
              </w:rPr>
              <w:t>，10.609t</w:t>
            </w:r>
            <w:r>
              <w:rPr>
                <w:sz w:val="24"/>
                <w:szCs w:val="24"/>
              </w:rPr>
              <w:t>/a</w:t>
            </w:r>
          </w:p>
        </w:tc>
        <w:tc>
          <w:tcPr>
            <w:tcW w:w="2459" w:type="dxa"/>
            <w:tcBorders>
              <w:right w:val="single" w:color="auto" w:sz="12" w:space="0"/>
            </w:tcBorders>
            <w:vAlign w:val="center"/>
          </w:tcPr>
          <w:p>
            <w:pPr>
              <w:jc w:val="center"/>
              <w:rPr>
                <w:sz w:val="24"/>
                <w:szCs w:val="24"/>
              </w:rPr>
            </w:pPr>
            <w:r>
              <w:rPr>
                <w:rFonts w:hint="eastAsia"/>
                <w:sz w:val="24"/>
                <w:szCs w:val="24"/>
              </w:rPr>
              <w:t>137.3</w:t>
            </w:r>
            <w:r>
              <w:rPr>
                <w:sz w:val="24"/>
                <w:szCs w:val="24"/>
              </w:rPr>
              <w:t>mg/m</w:t>
            </w:r>
            <w:r>
              <w:rPr>
                <w:sz w:val="24"/>
                <w:szCs w:val="24"/>
                <w:vertAlign w:val="superscript"/>
              </w:rPr>
              <w:t>3</w:t>
            </w:r>
            <w:r>
              <w:rPr>
                <w:rFonts w:hint="eastAsia"/>
                <w:sz w:val="24"/>
                <w:szCs w:val="24"/>
              </w:rPr>
              <w:t>，10.609t</w:t>
            </w:r>
            <w:r>
              <w:rPr>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dxa"/>
            <w:vMerge w:val="continue"/>
            <w:tcBorders>
              <w:left w:val="single" w:color="auto" w:sz="12" w:space="0"/>
            </w:tcBorders>
            <w:vAlign w:val="center"/>
          </w:tcPr>
          <w:p>
            <w:pPr>
              <w:jc w:val="center"/>
              <w:rPr>
                <w:sz w:val="24"/>
                <w:szCs w:val="24"/>
              </w:rPr>
            </w:pPr>
          </w:p>
        </w:tc>
        <w:tc>
          <w:tcPr>
            <w:tcW w:w="1603" w:type="dxa"/>
            <w:vMerge w:val="continue"/>
            <w:vAlign w:val="center"/>
          </w:tcPr>
          <w:p>
            <w:pPr>
              <w:ind w:left="-57" w:leftChars="-27" w:right="-73" w:rightChars="-35"/>
              <w:jc w:val="center"/>
              <w:rPr>
                <w:sz w:val="24"/>
                <w:szCs w:val="24"/>
              </w:rPr>
            </w:pPr>
          </w:p>
        </w:tc>
        <w:tc>
          <w:tcPr>
            <w:tcW w:w="1599" w:type="dxa"/>
            <w:vAlign w:val="center"/>
          </w:tcPr>
          <w:p>
            <w:pPr>
              <w:spacing w:line="240" w:lineRule="atLeast"/>
              <w:jc w:val="center"/>
              <w:rPr>
                <w:sz w:val="24"/>
                <w:szCs w:val="24"/>
              </w:rPr>
            </w:pPr>
            <w:r>
              <w:rPr>
                <w:rFonts w:hint="eastAsia"/>
                <w:sz w:val="24"/>
                <w:szCs w:val="24"/>
              </w:rPr>
              <w:t>氟化物</w:t>
            </w:r>
          </w:p>
        </w:tc>
        <w:tc>
          <w:tcPr>
            <w:tcW w:w="2587" w:type="dxa"/>
            <w:vAlign w:val="center"/>
          </w:tcPr>
          <w:p>
            <w:pPr>
              <w:jc w:val="center"/>
              <w:rPr>
                <w:sz w:val="24"/>
                <w:szCs w:val="24"/>
              </w:rPr>
            </w:pPr>
            <w:r>
              <w:rPr>
                <w:rFonts w:hint="eastAsia"/>
                <w:sz w:val="24"/>
                <w:szCs w:val="24"/>
              </w:rPr>
              <w:t>0.91mg/m</w:t>
            </w:r>
            <w:r>
              <w:rPr>
                <w:rFonts w:hint="eastAsia"/>
                <w:sz w:val="24"/>
                <w:szCs w:val="24"/>
                <w:vertAlign w:val="superscript"/>
              </w:rPr>
              <w:t>3</w:t>
            </w:r>
            <w:r>
              <w:rPr>
                <w:rFonts w:hint="eastAsia"/>
                <w:sz w:val="24"/>
                <w:szCs w:val="24"/>
              </w:rPr>
              <w:t>，0.070t/a</w:t>
            </w:r>
          </w:p>
        </w:tc>
        <w:tc>
          <w:tcPr>
            <w:tcW w:w="2459" w:type="dxa"/>
            <w:tcBorders>
              <w:right w:val="single" w:color="auto" w:sz="12" w:space="0"/>
            </w:tcBorders>
            <w:vAlign w:val="center"/>
          </w:tcPr>
          <w:p>
            <w:pPr>
              <w:jc w:val="center"/>
              <w:rPr>
                <w:sz w:val="24"/>
                <w:szCs w:val="24"/>
              </w:rPr>
            </w:pPr>
            <w:r>
              <w:rPr>
                <w:rFonts w:hint="eastAsia"/>
                <w:sz w:val="24"/>
                <w:szCs w:val="24"/>
              </w:rPr>
              <w:t>0.91mg/m</w:t>
            </w:r>
            <w:r>
              <w:rPr>
                <w:rFonts w:hint="eastAsia"/>
                <w:sz w:val="24"/>
                <w:szCs w:val="24"/>
                <w:vertAlign w:val="superscript"/>
              </w:rPr>
              <w:t>3</w:t>
            </w:r>
            <w:r>
              <w:rPr>
                <w:rFonts w:hint="eastAsia"/>
                <w:sz w:val="24"/>
                <w:szCs w:val="24"/>
              </w:rPr>
              <w:t>，0.070t/a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dxa"/>
            <w:vMerge w:val="continue"/>
            <w:tcBorders>
              <w:left w:val="single" w:color="auto" w:sz="12" w:space="0"/>
            </w:tcBorders>
            <w:vAlign w:val="center"/>
          </w:tcPr>
          <w:p>
            <w:pPr>
              <w:jc w:val="center"/>
              <w:rPr>
                <w:sz w:val="24"/>
                <w:szCs w:val="24"/>
              </w:rPr>
            </w:pPr>
          </w:p>
        </w:tc>
        <w:tc>
          <w:tcPr>
            <w:tcW w:w="1603" w:type="dxa"/>
            <w:vAlign w:val="center"/>
          </w:tcPr>
          <w:p>
            <w:pPr>
              <w:ind w:left="-57" w:leftChars="-27" w:right="-73" w:rightChars="-35"/>
              <w:jc w:val="center"/>
              <w:rPr>
                <w:color w:val="FF0000"/>
                <w:sz w:val="24"/>
                <w:szCs w:val="24"/>
              </w:rPr>
            </w:pPr>
            <w:r>
              <w:rPr>
                <w:rFonts w:hint="eastAsia"/>
                <w:color w:val="FF0000"/>
                <w:sz w:val="24"/>
                <w:szCs w:val="24"/>
              </w:rPr>
              <w:t>破碎</w:t>
            </w:r>
          </w:p>
        </w:tc>
        <w:tc>
          <w:tcPr>
            <w:tcW w:w="1599" w:type="dxa"/>
            <w:vAlign w:val="center"/>
          </w:tcPr>
          <w:p>
            <w:pPr>
              <w:spacing w:line="240" w:lineRule="atLeast"/>
              <w:jc w:val="center"/>
              <w:rPr>
                <w:color w:val="FF0000"/>
                <w:sz w:val="24"/>
                <w:szCs w:val="24"/>
              </w:rPr>
            </w:pPr>
            <w:r>
              <w:rPr>
                <w:rFonts w:hint="eastAsia"/>
                <w:color w:val="FF0000"/>
                <w:sz w:val="24"/>
                <w:szCs w:val="24"/>
              </w:rPr>
              <w:t>颗粒物</w:t>
            </w:r>
          </w:p>
        </w:tc>
        <w:tc>
          <w:tcPr>
            <w:tcW w:w="2587" w:type="dxa"/>
            <w:vAlign w:val="center"/>
          </w:tcPr>
          <w:p>
            <w:pPr>
              <w:jc w:val="center"/>
              <w:rPr>
                <w:color w:val="FF0000"/>
                <w:sz w:val="24"/>
                <w:szCs w:val="24"/>
              </w:rPr>
            </w:pPr>
            <w:r>
              <w:rPr>
                <w:rFonts w:hint="eastAsia"/>
                <w:color w:val="FF0000"/>
                <w:sz w:val="24"/>
                <w:szCs w:val="24"/>
              </w:rPr>
              <w:t>1133mg/m</w:t>
            </w:r>
            <w:r>
              <w:rPr>
                <w:rFonts w:hint="eastAsia"/>
                <w:color w:val="FF0000"/>
                <w:sz w:val="24"/>
                <w:szCs w:val="24"/>
                <w:vertAlign w:val="superscript"/>
              </w:rPr>
              <w:t>3</w:t>
            </w:r>
            <w:r>
              <w:rPr>
                <w:rFonts w:hint="eastAsia"/>
                <w:color w:val="FF0000"/>
                <w:sz w:val="24"/>
                <w:szCs w:val="24"/>
              </w:rPr>
              <w:t>，3.4t/a</w:t>
            </w:r>
          </w:p>
        </w:tc>
        <w:tc>
          <w:tcPr>
            <w:tcW w:w="2459" w:type="dxa"/>
            <w:tcBorders>
              <w:right w:val="single" w:color="auto" w:sz="12" w:space="0"/>
            </w:tcBorders>
            <w:vAlign w:val="center"/>
          </w:tcPr>
          <w:p>
            <w:pPr>
              <w:jc w:val="center"/>
              <w:rPr>
                <w:color w:val="FF0000"/>
                <w:sz w:val="24"/>
                <w:szCs w:val="24"/>
              </w:rPr>
            </w:pPr>
            <w:r>
              <w:rPr>
                <w:rFonts w:hint="eastAsia"/>
                <w:color w:val="FF0000"/>
                <w:sz w:val="24"/>
                <w:szCs w:val="24"/>
              </w:rPr>
              <w:t>11.3mg/m</w:t>
            </w:r>
            <w:r>
              <w:rPr>
                <w:rFonts w:hint="eastAsia"/>
                <w:color w:val="FF0000"/>
                <w:sz w:val="24"/>
                <w:szCs w:val="24"/>
                <w:vertAlign w:val="superscript"/>
              </w:rPr>
              <w:t>3</w:t>
            </w:r>
            <w:r>
              <w:rPr>
                <w:rFonts w:hint="eastAsia"/>
                <w:color w:val="FF0000"/>
                <w:sz w:val="24"/>
                <w:szCs w:val="24"/>
              </w:rPr>
              <w:t>，0.034t/a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dxa"/>
            <w:vMerge w:val="continue"/>
            <w:tcBorders>
              <w:left w:val="single" w:color="auto" w:sz="12" w:space="0"/>
            </w:tcBorders>
            <w:vAlign w:val="center"/>
          </w:tcPr>
          <w:p>
            <w:pPr>
              <w:jc w:val="center"/>
              <w:rPr>
                <w:sz w:val="24"/>
                <w:szCs w:val="24"/>
              </w:rPr>
            </w:pPr>
          </w:p>
        </w:tc>
        <w:tc>
          <w:tcPr>
            <w:tcW w:w="1603" w:type="dxa"/>
            <w:vAlign w:val="center"/>
          </w:tcPr>
          <w:p>
            <w:pPr>
              <w:ind w:left="-57" w:leftChars="-27" w:right="-73" w:rightChars="-35"/>
              <w:jc w:val="center"/>
              <w:rPr>
                <w:rFonts w:hint="eastAsia"/>
                <w:color w:val="FF0000"/>
                <w:sz w:val="24"/>
                <w:szCs w:val="24"/>
              </w:rPr>
            </w:pPr>
            <w:r>
              <w:rPr>
                <w:rFonts w:hint="eastAsia"/>
                <w:color w:val="FF0000"/>
                <w:sz w:val="24"/>
                <w:szCs w:val="24"/>
              </w:rPr>
              <w:t>干燥</w:t>
            </w:r>
          </w:p>
        </w:tc>
        <w:tc>
          <w:tcPr>
            <w:tcW w:w="1599" w:type="dxa"/>
            <w:vAlign w:val="center"/>
          </w:tcPr>
          <w:p>
            <w:pPr>
              <w:spacing w:line="240" w:lineRule="atLeast"/>
              <w:jc w:val="center"/>
              <w:rPr>
                <w:rFonts w:hint="eastAsia"/>
                <w:color w:val="FF0000"/>
                <w:sz w:val="24"/>
                <w:szCs w:val="24"/>
              </w:rPr>
            </w:pPr>
            <w:r>
              <w:rPr>
                <w:rFonts w:hint="eastAsia"/>
                <w:color w:val="FF0000"/>
                <w:sz w:val="24"/>
                <w:szCs w:val="24"/>
              </w:rPr>
              <w:t>/</w:t>
            </w:r>
          </w:p>
        </w:tc>
        <w:tc>
          <w:tcPr>
            <w:tcW w:w="2587" w:type="dxa"/>
            <w:vAlign w:val="center"/>
          </w:tcPr>
          <w:p>
            <w:pPr>
              <w:jc w:val="center"/>
              <w:rPr>
                <w:rFonts w:hint="eastAsia"/>
                <w:color w:val="FF0000"/>
                <w:sz w:val="24"/>
                <w:szCs w:val="24"/>
              </w:rPr>
            </w:pPr>
            <w:r>
              <w:rPr>
                <w:rFonts w:hint="eastAsia"/>
                <w:color w:val="FF0000"/>
                <w:sz w:val="24"/>
                <w:szCs w:val="24"/>
              </w:rPr>
              <w:t>/</w:t>
            </w:r>
          </w:p>
        </w:tc>
        <w:tc>
          <w:tcPr>
            <w:tcW w:w="2459" w:type="dxa"/>
            <w:tcBorders>
              <w:right w:val="single" w:color="auto" w:sz="12" w:space="0"/>
            </w:tcBorders>
            <w:vAlign w:val="center"/>
          </w:tcPr>
          <w:p>
            <w:pPr>
              <w:jc w:val="center"/>
              <w:rPr>
                <w:rFonts w:hint="eastAsia"/>
                <w:color w:val="FF0000"/>
                <w:sz w:val="24"/>
                <w:szCs w:val="24"/>
              </w:rPr>
            </w:pPr>
            <w:r>
              <w:rPr>
                <w:rFonts w:hint="eastAsia"/>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dxa"/>
            <w:vMerge w:val="continue"/>
            <w:tcBorders>
              <w:left w:val="single" w:color="auto" w:sz="12" w:space="0"/>
            </w:tcBorders>
            <w:vAlign w:val="center"/>
          </w:tcPr>
          <w:p>
            <w:pPr>
              <w:jc w:val="center"/>
              <w:rPr>
                <w:sz w:val="24"/>
                <w:szCs w:val="24"/>
              </w:rPr>
            </w:pPr>
          </w:p>
        </w:tc>
        <w:tc>
          <w:tcPr>
            <w:tcW w:w="1603" w:type="dxa"/>
            <w:vAlign w:val="center"/>
          </w:tcPr>
          <w:p>
            <w:pPr>
              <w:adjustRightInd w:val="0"/>
              <w:snapToGrid w:val="0"/>
              <w:jc w:val="center"/>
              <w:rPr>
                <w:rFonts w:ascii="宋体" w:hAnsi="宋体"/>
                <w:sz w:val="24"/>
                <w:szCs w:val="24"/>
              </w:rPr>
            </w:pPr>
            <w:r>
              <w:rPr>
                <w:rFonts w:hint="eastAsia" w:ascii="宋体" w:hAnsi="宋体"/>
                <w:sz w:val="24"/>
                <w:szCs w:val="24"/>
              </w:rPr>
              <w:t>员工食堂</w:t>
            </w:r>
          </w:p>
        </w:tc>
        <w:tc>
          <w:tcPr>
            <w:tcW w:w="1599" w:type="dxa"/>
            <w:vAlign w:val="center"/>
          </w:tcPr>
          <w:p>
            <w:pPr>
              <w:adjustRightInd w:val="0"/>
              <w:snapToGrid w:val="0"/>
              <w:jc w:val="center"/>
              <w:rPr>
                <w:sz w:val="24"/>
                <w:szCs w:val="24"/>
                <w:vertAlign w:val="subscript"/>
              </w:rPr>
            </w:pPr>
            <w:r>
              <w:rPr>
                <w:rFonts w:hint="eastAsia"/>
                <w:sz w:val="24"/>
                <w:szCs w:val="24"/>
              </w:rPr>
              <w:t>油烟</w:t>
            </w:r>
          </w:p>
        </w:tc>
        <w:tc>
          <w:tcPr>
            <w:tcW w:w="2587" w:type="dxa"/>
            <w:vAlign w:val="center"/>
          </w:tcPr>
          <w:p>
            <w:pPr>
              <w:adjustRightInd w:val="0"/>
              <w:snapToGrid w:val="0"/>
              <w:jc w:val="center"/>
              <w:rPr>
                <w:sz w:val="24"/>
                <w:szCs w:val="24"/>
              </w:rPr>
            </w:pPr>
            <w:r>
              <w:rPr>
                <w:rFonts w:hint="eastAsia"/>
                <w:sz w:val="24"/>
                <w:szCs w:val="24"/>
              </w:rPr>
              <w:t>4.5</w:t>
            </w:r>
            <w:r>
              <w:rPr>
                <w:sz w:val="24"/>
                <w:szCs w:val="24"/>
              </w:rPr>
              <w:t>mg/m</w:t>
            </w:r>
            <w:r>
              <w:rPr>
                <w:sz w:val="24"/>
                <w:szCs w:val="24"/>
                <w:vertAlign w:val="superscript"/>
              </w:rPr>
              <w:t>3</w:t>
            </w:r>
            <w:r>
              <w:rPr>
                <w:rFonts w:hint="eastAsia"/>
                <w:sz w:val="24"/>
                <w:szCs w:val="24"/>
                <w:vertAlign w:val="superscript"/>
              </w:rPr>
              <w:t xml:space="preserve">   </w:t>
            </w:r>
            <w:r>
              <w:rPr>
                <w:rFonts w:hint="eastAsia"/>
                <w:sz w:val="24"/>
                <w:szCs w:val="24"/>
              </w:rPr>
              <w:t>14.2kg</w:t>
            </w:r>
            <w:r>
              <w:rPr>
                <w:sz w:val="24"/>
                <w:szCs w:val="24"/>
              </w:rPr>
              <w:t>/a</w:t>
            </w:r>
          </w:p>
        </w:tc>
        <w:tc>
          <w:tcPr>
            <w:tcW w:w="2459" w:type="dxa"/>
            <w:tcBorders>
              <w:right w:val="single" w:color="auto" w:sz="12" w:space="0"/>
            </w:tcBorders>
            <w:vAlign w:val="center"/>
          </w:tcPr>
          <w:p>
            <w:pPr>
              <w:adjustRightInd w:val="0"/>
              <w:snapToGrid w:val="0"/>
              <w:jc w:val="center"/>
              <w:rPr>
                <w:sz w:val="24"/>
                <w:szCs w:val="24"/>
              </w:rPr>
            </w:pPr>
            <w:r>
              <w:rPr>
                <w:rFonts w:hint="eastAsia"/>
                <w:sz w:val="24"/>
                <w:szCs w:val="24"/>
              </w:rPr>
              <w:t>1.8</w:t>
            </w:r>
            <w:r>
              <w:rPr>
                <w:sz w:val="24"/>
                <w:szCs w:val="24"/>
              </w:rPr>
              <w:t>mg/m</w:t>
            </w:r>
            <w:r>
              <w:rPr>
                <w:sz w:val="24"/>
                <w:szCs w:val="24"/>
                <w:vertAlign w:val="superscript"/>
              </w:rPr>
              <w:t>3</w:t>
            </w:r>
            <w:r>
              <w:rPr>
                <w:rFonts w:hint="eastAsia"/>
                <w:sz w:val="24"/>
                <w:szCs w:val="24"/>
                <w:vertAlign w:val="superscript"/>
              </w:rPr>
              <w:t>，</w:t>
            </w:r>
            <w:r>
              <w:rPr>
                <w:rFonts w:hint="eastAsia"/>
                <w:sz w:val="24"/>
                <w:szCs w:val="24"/>
              </w:rPr>
              <w:t>5.7kg</w:t>
            </w:r>
            <w:r>
              <w:rPr>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2" w:type="dxa"/>
            <w:vMerge w:val="restart"/>
            <w:tcBorders>
              <w:left w:val="single" w:color="auto" w:sz="12" w:space="0"/>
            </w:tcBorders>
            <w:vAlign w:val="center"/>
          </w:tcPr>
          <w:p>
            <w:pPr>
              <w:jc w:val="center"/>
              <w:rPr>
                <w:sz w:val="24"/>
                <w:szCs w:val="24"/>
              </w:rPr>
            </w:pPr>
            <w:r>
              <w:rPr>
                <w:rFonts w:hAnsi="宋体"/>
                <w:sz w:val="24"/>
                <w:szCs w:val="24"/>
              </w:rPr>
              <w:t>水污</w:t>
            </w:r>
          </w:p>
          <w:p>
            <w:pPr>
              <w:jc w:val="center"/>
              <w:rPr>
                <w:sz w:val="24"/>
                <w:szCs w:val="24"/>
              </w:rPr>
            </w:pPr>
            <w:r>
              <w:rPr>
                <w:rFonts w:hAnsi="宋体"/>
                <w:sz w:val="24"/>
                <w:szCs w:val="24"/>
              </w:rPr>
              <w:t>染物</w:t>
            </w:r>
          </w:p>
        </w:tc>
        <w:tc>
          <w:tcPr>
            <w:tcW w:w="1603" w:type="dxa"/>
            <w:vMerge w:val="restart"/>
            <w:vAlign w:val="center"/>
          </w:tcPr>
          <w:p>
            <w:pPr>
              <w:jc w:val="center"/>
              <w:rPr>
                <w:sz w:val="24"/>
                <w:szCs w:val="24"/>
              </w:rPr>
            </w:pPr>
            <w:r>
              <w:rPr>
                <w:rFonts w:hint="eastAsia"/>
                <w:sz w:val="24"/>
                <w:szCs w:val="24"/>
              </w:rPr>
              <w:t>生活污水</w:t>
            </w:r>
          </w:p>
        </w:tc>
        <w:tc>
          <w:tcPr>
            <w:tcW w:w="1599" w:type="dxa"/>
            <w:vAlign w:val="center"/>
          </w:tcPr>
          <w:p>
            <w:pPr>
              <w:jc w:val="center"/>
              <w:rPr>
                <w:sz w:val="24"/>
                <w:szCs w:val="24"/>
              </w:rPr>
            </w:pPr>
            <w:r>
              <w:rPr>
                <w:rFonts w:hint="eastAsia"/>
                <w:sz w:val="24"/>
                <w:szCs w:val="24"/>
              </w:rPr>
              <w:t>水量</w:t>
            </w:r>
          </w:p>
        </w:tc>
        <w:tc>
          <w:tcPr>
            <w:tcW w:w="2587" w:type="dxa"/>
            <w:vAlign w:val="center"/>
          </w:tcPr>
          <w:p>
            <w:pPr>
              <w:jc w:val="center"/>
              <w:rPr>
                <w:sz w:val="24"/>
                <w:szCs w:val="24"/>
              </w:rPr>
            </w:pPr>
            <w:r>
              <w:rPr>
                <w:rFonts w:hint="eastAsia"/>
                <w:spacing w:val="2"/>
                <w:sz w:val="24"/>
                <w:szCs w:val="24"/>
              </w:rPr>
              <w:t>2091</w:t>
            </w:r>
            <w:r>
              <w:rPr>
                <w:spacing w:val="2"/>
                <w:sz w:val="24"/>
                <w:szCs w:val="24"/>
              </w:rPr>
              <w:t>m</w:t>
            </w:r>
            <w:r>
              <w:rPr>
                <w:spacing w:val="2"/>
                <w:sz w:val="24"/>
                <w:szCs w:val="24"/>
                <w:vertAlign w:val="superscript"/>
              </w:rPr>
              <w:t>3</w:t>
            </w:r>
            <w:r>
              <w:rPr>
                <w:spacing w:val="2"/>
                <w:sz w:val="24"/>
                <w:szCs w:val="24"/>
              </w:rPr>
              <w:t>/a</w:t>
            </w:r>
          </w:p>
        </w:tc>
        <w:tc>
          <w:tcPr>
            <w:tcW w:w="2459" w:type="dxa"/>
            <w:vMerge w:val="restart"/>
            <w:tcBorders>
              <w:right w:val="single" w:color="auto" w:sz="12" w:space="0"/>
            </w:tcBorders>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2" w:type="dxa"/>
            <w:vMerge w:val="continue"/>
            <w:tcBorders>
              <w:left w:val="single" w:color="auto" w:sz="12" w:space="0"/>
            </w:tcBorders>
            <w:vAlign w:val="center"/>
          </w:tcPr>
          <w:p>
            <w:pPr>
              <w:jc w:val="center"/>
              <w:rPr>
                <w:rFonts w:hAnsi="宋体"/>
                <w:sz w:val="24"/>
                <w:szCs w:val="24"/>
              </w:rPr>
            </w:pPr>
          </w:p>
        </w:tc>
        <w:tc>
          <w:tcPr>
            <w:tcW w:w="1603" w:type="dxa"/>
            <w:vMerge w:val="continue"/>
            <w:vAlign w:val="center"/>
          </w:tcPr>
          <w:p>
            <w:pPr>
              <w:jc w:val="center"/>
              <w:rPr>
                <w:sz w:val="24"/>
                <w:szCs w:val="24"/>
              </w:rPr>
            </w:pPr>
          </w:p>
        </w:tc>
        <w:tc>
          <w:tcPr>
            <w:tcW w:w="1599" w:type="dxa"/>
            <w:vAlign w:val="center"/>
          </w:tcPr>
          <w:p>
            <w:pPr>
              <w:jc w:val="center"/>
              <w:rPr>
                <w:sz w:val="24"/>
                <w:szCs w:val="24"/>
              </w:rPr>
            </w:pPr>
            <w:r>
              <w:rPr>
                <w:sz w:val="24"/>
                <w:szCs w:val="24"/>
              </w:rPr>
              <w:t>COD</w:t>
            </w:r>
          </w:p>
        </w:tc>
        <w:tc>
          <w:tcPr>
            <w:tcW w:w="2587" w:type="dxa"/>
            <w:vAlign w:val="center"/>
          </w:tcPr>
          <w:p>
            <w:pPr>
              <w:jc w:val="center"/>
              <w:rPr>
                <w:spacing w:val="2"/>
                <w:sz w:val="24"/>
                <w:szCs w:val="24"/>
              </w:rPr>
            </w:pPr>
            <w:r>
              <w:rPr>
                <w:rFonts w:hint="eastAsia"/>
                <w:spacing w:val="2"/>
                <w:sz w:val="24"/>
                <w:szCs w:val="24"/>
              </w:rPr>
              <w:t>450mg/L</w:t>
            </w:r>
            <w:r>
              <w:rPr>
                <w:spacing w:val="2"/>
                <w:sz w:val="24"/>
                <w:szCs w:val="24"/>
              </w:rPr>
              <w:t xml:space="preserve">    </w:t>
            </w:r>
            <w:r>
              <w:rPr>
                <w:rFonts w:hint="eastAsia"/>
                <w:spacing w:val="2"/>
                <w:sz w:val="24"/>
                <w:szCs w:val="24"/>
              </w:rPr>
              <w:t>0.84t/a</w:t>
            </w:r>
          </w:p>
        </w:tc>
        <w:tc>
          <w:tcPr>
            <w:tcW w:w="2459" w:type="dxa"/>
            <w:vMerge w:val="continue"/>
            <w:tcBorders>
              <w:right w:val="single" w:color="auto" w:sz="12"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2" w:type="dxa"/>
            <w:vMerge w:val="continue"/>
            <w:tcBorders>
              <w:left w:val="single" w:color="auto" w:sz="12" w:space="0"/>
            </w:tcBorders>
            <w:vAlign w:val="center"/>
          </w:tcPr>
          <w:p>
            <w:pPr>
              <w:jc w:val="center"/>
              <w:rPr>
                <w:rFonts w:hAnsi="宋体"/>
                <w:sz w:val="24"/>
                <w:szCs w:val="24"/>
              </w:rPr>
            </w:pPr>
          </w:p>
        </w:tc>
        <w:tc>
          <w:tcPr>
            <w:tcW w:w="1603" w:type="dxa"/>
            <w:vMerge w:val="continue"/>
            <w:vAlign w:val="center"/>
          </w:tcPr>
          <w:p>
            <w:pPr>
              <w:jc w:val="center"/>
              <w:rPr>
                <w:sz w:val="24"/>
                <w:szCs w:val="24"/>
              </w:rPr>
            </w:pPr>
          </w:p>
        </w:tc>
        <w:tc>
          <w:tcPr>
            <w:tcW w:w="1599" w:type="dxa"/>
            <w:vAlign w:val="center"/>
          </w:tcPr>
          <w:p>
            <w:pPr>
              <w:jc w:val="center"/>
              <w:rPr>
                <w:sz w:val="24"/>
                <w:szCs w:val="24"/>
              </w:rPr>
            </w:pPr>
            <w:r>
              <w:rPr>
                <w:sz w:val="24"/>
                <w:szCs w:val="24"/>
              </w:rPr>
              <w:t>BOD</w:t>
            </w:r>
            <w:r>
              <w:rPr>
                <w:sz w:val="24"/>
                <w:szCs w:val="24"/>
                <w:vertAlign w:val="subscript"/>
              </w:rPr>
              <w:t>5</w:t>
            </w:r>
          </w:p>
        </w:tc>
        <w:tc>
          <w:tcPr>
            <w:tcW w:w="2587" w:type="dxa"/>
            <w:vAlign w:val="center"/>
          </w:tcPr>
          <w:p>
            <w:pPr>
              <w:jc w:val="center"/>
              <w:rPr>
                <w:spacing w:val="2"/>
                <w:sz w:val="24"/>
                <w:szCs w:val="24"/>
              </w:rPr>
            </w:pPr>
            <w:r>
              <w:rPr>
                <w:rFonts w:hint="eastAsia"/>
                <w:spacing w:val="2"/>
                <w:sz w:val="24"/>
                <w:szCs w:val="24"/>
              </w:rPr>
              <w:t>250mg/L</w:t>
            </w:r>
            <w:r>
              <w:rPr>
                <w:spacing w:val="2"/>
                <w:sz w:val="24"/>
                <w:szCs w:val="24"/>
              </w:rPr>
              <w:t xml:space="preserve">     </w:t>
            </w:r>
            <w:r>
              <w:rPr>
                <w:rFonts w:hint="eastAsia"/>
                <w:spacing w:val="2"/>
                <w:sz w:val="24"/>
                <w:szCs w:val="24"/>
              </w:rPr>
              <w:t>0.52t/a</w:t>
            </w:r>
          </w:p>
        </w:tc>
        <w:tc>
          <w:tcPr>
            <w:tcW w:w="2459" w:type="dxa"/>
            <w:vMerge w:val="continue"/>
            <w:tcBorders>
              <w:right w:val="single" w:color="auto" w:sz="12"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2" w:type="dxa"/>
            <w:vMerge w:val="continue"/>
            <w:tcBorders>
              <w:left w:val="single" w:color="auto" w:sz="12" w:space="0"/>
            </w:tcBorders>
            <w:vAlign w:val="center"/>
          </w:tcPr>
          <w:p>
            <w:pPr>
              <w:jc w:val="center"/>
              <w:rPr>
                <w:rFonts w:hAnsi="宋体"/>
                <w:sz w:val="24"/>
                <w:szCs w:val="24"/>
              </w:rPr>
            </w:pPr>
          </w:p>
        </w:tc>
        <w:tc>
          <w:tcPr>
            <w:tcW w:w="1603" w:type="dxa"/>
            <w:vMerge w:val="continue"/>
            <w:vAlign w:val="center"/>
          </w:tcPr>
          <w:p>
            <w:pPr>
              <w:jc w:val="center"/>
              <w:rPr>
                <w:sz w:val="24"/>
                <w:szCs w:val="24"/>
              </w:rPr>
            </w:pPr>
          </w:p>
        </w:tc>
        <w:tc>
          <w:tcPr>
            <w:tcW w:w="1599" w:type="dxa"/>
            <w:vAlign w:val="center"/>
          </w:tcPr>
          <w:p>
            <w:pPr>
              <w:jc w:val="center"/>
              <w:rPr>
                <w:sz w:val="24"/>
                <w:szCs w:val="24"/>
              </w:rPr>
            </w:pPr>
            <w:r>
              <w:rPr>
                <w:sz w:val="24"/>
                <w:szCs w:val="24"/>
              </w:rPr>
              <w:t>SS</w:t>
            </w:r>
          </w:p>
        </w:tc>
        <w:tc>
          <w:tcPr>
            <w:tcW w:w="2587" w:type="dxa"/>
            <w:vAlign w:val="center"/>
          </w:tcPr>
          <w:p>
            <w:pPr>
              <w:jc w:val="center"/>
              <w:rPr>
                <w:spacing w:val="2"/>
                <w:sz w:val="24"/>
                <w:szCs w:val="24"/>
              </w:rPr>
            </w:pPr>
            <w:r>
              <w:rPr>
                <w:rFonts w:hint="eastAsia"/>
                <w:spacing w:val="2"/>
                <w:sz w:val="24"/>
                <w:szCs w:val="24"/>
              </w:rPr>
              <w:t>180mg/L</w:t>
            </w:r>
            <w:r>
              <w:rPr>
                <w:spacing w:val="2"/>
                <w:sz w:val="24"/>
                <w:szCs w:val="24"/>
              </w:rPr>
              <w:t xml:space="preserve">     </w:t>
            </w:r>
            <w:r>
              <w:rPr>
                <w:rFonts w:hint="eastAsia"/>
                <w:spacing w:val="2"/>
                <w:sz w:val="24"/>
                <w:szCs w:val="24"/>
              </w:rPr>
              <w:t>0.38t/a</w:t>
            </w:r>
          </w:p>
        </w:tc>
        <w:tc>
          <w:tcPr>
            <w:tcW w:w="2459" w:type="dxa"/>
            <w:vMerge w:val="continue"/>
            <w:tcBorders>
              <w:right w:val="single" w:color="auto" w:sz="12"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2" w:type="dxa"/>
            <w:vMerge w:val="continue"/>
            <w:tcBorders>
              <w:left w:val="single" w:color="auto" w:sz="12" w:space="0"/>
            </w:tcBorders>
            <w:vAlign w:val="center"/>
          </w:tcPr>
          <w:p>
            <w:pPr>
              <w:jc w:val="center"/>
              <w:rPr>
                <w:rFonts w:hAnsi="宋体"/>
                <w:sz w:val="24"/>
                <w:szCs w:val="24"/>
              </w:rPr>
            </w:pPr>
          </w:p>
        </w:tc>
        <w:tc>
          <w:tcPr>
            <w:tcW w:w="1603" w:type="dxa"/>
            <w:vMerge w:val="continue"/>
            <w:vAlign w:val="center"/>
          </w:tcPr>
          <w:p>
            <w:pPr>
              <w:jc w:val="center"/>
              <w:rPr>
                <w:sz w:val="24"/>
                <w:szCs w:val="24"/>
              </w:rPr>
            </w:pPr>
          </w:p>
        </w:tc>
        <w:tc>
          <w:tcPr>
            <w:tcW w:w="1599" w:type="dxa"/>
            <w:vAlign w:val="center"/>
          </w:tcPr>
          <w:p>
            <w:pPr>
              <w:jc w:val="center"/>
              <w:rPr>
                <w:sz w:val="24"/>
                <w:szCs w:val="24"/>
              </w:rPr>
            </w:pPr>
            <w:r>
              <w:rPr>
                <w:rFonts w:hint="eastAsia"/>
                <w:sz w:val="24"/>
                <w:szCs w:val="24"/>
              </w:rPr>
              <w:t>氨氮</w:t>
            </w:r>
          </w:p>
        </w:tc>
        <w:tc>
          <w:tcPr>
            <w:tcW w:w="2587" w:type="dxa"/>
            <w:vAlign w:val="center"/>
          </w:tcPr>
          <w:p>
            <w:pPr>
              <w:jc w:val="center"/>
              <w:rPr>
                <w:spacing w:val="2"/>
                <w:sz w:val="24"/>
                <w:szCs w:val="24"/>
              </w:rPr>
            </w:pPr>
            <w:r>
              <w:rPr>
                <w:rFonts w:hint="eastAsia"/>
                <w:spacing w:val="2"/>
                <w:sz w:val="24"/>
                <w:szCs w:val="24"/>
              </w:rPr>
              <w:t>30mg/L</w:t>
            </w:r>
            <w:r>
              <w:rPr>
                <w:spacing w:val="2"/>
                <w:sz w:val="24"/>
                <w:szCs w:val="24"/>
              </w:rPr>
              <w:t xml:space="preserve">     </w:t>
            </w:r>
            <w:r>
              <w:rPr>
                <w:rFonts w:hint="eastAsia"/>
                <w:spacing w:val="2"/>
                <w:sz w:val="24"/>
                <w:szCs w:val="24"/>
              </w:rPr>
              <w:t>0.06t/a</w:t>
            </w:r>
          </w:p>
        </w:tc>
        <w:tc>
          <w:tcPr>
            <w:tcW w:w="2459" w:type="dxa"/>
            <w:vMerge w:val="continue"/>
            <w:tcBorders>
              <w:right w:val="single" w:color="auto" w:sz="12"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792" w:type="dxa"/>
            <w:vMerge w:val="restart"/>
            <w:tcBorders>
              <w:left w:val="single" w:color="auto" w:sz="12" w:space="0"/>
            </w:tcBorders>
            <w:vAlign w:val="center"/>
          </w:tcPr>
          <w:p>
            <w:pPr>
              <w:jc w:val="center"/>
              <w:rPr>
                <w:sz w:val="24"/>
                <w:szCs w:val="24"/>
              </w:rPr>
            </w:pPr>
            <w:r>
              <w:rPr>
                <w:rFonts w:hAnsi="宋体"/>
                <w:sz w:val="24"/>
                <w:szCs w:val="24"/>
              </w:rPr>
              <w:t>固体</w:t>
            </w:r>
          </w:p>
          <w:p>
            <w:pPr>
              <w:jc w:val="center"/>
              <w:rPr>
                <w:sz w:val="24"/>
                <w:szCs w:val="24"/>
              </w:rPr>
            </w:pPr>
            <w:r>
              <w:rPr>
                <w:rFonts w:hAnsi="宋体"/>
                <w:sz w:val="24"/>
                <w:szCs w:val="24"/>
              </w:rPr>
              <w:t>废物</w:t>
            </w:r>
          </w:p>
        </w:tc>
        <w:tc>
          <w:tcPr>
            <w:tcW w:w="1603" w:type="dxa"/>
            <w:vAlign w:val="center"/>
          </w:tcPr>
          <w:p>
            <w:pPr>
              <w:jc w:val="center"/>
              <w:rPr>
                <w:rFonts w:hAnsi="宋体"/>
                <w:sz w:val="24"/>
                <w:szCs w:val="24"/>
              </w:rPr>
            </w:pPr>
            <w:r>
              <w:rPr>
                <w:rFonts w:hint="eastAsia" w:hAnsi="宋体"/>
                <w:sz w:val="24"/>
                <w:szCs w:val="24"/>
              </w:rPr>
              <w:t>废品及废料</w:t>
            </w:r>
          </w:p>
        </w:tc>
        <w:tc>
          <w:tcPr>
            <w:tcW w:w="1599" w:type="dxa"/>
            <w:vAlign w:val="center"/>
          </w:tcPr>
          <w:p>
            <w:pPr>
              <w:jc w:val="center"/>
              <w:rPr>
                <w:rFonts w:hAnsi="宋体"/>
                <w:sz w:val="24"/>
                <w:szCs w:val="24"/>
              </w:rPr>
            </w:pPr>
            <w:r>
              <w:rPr>
                <w:rFonts w:hint="eastAsia" w:hAnsi="宋体"/>
                <w:sz w:val="24"/>
                <w:szCs w:val="24"/>
              </w:rPr>
              <w:t>废砖坯</w:t>
            </w:r>
          </w:p>
        </w:tc>
        <w:tc>
          <w:tcPr>
            <w:tcW w:w="2587" w:type="dxa"/>
            <w:vAlign w:val="center"/>
          </w:tcPr>
          <w:p>
            <w:pPr>
              <w:jc w:val="center"/>
              <w:rPr>
                <w:sz w:val="24"/>
                <w:szCs w:val="24"/>
              </w:rPr>
            </w:pPr>
            <w:r>
              <w:rPr>
                <w:rFonts w:hint="eastAsia"/>
                <w:sz w:val="24"/>
                <w:szCs w:val="24"/>
              </w:rPr>
              <w:t>3380</w:t>
            </w:r>
            <w:r>
              <w:rPr>
                <w:sz w:val="24"/>
                <w:szCs w:val="24"/>
              </w:rPr>
              <w:t>t/a</w:t>
            </w:r>
          </w:p>
        </w:tc>
        <w:tc>
          <w:tcPr>
            <w:tcW w:w="2459" w:type="dxa"/>
            <w:tcBorders>
              <w:right w:val="single" w:color="auto" w:sz="12" w:space="0"/>
            </w:tcBorders>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3" w:hRule="atLeast"/>
          <w:jc w:val="center"/>
        </w:trPr>
        <w:tc>
          <w:tcPr>
            <w:tcW w:w="792" w:type="dxa"/>
            <w:vMerge w:val="continue"/>
            <w:tcBorders>
              <w:left w:val="single" w:color="auto" w:sz="12" w:space="0"/>
            </w:tcBorders>
            <w:vAlign w:val="center"/>
          </w:tcPr>
          <w:p>
            <w:pPr>
              <w:jc w:val="center"/>
              <w:rPr>
                <w:rFonts w:hAnsi="宋体"/>
                <w:sz w:val="24"/>
                <w:szCs w:val="24"/>
              </w:rPr>
            </w:pPr>
          </w:p>
        </w:tc>
        <w:tc>
          <w:tcPr>
            <w:tcW w:w="1603" w:type="dxa"/>
            <w:vAlign w:val="center"/>
          </w:tcPr>
          <w:p>
            <w:pPr>
              <w:jc w:val="center"/>
              <w:rPr>
                <w:rFonts w:hAnsi="宋体"/>
                <w:sz w:val="24"/>
                <w:szCs w:val="24"/>
              </w:rPr>
            </w:pPr>
            <w:r>
              <w:rPr>
                <w:rFonts w:hint="eastAsia" w:hAnsi="宋体"/>
                <w:sz w:val="24"/>
                <w:szCs w:val="24"/>
              </w:rPr>
              <w:t>设备维修</w:t>
            </w:r>
          </w:p>
        </w:tc>
        <w:tc>
          <w:tcPr>
            <w:tcW w:w="1599" w:type="dxa"/>
            <w:vAlign w:val="center"/>
          </w:tcPr>
          <w:p>
            <w:pPr>
              <w:jc w:val="center"/>
              <w:rPr>
                <w:rFonts w:hAnsi="宋体"/>
                <w:sz w:val="24"/>
                <w:szCs w:val="24"/>
              </w:rPr>
            </w:pPr>
            <w:r>
              <w:rPr>
                <w:rFonts w:hint="eastAsia" w:hAnsi="宋体"/>
                <w:sz w:val="24"/>
                <w:szCs w:val="24"/>
              </w:rPr>
              <w:t>废机油</w:t>
            </w:r>
          </w:p>
        </w:tc>
        <w:tc>
          <w:tcPr>
            <w:tcW w:w="2587" w:type="dxa"/>
            <w:vAlign w:val="center"/>
          </w:tcPr>
          <w:p>
            <w:pPr>
              <w:jc w:val="center"/>
              <w:rPr>
                <w:sz w:val="24"/>
                <w:szCs w:val="24"/>
              </w:rPr>
            </w:pPr>
            <w:r>
              <w:rPr>
                <w:rFonts w:hint="eastAsia"/>
                <w:sz w:val="24"/>
                <w:szCs w:val="24"/>
              </w:rPr>
              <w:t>0.01t/a</w:t>
            </w:r>
          </w:p>
        </w:tc>
        <w:tc>
          <w:tcPr>
            <w:tcW w:w="2459" w:type="dxa"/>
            <w:tcBorders>
              <w:right w:val="single" w:color="auto" w:sz="12" w:space="0"/>
            </w:tcBorders>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dxa"/>
            <w:vMerge w:val="continue"/>
            <w:tcBorders>
              <w:left w:val="single" w:color="auto" w:sz="12" w:space="0"/>
            </w:tcBorders>
            <w:vAlign w:val="center"/>
          </w:tcPr>
          <w:p>
            <w:pPr>
              <w:jc w:val="center"/>
              <w:rPr>
                <w:rFonts w:hAnsi="宋体"/>
                <w:sz w:val="24"/>
                <w:szCs w:val="24"/>
              </w:rPr>
            </w:pPr>
          </w:p>
        </w:tc>
        <w:tc>
          <w:tcPr>
            <w:tcW w:w="1603" w:type="dxa"/>
            <w:vMerge w:val="restart"/>
            <w:vAlign w:val="center"/>
          </w:tcPr>
          <w:p>
            <w:pPr>
              <w:jc w:val="center"/>
              <w:rPr>
                <w:rFonts w:hAnsi="宋体"/>
                <w:sz w:val="24"/>
                <w:szCs w:val="24"/>
              </w:rPr>
            </w:pPr>
            <w:r>
              <w:rPr>
                <w:rFonts w:hint="eastAsia" w:hAnsi="宋体"/>
                <w:sz w:val="24"/>
                <w:szCs w:val="24"/>
              </w:rPr>
              <w:t>生活垃圾</w:t>
            </w:r>
          </w:p>
        </w:tc>
        <w:tc>
          <w:tcPr>
            <w:tcW w:w="1599" w:type="dxa"/>
            <w:vAlign w:val="center"/>
          </w:tcPr>
          <w:p>
            <w:pPr>
              <w:jc w:val="center"/>
              <w:rPr>
                <w:rFonts w:hAnsi="宋体"/>
                <w:sz w:val="24"/>
                <w:szCs w:val="24"/>
              </w:rPr>
            </w:pPr>
            <w:r>
              <w:rPr>
                <w:rFonts w:hint="eastAsia" w:hAnsi="宋体"/>
                <w:sz w:val="24"/>
                <w:szCs w:val="24"/>
              </w:rPr>
              <w:t>生活垃圾</w:t>
            </w:r>
          </w:p>
        </w:tc>
        <w:tc>
          <w:tcPr>
            <w:tcW w:w="2587" w:type="dxa"/>
            <w:vAlign w:val="center"/>
          </w:tcPr>
          <w:p>
            <w:pPr>
              <w:jc w:val="center"/>
              <w:rPr>
                <w:sz w:val="24"/>
                <w:szCs w:val="24"/>
              </w:rPr>
            </w:pPr>
            <w:r>
              <w:rPr>
                <w:rFonts w:hint="eastAsia"/>
                <w:sz w:val="24"/>
                <w:szCs w:val="24"/>
              </w:rPr>
              <w:t>12.3</w:t>
            </w:r>
            <w:r>
              <w:rPr>
                <w:sz w:val="24"/>
                <w:szCs w:val="24"/>
              </w:rPr>
              <w:t>t/a</w:t>
            </w:r>
          </w:p>
        </w:tc>
        <w:tc>
          <w:tcPr>
            <w:tcW w:w="2459" w:type="dxa"/>
            <w:tcBorders>
              <w:right w:val="single" w:color="auto" w:sz="12" w:space="0"/>
            </w:tcBorders>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dxa"/>
            <w:vMerge w:val="continue"/>
            <w:tcBorders>
              <w:left w:val="single" w:color="auto" w:sz="12" w:space="0"/>
            </w:tcBorders>
            <w:vAlign w:val="center"/>
          </w:tcPr>
          <w:p>
            <w:pPr>
              <w:jc w:val="center"/>
              <w:rPr>
                <w:rFonts w:hAnsi="宋体"/>
                <w:sz w:val="24"/>
                <w:szCs w:val="24"/>
              </w:rPr>
            </w:pPr>
          </w:p>
        </w:tc>
        <w:tc>
          <w:tcPr>
            <w:tcW w:w="1603" w:type="dxa"/>
            <w:vMerge w:val="continue"/>
            <w:vAlign w:val="center"/>
          </w:tcPr>
          <w:p>
            <w:pPr>
              <w:jc w:val="center"/>
              <w:rPr>
                <w:rFonts w:hAnsi="宋体"/>
                <w:sz w:val="24"/>
                <w:szCs w:val="24"/>
              </w:rPr>
            </w:pPr>
          </w:p>
        </w:tc>
        <w:tc>
          <w:tcPr>
            <w:tcW w:w="1599" w:type="dxa"/>
            <w:vAlign w:val="center"/>
          </w:tcPr>
          <w:p>
            <w:pPr>
              <w:jc w:val="center"/>
              <w:rPr>
                <w:rFonts w:hAnsi="宋体"/>
                <w:sz w:val="24"/>
                <w:szCs w:val="24"/>
              </w:rPr>
            </w:pPr>
            <w:r>
              <w:rPr>
                <w:rFonts w:hint="eastAsia"/>
                <w:color w:val="FF0000"/>
                <w:sz w:val="24"/>
                <w:szCs w:val="21"/>
              </w:rPr>
              <w:t>餐厨垃圾</w:t>
            </w:r>
          </w:p>
        </w:tc>
        <w:tc>
          <w:tcPr>
            <w:tcW w:w="2587" w:type="dxa"/>
            <w:vAlign w:val="center"/>
          </w:tcPr>
          <w:p>
            <w:pPr>
              <w:jc w:val="center"/>
              <w:rPr>
                <w:sz w:val="24"/>
                <w:szCs w:val="24"/>
              </w:rPr>
            </w:pPr>
            <w:r>
              <w:rPr>
                <w:rFonts w:hint="eastAsia"/>
                <w:color w:val="FF0000"/>
                <w:sz w:val="24"/>
                <w:szCs w:val="21"/>
              </w:rPr>
              <w:t>2.4t/a</w:t>
            </w:r>
          </w:p>
        </w:tc>
        <w:tc>
          <w:tcPr>
            <w:tcW w:w="2459" w:type="dxa"/>
            <w:tcBorders>
              <w:right w:val="single" w:color="auto" w:sz="12" w:space="0"/>
            </w:tcBorders>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dxa"/>
            <w:vMerge w:val="continue"/>
            <w:tcBorders>
              <w:left w:val="single" w:color="auto" w:sz="12" w:space="0"/>
            </w:tcBorders>
            <w:vAlign w:val="center"/>
          </w:tcPr>
          <w:p>
            <w:pPr>
              <w:jc w:val="center"/>
              <w:rPr>
                <w:rFonts w:hAnsi="宋体"/>
                <w:sz w:val="24"/>
                <w:szCs w:val="24"/>
              </w:rPr>
            </w:pPr>
          </w:p>
        </w:tc>
        <w:tc>
          <w:tcPr>
            <w:tcW w:w="1603" w:type="dxa"/>
            <w:vMerge w:val="continue"/>
            <w:vAlign w:val="center"/>
          </w:tcPr>
          <w:p>
            <w:pPr>
              <w:jc w:val="center"/>
              <w:rPr>
                <w:rFonts w:hAnsi="宋体"/>
                <w:sz w:val="24"/>
                <w:szCs w:val="24"/>
              </w:rPr>
            </w:pPr>
          </w:p>
        </w:tc>
        <w:tc>
          <w:tcPr>
            <w:tcW w:w="1599" w:type="dxa"/>
            <w:vAlign w:val="center"/>
          </w:tcPr>
          <w:p>
            <w:pPr>
              <w:jc w:val="center"/>
              <w:rPr>
                <w:rFonts w:hAnsi="宋体"/>
                <w:sz w:val="24"/>
                <w:szCs w:val="24"/>
              </w:rPr>
            </w:pPr>
            <w:r>
              <w:rPr>
                <w:rFonts w:hint="eastAsia"/>
                <w:color w:val="FF0000"/>
                <w:sz w:val="24"/>
                <w:szCs w:val="21"/>
              </w:rPr>
              <w:t>废油脂</w:t>
            </w:r>
          </w:p>
        </w:tc>
        <w:tc>
          <w:tcPr>
            <w:tcW w:w="2587" w:type="dxa"/>
            <w:vAlign w:val="center"/>
          </w:tcPr>
          <w:p>
            <w:pPr>
              <w:jc w:val="center"/>
              <w:rPr>
                <w:sz w:val="24"/>
                <w:szCs w:val="24"/>
              </w:rPr>
            </w:pPr>
            <w:r>
              <w:rPr>
                <w:rFonts w:hint="eastAsia"/>
                <w:color w:val="FF0000"/>
                <w:sz w:val="24"/>
                <w:szCs w:val="21"/>
              </w:rPr>
              <w:t>0.2t/a</w:t>
            </w:r>
          </w:p>
        </w:tc>
        <w:tc>
          <w:tcPr>
            <w:tcW w:w="2459" w:type="dxa"/>
            <w:tcBorders>
              <w:right w:val="single" w:color="auto" w:sz="12" w:space="0"/>
            </w:tcBorders>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dxa"/>
            <w:tcBorders>
              <w:left w:val="single" w:color="auto" w:sz="12" w:space="0"/>
            </w:tcBorders>
            <w:vAlign w:val="center"/>
          </w:tcPr>
          <w:p>
            <w:pPr>
              <w:jc w:val="center"/>
              <w:rPr>
                <w:sz w:val="24"/>
                <w:szCs w:val="24"/>
              </w:rPr>
            </w:pPr>
            <w:r>
              <w:rPr>
                <w:rFonts w:hAnsi="宋体"/>
                <w:sz w:val="24"/>
                <w:szCs w:val="24"/>
              </w:rPr>
              <w:t>噪声</w:t>
            </w:r>
          </w:p>
        </w:tc>
        <w:tc>
          <w:tcPr>
            <w:tcW w:w="8248" w:type="dxa"/>
            <w:gridSpan w:val="4"/>
            <w:tcBorders>
              <w:right w:val="single" w:color="auto" w:sz="12" w:space="0"/>
            </w:tcBorders>
            <w:vAlign w:val="center"/>
          </w:tcPr>
          <w:p>
            <w:pPr>
              <w:rPr>
                <w:sz w:val="24"/>
                <w:szCs w:val="24"/>
              </w:rPr>
            </w:pPr>
            <w:r>
              <w:rPr>
                <w:rFonts w:hint="eastAsia" w:hAnsi="宋体"/>
                <w:sz w:val="24"/>
                <w:szCs w:val="24"/>
              </w:rPr>
              <w:t>本项目营运期噪声主要来源于</w:t>
            </w:r>
            <w:r>
              <w:rPr>
                <w:rFonts w:hint="eastAsia"/>
                <w:sz w:val="24"/>
                <w:szCs w:val="24"/>
              </w:rPr>
              <w:t>生产车间设备噪声以及粘土开采期间运行产生的设备噪声，</w:t>
            </w:r>
            <w:r>
              <w:rPr>
                <w:rFonts w:hAnsi="宋体"/>
                <w:bCs/>
                <w:sz w:val="24"/>
                <w:szCs w:val="24"/>
              </w:rPr>
              <w:t>噪声级在</w:t>
            </w:r>
            <w:r>
              <w:rPr>
                <w:rFonts w:hint="eastAsia"/>
                <w:bCs/>
                <w:sz w:val="24"/>
                <w:szCs w:val="24"/>
              </w:rPr>
              <w:t>80</w:t>
            </w:r>
            <w:r>
              <w:rPr>
                <w:rFonts w:hAnsi="宋体"/>
                <w:bCs/>
                <w:sz w:val="24"/>
                <w:szCs w:val="24"/>
              </w:rPr>
              <w:t>～</w:t>
            </w:r>
            <w:r>
              <w:rPr>
                <w:rFonts w:hint="eastAsia"/>
                <w:bCs/>
                <w:sz w:val="24"/>
                <w:szCs w:val="24"/>
              </w:rPr>
              <w:t>105</w:t>
            </w:r>
            <w:r>
              <w:rPr>
                <w:bCs/>
                <w:sz w:val="24"/>
                <w:szCs w:val="24"/>
              </w:rPr>
              <w:t>dB(A)</w:t>
            </w:r>
            <w:r>
              <w:rPr>
                <w:rFonts w:hAnsi="宋体"/>
                <w:bCs/>
                <w:sz w:val="24"/>
                <w:szCs w:val="24"/>
              </w:rPr>
              <w:t>之间</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040" w:type="dxa"/>
            <w:gridSpan w:val="5"/>
            <w:tcBorders>
              <w:left w:val="single" w:color="auto" w:sz="12" w:space="0"/>
              <w:bottom w:val="single" w:color="auto" w:sz="12" w:space="0"/>
              <w:right w:val="single" w:color="auto" w:sz="12" w:space="0"/>
            </w:tcBorders>
            <w:vAlign w:val="center"/>
          </w:tcPr>
          <w:p>
            <w:pPr>
              <w:spacing w:line="360" w:lineRule="auto"/>
              <w:rPr>
                <w:b/>
                <w:sz w:val="24"/>
                <w:szCs w:val="24"/>
              </w:rPr>
            </w:pPr>
            <w:r>
              <w:rPr>
                <w:rFonts w:hAnsi="宋体"/>
                <w:b/>
                <w:sz w:val="24"/>
                <w:szCs w:val="24"/>
              </w:rPr>
              <w:t>主要生态影响</w:t>
            </w:r>
          </w:p>
          <w:p>
            <w:pPr>
              <w:spacing w:line="360" w:lineRule="auto"/>
              <w:ind w:firstLine="480" w:firstLineChars="200"/>
              <w:rPr>
                <w:rFonts w:hAnsi="宋体"/>
                <w:sz w:val="24"/>
                <w:szCs w:val="24"/>
              </w:rPr>
            </w:pPr>
            <w:r>
              <w:rPr>
                <w:rFonts w:hint="eastAsia" w:hAnsi="宋体"/>
                <w:sz w:val="24"/>
                <w:szCs w:val="24"/>
              </w:rPr>
              <w:t>一、</w:t>
            </w:r>
            <w:r>
              <w:rPr>
                <w:rFonts w:hAnsi="宋体"/>
                <w:sz w:val="24"/>
                <w:szCs w:val="24"/>
              </w:rPr>
              <w:t xml:space="preserve">施工期生态环境影响分析 </w:t>
            </w:r>
          </w:p>
          <w:p>
            <w:pPr>
              <w:spacing w:line="360" w:lineRule="auto"/>
              <w:ind w:firstLine="480" w:firstLineChars="200"/>
              <w:rPr>
                <w:rFonts w:hAnsi="宋体"/>
                <w:sz w:val="24"/>
                <w:szCs w:val="24"/>
              </w:rPr>
            </w:pPr>
            <w:r>
              <w:rPr>
                <w:rFonts w:hint="eastAsia" w:hAnsi="宋体"/>
                <w:bCs/>
                <w:sz w:val="24"/>
                <w:szCs w:val="24"/>
              </w:rPr>
              <w:t>本项目厂区</w:t>
            </w:r>
            <w:r>
              <w:rPr>
                <w:rFonts w:hAnsi="宋体"/>
                <w:bCs/>
                <w:sz w:val="24"/>
                <w:szCs w:val="24"/>
              </w:rPr>
              <w:t>施工期会对原有地表产生一定的扰动和破坏，主要是挖方、填方及建筑材料的堆放，所占用土地范围内的植被将被铲除或掩埋，遭到破坏。</w:t>
            </w:r>
          </w:p>
          <w:p>
            <w:pPr>
              <w:spacing w:line="360" w:lineRule="auto"/>
              <w:ind w:firstLine="480" w:firstLineChars="200"/>
              <w:rPr>
                <w:rFonts w:hAnsi="宋体"/>
                <w:sz w:val="24"/>
                <w:szCs w:val="24"/>
              </w:rPr>
            </w:pPr>
            <w:r>
              <w:rPr>
                <w:rFonts w:hint="eastAsia" w:hAnsi="宋体"/>
                <w:sz w:val="24"/>
                <w:szCs w:val="24"/>
              </w:rPr>
              <w:t>二、</w:t>
            </w:r>
            <w:r>
              <w:rPr>
                <w:rFonts w:hAnsi="宋体"/>
                <w:sz w:val="24"/>
                <w:szCs w:val="24"/>
              </w:rPr>
              <w:t>营运期生态环境影响分析</w:t>
            </w:r>
          </w:p>
          <w:p>
            <w:pPr>
              <w:tabs>
                <w:tab w:val="left" w:pos="11"/>
              </w:tabs>
              <w:spacing w:line="360" w:lineRule="auto"/>
              <w:ind w:firstLine="480" w:firstLineChars="200"/>
              <w:rPr>
                <w:rFonts w:hAnsi="宋体"/>
                <w:sz w:val="24"/>
                <w:szCs w:val="24"/>
              </w:rPr>
            </w:pPr>
            <w:r>
              <w:rPr>
                <w:rFonts w:hint="eastAsia" w:hAnsi="宋体"/>
                <w:bCs/>
                <w:sz w:val="24"/>
                <w:szCs w:val="24"/>
              </w:rPr>
              <w:t>本项目粘土取土区的主要生态影响如下：粘土取土区</w:t>
            </w:r>
            <w:r>
              <w:rPr>
                <w:rFonts w:hAnsi="宋体"/>
                <w:bCs/>
                <w:sz w:val="24"/>
                <w:szCs w:val="24"/>
              </w:rPr>
              <w:t>表土剥离时破坏地形地貌和地面植被；</w:t>
            </w:r>
            <w:r>
              <w:rPr>
                <w:rFonts w:hint="eastAsia" w:ascii="宋体" w:hAnsi="宋体"/>
                <w:bCs/>
                <w:sz w:val="24"/>
                <w:szCs w:val="24"/>
              </w:rPr>
              <w:t>②</w:t>
            </w:r>
            <w:r>
              <w:rPr>
                <w:rFonts w:hint="eastAsia" w:hAnsi="宋体"/>
                <w:bCs/>
                <w:sz w:val="24"/>
                <w:szCs w:val="24"/>
              </w:rPr>
              <w:t>粘土取土区</w:t>
            </w:r>
            <w:r>
              <w:rPr>
                <w:rFonts w:hAnsi="宋体"/>
                <w:bCs/>
                <w:sz w:val="24"/>
                <w:szCs w:val="24"/>
              </w:rPr>
              <w:t>表土剥离和开挖时损坏原土壤结构，使土壤抗侵蚀能力降低，加剧水土流失；局部地带的土地生产能力下降或丧失；</w:t>
            </w:r>
            <w:r>
              <w:rPr>
                <w:rFonts w:hint="eastAsia" w:ascii="宋体" w:hAnsi="宋体"/>
                <w:bCs/>
                <w:sz w:val="24"/>
                <w:szCs w:val="24"/>
              </w:rPr>
              <w:t>③</w:t>
            </w:r>
            <w:r>
              <w:rPr>
                <w:rFonts w:hint="eastAsia" w:hAnsi="宋体"/>
                <w:bCs/>
                <w:sz w:val="24"/>
                <w:szCs w:val="24"/>
              </w:rPr>
              <w:t>取土区</w:t>
            </w:r>
            <w:r>
              <w:rPr>
                <w:rFonts w:hAnsi="宋体"/>
                <w:bCs/>
                <w:sz w:val="24"/>
                <w:szCs w:val="24"/>
              </w:rPr>
              <w:t>开挖过程将形成临时弃土，并改变地表形态，影响生态景观；</w:t>
            </w:r>
            <w:r>
              <w:rPr>
                <w:rFonts w:hint="eastAsia" w:ascii="宋体" w:hAnsi="宋体"/>
                <w:bCs/>
                <w:sz w:val="24"/>
                <w:szCs w:val="24"/>
              </w:rPr>
              <w:t>④</w:t>
            </w:r>
            <w:r>
              <w:rPr>
                <w:rFonts w:hAnsi="宋体"/>
                <w:bCs/>
                <w:sz w:val="24"/>
                <w:szCs w:val="24"/>
              </w:rPr>
              <w:t>根据调查，区内未发现珍稀濒危野生动物。</w:t>
            </w:r>
          </w:p>
        </w:tc>
      </w:tr>
    </w:tbl>
    <w:p>
      <w:pPr>
        <w:spacing w:line="360" w:lineRule="auto"/>
        <w:rPr>
          <w:rFonts w:hAnsi="宋体"/>
          <w:b/>
          <w:sz w:val="24"/>
        </w:rPr>
        <w:sectPr>
          <w:pgSz w:w="11906" w:h="16838"/>
          <w:pgMar w:top="1090" w:right="1418" w:bottom="2025" w:left="1418" w:header="851" w:footer="992" w:gutter="0"/>
          <w:cols w:space="720" w:num="1"/>
          <w:docGrid w:type="lines" w:linePitch="312" w:charSpace="0"/>
        </w:sectPr>
      </w:pPr>
    </w:p>
    <w:p>
      <w:pPr>
        <w:spacing w:line="360" w:lineRule="auto"/>
        <w:rPr>
          <w:b/>
          <w:sz w:val="24"/>
        </w:rPr>
      </w:pPr>
      <w:r>
        <w:rPr>
          <w:rFonts w:hAnsi="宋体"/>
          <w:b/>
          <w:sz w:val="24"/>
        </w:rPr>
        <w:t>环境影响分析</w:t>
      </w:r>
    </w:p>
    <w:tbl>
      <w:tblPr>
        <w:tblStyle w:val="24"/>
        <w:tblW w:w="90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2591" w:hRule="atLeast"/>
          <w:jc w:val="center"/>
        </w:trPr>
        <w:tc>
          <w:tcPr>
            <w:tcW w:w="9040" w:type="dxa"/>
            <w:tcBorders>
              <w:top w:val="single" w:color="auto" w:sz="12" w:space="0"/>
              <w:bottom w:val="single" w:color="auto" w:sz="12" w:space="0"/>
            </w:tcBorders>
          </w:tcPr>
          <w:p>
            <w:pPr>
              <w:spacing w:line="360" w:lineRule="auto"/>
              <w:rPr>
                <w:sz w:val="24"/>
              </w:rPr>
            </w:pPr>
            <w:r>
              <w:rPr>
                <w:rFonts w:hAnsi="宋体"/>
                <w:b/>
                <w:sz w:val="24"/>
              </w:rPr>
              <w:t>建设期环境影响分析</w:t>
            </w:r>
          </w:p>
          <w:p>
            <w:pPr>
              <w:spacing w:line="360" w:lineRule="auto"/>
              <w:ind w:firstLine="480" w:firstLineChars="200"/>
              <w:rPr>
                <w:rFonts w:ascii="黑体" w:hAnsi="黑体" w:eastAsia="黑体"/>
                <w:sz w:val="24"/>
              </w:rPr>
            </w:pPr>
            <w:r>
              <w:rPr>
                <w:rFonts w:hint="eastAsia" w:ascii="黑体" w:hAnsi="黑体" w:eastAsia="黑体"/>
                <w:sz w:val="24"/>
              </w:rPr>
              <w:t>一</w:t>
            </w:r>
            <w:r>
              <w:rPr>
                <w:rFonts w:ascii="黑体" w:hAnsi="黑体" w:eastAsia="黑体"/>
                <w:sz w:val="24"/>
              </w:rPr>
              <w:t>、</w:t>
            </w:r>
            <w:r>
              <w:rPr>
                <w:rFonts w:hint="eastAsia" w:ascii="黑体" w:hAnsi="黑体" w:eastAsia="黑体"/>
                <w:sz w:val="24"/>
              </w:rPr>
              <w:t>施工废气</w:t>
            </w:r>
            <w:r>
              <w:rPr>
                <w:rFonts w:ascii="黑体" w:hAnsi="黑体" w:eastAsia="黑体"/>
                <w:sz w:val="24"/>
              </w:rPr>
              <w:t>对环境的影响分析</w:t>
            </w:r>
          </w:p>
          <w:p>
            <w:pPr>
              <w:spacing w:line="360" w:lineRule="auto"/>
              <w:ind w:firstLine="480" w:firstLineChars="200"/>
              <w:rPr>
                <w:bCs/>
                <w:sz w:val="24"/>
              </w:rPr>
            </w:pPr>
            <w:r>
              <w:rPr>
                <w:rFonts w:hint="eastAsia" w:hAnsi="宋体"/>
                <w:sz w:val="24"/>
              </w:rPr>
              <w:t>本项目施工过程中产生的废气主要包括施工扬尘、</w:t>
            </w:r>
            <w:r>
              <w:rPr>
                <w:bCs/>
                <w:sz w:val="24"/>
              </w:rPr>
              <w:t>施工机械废气</w:t>
            </w:r>
            <w:r>
              <w:rPr>
                <w:rFonts w:hint="eastAsia"/>
                <w:bCs/>
                <w:sz w:val="24"/>
              </w:rPr>
              <w:t>及</w:t>
            </w:r>
            <w:r>
              <w:rPr>
                <w:bCs/>
                <w:sz w:val="24"/>
              </w:rPr>
              <w:t>运输车辆</w:t>
            </w:r>
            <w:r>
              <w:rPr>
                <w:rFonts w:hint="eastAsia"/>
                <w:bCs/>
                <w:sz w:val="24"/>
              </w:rPr>
              <w:t>废气。</w:t>
            </w:r>
          </w:p>
          <w:p>
            <w:pPr>
              <w:spacing w:line="360" w:lineRule="auto"/>
              <w:ind w:firstLine="482" w:firstLineChars="200"/>
              <w:rPr>
                <w:b/>
                <w:sz w:val="24"/>
              </w:rPr>
            </w:pPr>
            <w:r>
              <w:rPr>
                <w:rFonts w:hint="eastAsia"/>
                <w:b/>
                <w:sz w:val="24"/>
              </w:rPr>
              <w:t>（1）车辆行驶扬尘</w:t>
            </w:r>
          </w:p>
          <w:p>
            <w:pPr>
              <w:spacing w:line="360" w:lineRule="auto"/>
              <w:ind w:firstLine="480" w:firstLineChars="200"/>
              <w:rPr>
                <w:sz w:val="24"/>
              </w:rPr>
            </w:pPr>
            <w:r>
              <w:rPr>
                <w:rFonts w:hint="eastAsia"/>
                <w:sz w:val="24"/>
              </w:rPr>
              <w:t>本工程施工扬尘主要来源于施工车辆运输。车辆在行驶过程中产生的扬尘，在同样路面清洁程度下，车速越快，扬尘量越大；而在同样车速下，路面清洁度越差，则扬尘量越大。因此限制车辆行驶速度及保持路面的清洁是减少车辆扬尘的最有效手段。</w:t>
            </w:r>
          </w:p>
          <w:p>
            <w:pPr>
              <w:spacing w:line="360" w:lineRule="auto"/>
              <w:ind w:firstLine="480" w:firstLineChars="200"/>
              <w:rPr>
                <w:sz w:val="24"/>
              </w:rPr>
            </w:pPr>
            <w:r>
              <w:rPr>
                <w:rFonts w:hint="eastAsia"/>
                <w:sz w:val="24"/>
              </w:rPr>
              <w:t>在施工期间对车辆行驶的路面实施洒水抑尘，每天洒水，可使扬尘减少70%左右。表</w:t>
            </w:r>
            <w:r>
              <w:rPr>
                <w:sz w:val="24"/>
              </w:rPr>
              <w:t>3</w:t>
            </w:r>
            <w:r>
              <w:rPr>
                <w:rFonts w:hint="eastAsia"/>
                <w:sz w:val="24"/>
              </w:rPr>
              <w:t>4为施工场地洒水抑尘的试验结果，可见，每天洒水进行抑尘，可有效地控制施工扬尘。</w:t>
            </w:r>
          </w:p>
          <w:p>
            <w:pPr>
              <w:jc w:val="center"/>
              <w:rPr>
                <w:b/>
                <w:szCs w:val="21"/>
              </w:rPr>
            </w:pPr>
            <w:r>
              <w:rPr>
                <w:rFonts w:hint="eastAsia"/>
                <w:b/>
                <w:szCs w:val="21"/>
              </w:rPr>
              <w:t>表34   施工场地洒水抑尘试验结果</w:t>
            </w:r>
          </w:p>
          <w:tbl>
            <w:tblPr>
              <w:tblStyle w:val="24"/>
              <w:tblW w:w="882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152"/>
              <w:gridCol w:w="1357"/>
              <w:gridCol w:w="1357"/>
              <w:gridCol w:w="1347"/>
              <w:gridCol w:w="13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5" w:type="dxa"/>
                  <w:gridSpan w:val="2"/>
                  <w:vAlign w:val="center"/>
                </w:tcPr>
                <w:p>
                  <w:pPr>
                    <w:pStyle w:val="76"/>
                    <w:rPr>
                      <w:sz w:val="21"/>
                      <w:szCs w:val="21"/>
                      <w:lang w:val="en-US"/>
                    </w:rPr>
                  </w:pPr>
                  <w:r>
                    <w:rPr>
                      <w:rFonts w:hint="eastAsia"/>
                      <w:sz w:val="21"/>
                      <w:szCs w:val="21"/>
                      <w:lang w:val="en-US"/>
                    </w:rPr>
                    <w:t>距离（m）</w:t>
                  </w:r>
                </w:p>
              </w:tc>
              <w:tc>
                <w:tcPr>
                  <w:tcW w:w="1357" w:type="dxa"/>
                  <w:vAlign w:val="center"/>
                </w:tcPr>
                <w:p>
                  <w:pPr>
                    <w:pStyle w:val="76"/>
                    <w:rPr>
                      <w:sz w:val="21"/>
                      <w:szCs w:val="21"/>
                      <w:lang w:val="en-US"/>
                    </w:rPr>
                  </w:pPr>
                  <w:r>
                    <w:rPr>
                      <w:rFonts w:hint="eastAsia"/>
                      <w:sz w:val="21"/>
                      <w:szCs w:val="21"/>
                      <w:lang w:val="en-US"/>
                    </w:rPr>
                    <w:t>5</w:t>
                  </w:r>
                </w:p>
              </w:tc>
              <w:tc>
                <w:tcPr>
                  <w:tcW w:w="1357" w:type="dxa"/>
                  <w:vAlign w:val="center"/>
                </w:tcPr>
                <w:p>
                  <w:pPr>
                    <w:pStyle w:val="76"/>
                    <w:rPr>
                      <w:sz w:val="21"/>
                      <w:szCs w:val="21"/>
                      <w:lang w:val="en-US"/>
                    </w:rPr>
                  </w:pPr>
                  <w:r>
                    <w:rPr>
                      <w:rFonts w:hint="eastAsia"/>
                      <w:sz w:val="21"/>
                      <w:szCs w:val="21"/>
                      <w:lang w:val="en-US"/>
                    </w:rPr>
                    <w:t>20</w:t>
                  </w:r>
                </w:p>
              </w:tc>
              <w:tc>
                <w:tcPr>
                  <w:tcW w:w="1347" w:type="dxa"/>
                  <w:vAlign w:val="center"/>
                </w:tcPr>
                <w:p>
                  <w:pPr>
                    <w:pStyle w:val="76"/>
                    <w:rPr>
                      <w:sz w:val="21"/>
                      <w:szCs w:val="21"/>
                      <w:lang w:val="en-US"/>
                    </w:rPr>
                  </w:pPr>
                  <w:r>
                    <w:rPr>
                      <w:rFonts w:hint="eastAsia"/>
                      <w:sz w:val="21"/>
                      <w:szCs w:val="21"/>
                      <w:lang w:val="en-US"/>
                    </w:rPr>
                    <w:t>50</w:t>
                  </w:r>
                </w:p>
              </w:tc>
              <w:tc>
                <w:tcPr>
                  <w:tcW w:w="1348" w:type="dxa"/>
                  <w:vAlign w:val="center"/>
                </w:tcPr>
                <w:p>
                  <w:pPr>
                    <w:pStyle w:val="76"/>
                    <w:rPr>
                      <w:sz w:val="21"/>
                      <w:szCs w:val="21"/>
                      <w:lang w:val="en-US"/>
                    </w:rPr>
                  </w:pPr>
                  <w:r>
                    <w:rPr>
                      <w:rFonts w:hint="eastAsia"/>
                      <w:sz w:val="21"/>
                      <w:szCs w:val="21"/>
                      <w:lang w:val="en-US"/>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63" w:type="dxa"/>
                  <w:vMerge w:val="restart"/>
                  <w:vAlign w:val="center"/>
                </w:tcPr>
                <w:p>
                  <w:pPr>
                    <w:pStyle w:val="76"/>
                    <w:rPr>
                      <w:sz w:val="21"/>
                      <w:szCs w:val="21"/>
                      <w:lang w:val="en-US"/>
                    </w:rPr>
                  </w:pPr>
                  <w:r>
                    <w:rPr>
                      <w:rFonts w:hint="eastAsia"/>
                      <w:sz w:val="21"/>
                      <w:szCs w:val="21"/>
                      <w:lang w:val="en-US"/>
                    </w:rPr>
                    <w:t>TSP小时平均浓度（mg/m</w:t>
                  </w:r>
                  <w:r>
                    <w:rPr>
                      <w:rFonts w:hint="eastAsia"/>
                      <w:sz w:val="21"/>
                      <w:szCs w:val="21"/>
                      <w:vertAlign w:val="superscript"/>
                      <w:lang w:val="en-US"/>
                    </w:rPr>
                    <w:t>3</w:t>
                  </w:r>
                  <w:r>
                    <w:rPr>
                      <w:rFonts w:hint="eastAsia"/>
                      <w:sz w:val="21"/>
                      <w:szCs w:val="21"/>
                      <w:lang w:val="en-US"/>
                    </w:rPr>
                    <w:t>）</w:t>
                  </w:r>
                </w:p>
              </w:tc>
              <w:tc>
                <w:tcPr>
                  <w:tcW w:w="1152" w:type="dxa"/>
                  <w:vAlign w:val="center"/>
                </w:tcPr>
                <w:p>
                  <w:pPr>
                    <w:pStyle w:val="76"/>
                    <w:rPr>
                      <w:sz w:val="21"/>
                      <w:szCs w:val="21"/>
                      <w:lang w:val="en-US"/>
                    </w:rPr>
                  </w:pPr>
                  <w:r>
                    <w:rPr>
                      <w:rFonts w:hint="eastAsia"/>
                      <w:sz w:val="21"/>
                      <w:szCs w:val="21"/>
                      <w:lang w:val="en-US"/>
                    </w:rPr>
                    <w:t>不洒水</w:t>
                  </w:r>
                </w:p>
              </w:tc>
              <w:tc>
                <w:tcPr>
                  <w:tcW w:w="1357" w:type="dxa"/>
                  <w:vAlign w:val="center"/>
                </w:tcPr>
                <w:p>
                  <w:pPr>
                    <w:pStyle w:val="76"/>
                    <w:rPr>
                      <w:sz w:val="21"/>
                      <w:szCs w:val="21"/>
                      <w:lang w:val="en-US"/>
                    </w:rPr>
                  </w:pPr>
                  <w:r>
                    <w:rPr>
                      <w:rFonts w:hint="eastAsia"/>
                      <w:sz w:val="21"/>
                      <w:szCs w:val="21"/>
                      <w:lang w:val="en-US"/>
                    </w:rPr>
                    <w:t>10.14</w:t>
                  </w:r>
                </w:p>
              </w:tc>
              <w:tc>
                <w:tcPr>
                  <w:tcW w:w="1357" w:type="dxa"/>
                  <w:vAlign w:val="center"/>
                </w:tcPr>
                <w:p>
                  <w:pPr>
                    <w:pStyle w:val="76"/>
                    <w:rPr>
                      <w:sz w:val="21"/>
                      <w:szCs w:val="21"/>
                      <w:lang w:val="en-US"/>
                    </w:rPr>
                  </w:pPr>
                  <w:r>
                    <w:rPr>
                      <w:rFonts w:hint="eastAsia"/>
                      <w:sz w:val="21"/>
                      <w:szCs w:val="21"/>
                      <w:lang w:val="en-US"/>
                    </w:rPr>
                    <w:t>2.810</w:t>
                  </w:r>
                </w:p>
              </w:tc>
              <w:tc>
                <w:tcPr>
                  <w:tcW w:w="1347" w:type="dxa"/>
                  <w:vAlign w:val="center"/>
                </w:tcPr>
                <w:p>
                  <w:pPr>
                    <w:pStyle w:val="76"/>
                    <w:rPr>
                      <w:sz w:val="21"/>
                      <w:szCs w:val="21"/>
                      <w:lang w:val="en-US"/>
                    </w:rPr>
                  </w:pPr>
                  <w:r>
                    <w:rPr>
                      <w:rFonts w:hint="eastAsia"/>
                      <w:sz w:val="21"/>
                      <w:szCs w:val="21"/>
                      <w:lang w:val="en-US"/>
                    </w:rPr>
                    <w:t>1.15</w:t>
                  </w:r>
                </w:p>
              </w:tc>
              <w:tc>
                <w:tcPr>
                  <w:tcW w:w="1348" w:type="dxa"/>
                  <w:vAlign w:val="center"/>
                </w:tcPr>
                <w:p>
                  <w:pPr>
                    <w:pStyle w:val="76"/>
                    <w:rPr>
                      <w:sz w:val="21"/>
                      <w:szCs w:val="21"/>
                      <w:lang w:val="en-US"/>
                    </w:rPr>
                  </w:pPr>
                  <w:r>
                    <w:rPr>
                      <w:rFonts w:hint="eastAsia"/>
                      <w:sz w:val="21"/>
                      <w:szCs w:val="21"/>
                      <w:lang w:val="en-US"/>
                    </w:rPr>
                    <w:t>0.86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63" w:type="dxa"/>
                  <w:vMerge w:val="continue"/>
                  <w:vAlign w:val="center"/>
                </w:tcPr>
                <w:p>
                  <w:pPr>
                    <w:pStyle w:val="76"/>
                    <w:rPr>
                      <w:sz w:val="21"/>
                      <w:szCs w:val="21"/>
                      <w:lang w:val="en-US"/>
                    </w:rPr>
                  </w:pPr>
                </w:p>
              </w:tc>
              <w:tc>
                <w:tcPr>
                  <w:tcW w:w="1152" w:type="dxa"/>
                  <w:vAlign w:val="center"/>
                </w:tcPr>
                <w:p>
                  <w:pPr>
                    <w:pStyle w:val="76"/>
                    <w:rPr>
                      <w:sz w:val="21"/>
                      <w:szCs w:val="21"/>
                      <w:lang w:val="en-US"/>
                    </w:rPr>
                  </w:pPr>
                  <w:r>
                    <w:rPr>
                      <w:rFonts w:hint="eastAsia"/>
                      <w:sz w:val="21"/>
                      <w:szCs w:val="21"/>
                      <w:lang w:val="en-US"/>
                    </w:rPr>
                    <w:t>洒水</w:t>
                  </w:r>
                </w:p>
              </w:tc>
              <w:tc>
                <w:tcPr>
                  <w:tcW w:w="1357" w:type="dxa"/>
                  <w:vAlign w:val="center"/>
                </w:tcPr>
                <w:p>
                  <w:pPr>
                    <w:pStyle w:val="76"/>
                    <w:rPr>
                      <w:sz w:val="21"/>
                      <w:szCs w:val="21"/>
                      <w:lang w:val="en-US"/>
                    </w:rPr>
                  </w:pPr>
                  <w:r>
                    <w:rPr>
                      <w:rFonts w:hint="eastAsia"/>
                      <w:sz w:val="21"/>
                      <w:szCs w:val="21"/>
                      <w:lang w:val="en-US"/>
                    </w:rPr>
                    <w:t>2.01</w:t>
                  </w:r>
                </w:p>
              </w:tc>
              <w:tc>
                <w:tcPr>
                  <w:tcW w:w="1357" w:type="dxa"/>
                  <w:vAlign w:val="center"/>
                </w:tcPr>
                <w:p>
                  <w:pPr>
                    <w:pStyle w:val="76"/>
                    <w:rPr>
                      <w:sz w:val="21"/>
                      <w:szCs w:val="21"/>
                      <w:lang w:val="en-US"/>
                    </w:rPr>
                  </w:pPr>
                  <w:r>
                    <w:rPr>
                      <w:rFonts w:hint="eastAsia"/>
                      <w:sz w:val="21"/>
                      <w:szCs w:val="21"/>
                      <w:lang w:val="en-US"/>
                    </w:rPr>
                    <w:t>1.40</w:t>
                  </w:r>
                </w:p>
              </w:tc>
              <w:tc>
                <w:tcPr>
                  <w:tcW w:w="1347" w:type="dxa"/>
                  <w:vAlign w:val="center"/>
                </w:tcPr>
                <w:p>
                  <w:pPr>
                    <w:pStyle w:val="76"/>
                    <w:rPr>
                      <w:sz w:val="21"/>
                      <w:szCs w:val="21"/>
                      <w:lang w:val="en-US"/>
                    </w:rPr>
                  </w:pPr>
                  <w:r>
                    <w:rPr>
                      <w:rFonts w:hint="eastAsia"/>
                      <w:sz w:val="21"/>
                      <w:szCs w:val="21"/>
                      <w:lang w:val="en-US"/>
                    </w:rPr>
                    <w:t>0.68</w:t>
                  </w:r>
                </w:p>
              </w:tc>
              <w:tc>
                <w:tcPr>
                  <w:tcW w:w="1348" w:type="dxa"/>
                  <w:vAlign w:val="center"/>
                </w:tcPr>
                <w:p>
                  <w:pPr>
                    <w:pStyle w:val="76"/>
                    <w:rPr>
                      <w:sz w:val="21"/>
                      <w:szCs w:val="21"/>
                      <w:lang w:val="en-US"/>
                    </w:rPr>
                  </w:pPr>
                  <w:r>
                    <w:rPr>
                      <w:rFonts w:hint="eastAsia"/>
                      <w:sz w:val="21"/>
                      <w:szCs w:val="21"/>
                      <w:lang w:val="en-US"/>
                    </w:rPr>
                    <w:t>0.60</w:t>
                  </w:r>
                </w:p>
              </w:tc>
            </w:tr>
          </w:tbl>
          <w:p>
            <w:pPr>
              <w:spacing w:line="360" w:lineRule="auto"/>
              <w:ind w:firstLine="480" w:firstLineChars="200"/>
              <w:rPr>
                <w:sz w:val="24"/>
                <w:szCs w:val="24"/>
              </w:rPr>
            </w:pPr>
            <w:r>
              <w:rPr>
                <w:rFonts w:hAnsi="宋体"/>
                <w:sz w:val="24"/>
                <w:szCs w:val="24"/>
              </w:rPr>
              <w:t>上述结果表明，有效的洒水抑尘可</w:t>
            </w:r>
            <w:r>
              <w:rPr>
                <w:sz w:val="24"/>
                <w:szCs w:val="24"/>
              </w:rPr>
              <w:t>以使施工扬尘在20-50m的距离内达到</w:t>
            </w:r>
            <w:r>
              <w:rPr>
                <w:rFonts w:hint="eastAsia"/>
                <w:sz w:val="24"/>
              </w:rPr>
              <w:t>《施工厂界扬尘排放限值》（DB61/1078-2017）中厂界小时平均浓度限值</w:t>
            </w:r>
            <w:r>
              <w:rPr>
                <w:sz w:val="24"/>
                <w:szCs w:val="24"/>
              </w:rPr>
              <w:t>，大幅度降低施工扬尘的污染程度。</w:t>
            </w:r>
          </w:p>
          <w:p>
            <w:pPr>
              <w:spacing w:line="360" w:lineRule="auto"/>
              <w:ind w:firstLine="480" w:firstLineChars="200"/>
              <w:rPr>
                <w:sz w:val="24"/>
                <w:szCs w:val="24"/>
              </w:rPr>
            </w:pPr>
            <w:r>
              <w:rPr>
                <w:rFonts w:hAnsi="宋体"/>
                <w:sz w:val="24"/>
                <w:szCs w:val="24"/>
              </w:rPr>
              <w:t>因此，通过限制车辆行驶速度、保持路面清洁及定时洒水可减缓</w:t>
            </w:r>
            <w:r>
              <w:rPr>
                <w:sz w:val="24"/>
                <w:szCs w:val="24"/>
              </w:rPr>
              <w:t>车辆</w:t>
            </w:r>
            <w:r>
              <w:rPr>
                <w:rFonts w:hAnsi="宋体"/>
                <w:sz w:val="24"/>
                <w:szCs w:val="24"/>
              </w:rPr>
              <w:t>行驶产生的道路扬尘影响。</w:t>
            </w:r>
          </w:p>
          <w:p>
            <w:pPr>
              <w:spacing w:line="360" w:lineRule="auto"/>
              <w:ind w:firstLine="482" w:firstLineChars="200"/>
              <w:rPr>
                <w:b/>
                <w:sz w:val="24"/>
                <w:szCs w:val="24"/>
              </w:rPr>
            </w:pPr>
            <w:r>
              <w:rPr>
                <w:b/>
                <w:sz w:val="24"/>
                <w:szCs w:val="24"/>
              </w:rPr>
              <w:t>（2）土方开挖扬尘</w:t>
            </w:r>
          </w:p>
          <w:p>
            <w:pPr>
              <w:spacing w:line="360" w:lineRule="auto"/>
              <w:ind w:firstLine="480" w:firstLineChars="200"/>
              <w:rPr>
                <w:sz w:val="24"/>
                <w:szCs w:val="24"/>
              </w:rPr>
            </w:pPr>
            <w:r>
              <w:rPr>
                <w:sz w:val="24"/>
                <w:szCs w:val="24"/>
              </w:rPr>
              <w:t>道路表层开挖过程中，使表层土土质疏松，遇风容易起尘。遇到干燥、易起尘的土方工程作业时，应辅以洒水压尘，尽量缩短起尘操作时间，遇到大风天气，应停止土方作业，同时作业处覆以防尘网。</w:t>
            </w:r>
          </w:p>
          <w:p>
            <w:pPr>
              <w:spacing w:line="360" w:lineRule="auto"/>
              <w:ind w:firstLine="482" w:firstLineChars="200"/>
              <w:rPr>
                <w:b/>
                <w:sz w:val="24"/>
                <w:szCs w:val="24"/>
              </w:rPr>
            </w:pPr>
            <w:r>
              <w:rPr>
                <w:b/>
                <w:sz w:val="24"/>
                <w:szCs w:val="24"/>
              </w:rPr>
              <w:t>（3）堆场扬尘</w:t>
            </w:r>
          </w:p>
          <w:p>
            <w:pPr>
              <w:spacing w:line="360" w:lineRule="auto"/>
              <w:ind w:firstLine="480" w:firstLineChars="200"/>
              <w:rPr>
                <w:sz w:val="24"/>
                <w:szCs w:val="24"/>
              </w:rPr>
            </w:pPr>
            <w:r>
              <w:rPr>
                <w:sz w:val="24"/>
                <w:szCs w:val="24"/>
              </w:rPr>
              <w:t>道路施工阶段扬尘的另一个主要来源是露天堆场和裸露场地的风力扬尘。由于施工需要，一些建筑材料需露天堆放，一些施工作业点表层土壤需人工开挖且临时堆放，在气候干燥又有风的情况下，会产生扬尘。</w:t>
            </w:r>
          </w:p>
          <w:p>
            <w:pPr>
              <w:tabs>
                <w:tab w:val="left" w:pos="11"/>
              </w:tabs>
              <w:spacing w:line="360" w:lineRule="auto"/>
              <w:ind w:firstLine="480" w:firstLineChars="200"/>
              <w:rPr>
                <w:bCs/>
                <w:sz w:val="24"/>
                <w:szCs w:val="24"/>
              </w:rPr>
            </w:pPr>
            <w:r>
              <w:rPr>
                <w:sz w:val="24"/>
                <w:szCs w:val="24"/>
              </w:rPr>
              <w:t>建设单位应严格加强管理，采取洒水、蓬布遮挡等措施，严格控制施工期间产生的扬尘。</w:t>
            </w:r>
          </w:p>
          <w:p>
            <w:pPr>
              <w:tabs>
                <w:tab w:val="left" w:pos="11"/>
              </w:tabs>
              <w:spacing w:line="360" w:lineRule="auto"/>
              <w:ind w:firstLine="480" w:firstLineChars="200"/>
              <w:rPr>
                <w:sz w:val="24"/>
                <w:szCs w:val="24"/>
              </w:rPr>
            </w:pPr>
            <w:r>
              <w:rPr>
                <w:sz w:val="24"/>
                <w:szCs w:val="24"/>
              </w:rPr>
              <w:t>本项目位于西安市长安区魏寨乡东</w:t>
            </w:r>
            <w:r>
              <w:rPr>
                <w:rFonts w:hAnsi="宋体"/>
                <w:sz w:val="24"/>
                <w:szCs w:val="24"/>
              </w:rPr>
              <w:t>部建材基地</w:t>
            </w:r>
            <w:r>
              <w:rPr>
                <w:rFonts w:hint="eastAsia" w:hAnsi="宋体"/>
                <w:sz w:val="24"/>
                <w:szCs w:val="24"/>
              </w:rPr>
              <w:t>，西侧为乡村道路，隔路为蚕姑沟村，</w:t>
            </w:r>
            <w:r>
              <w:rPr>
                <w:rFonts w:hAnsi="宋体"/>
                <w:sz w:val="24"/>
                <w:szCs w:val="24"/>
              </w:rPr>
              <w:t>若不采取防治措施，施工期扬尘会对</w:t>
            </w:r>
            <w:r>
              <w:rPr>
                <w:rFonts w:hint="eastAsia" w:hAnsi="宋体"/>
                <w:sz w:val="24"/>
                <w:szCs w:val="24"/>
              </w:rPr>
              <w:t>蚕姑沟村</w:t>
            </w:r>
            <w:r>
              <w:rPr>
                <w:rFonts w:hAnsi="宋体"/>
                <w:sz w:val="24"/>
                <w:szCs w:val="24"/>
              </w:rPr>
              <w:t>敏感目标产生影响。故评价要求项目施工期间设置防护围栏，定期洒水、及时清运土方，将建设期间扬尘产生的影响降到最小。同时施工期造成的扬尘污染是短期的、局部的影响，工程竣工后即可消失，施工扬尘在采取防治措施后，对周围环境产生的影响较小。</w:t>
            </w:r>
          </w:p>
          <w:p>
            <w:pPr>
              <w:tabs>
                <w:tab w:val="left" w:pos="11"/>
              </w:tabs>
              <w:spacing w:line="360" w:lineRule="auto"/>
              <w:ind w:firstLine="480" w:firstLineChars="200"/>
              <w:rPr>
                <w:rFonts w:hAnsi="宋体"/>
                <w:color w:val="7030A0"/>
                <w:sz w:val="24"/>
                <w:szCs w:val="24"/>
              </w:rPr>
            </w:pPr>
            <w:r>
              <w:rPr>
                <w:rFonts w:hint="eastAsia" w:hAnsi="宋体"/>
                <w:sz w:val="24"/>
                <w:szCs w:val="24"/>
              </w:rPr>
              <w:t>施工</w:t>
            </w:r>
            <w:r>
              <w:rPr>
                <w:rFonts w:hAnsi="宋体"/>
                <w:sz w:val="24"/>
                <w:szCs w:val="24"/>
              </w:rPr>
              <w:t>扬尘是施工期最主要的环境空气污染源，根据《关于印发</w:t>
            </w:r>
            <w:r>
              <w:rPr>
                <w:sz w:val="24"/>
                <w:szCs w:val="24"/>
              </w:rPr>
              <w:t>&lt;</w:t>
            </w:r>
            <w:r>
              <w:rPr>
                <w:rFonts w:hAnsi="宋体"/>
                <w:sz w:val="24"/>
                <w:szCs w:val="24"/>
              </w:rPr>
              <w:t>陕西省建筑施工扬尘治理行动方案</w:t>
            </w:r>
            <w:r>
              <w:rPr>
                <w:sz w:val="24"/>
                <w:szCs w:val="24"/>
              </w:rPr>
              <w:t>&gt;</w:t>
            </w:r>
            <w:r>
              <w:rPr>
                <w:rFonts w:hAnsi="宋体"/>
                <w:sz w:val="24"/>
                <w:szCs w:val="24"/>
              </w:rPr>
              <w:t>的通知》、《陕西省大气污染防治条例》</w:t>
            </w:r>
            <w:r>
              <w:rPr>
                <w:rFonts w:hint="eastAsia" w:hAnsi="宋体"/>
                <w:sz w:val="24"/>
                <w:szCs w:val="24"/>
              </w:rPr>
              <w:t>、</w:t>
            </w:r>
            <w:r>
              <w:rPr>
                <w:rFonts w:hint="eastAsia" w:hAnsi="宋体"/>
                <w:color w:val="7030A0"/>
                <w:sz w:val="24"/>
                <w:szCs w:val="24"/>
              </w:rPr>
              <w:t>《陕西省铁腕治霾打赢蓝天保卫战三年行动方案（2018-2020 年）》修订版（陕政发[2018]29 号）</w:t>
            </w:r>
            <w:r>
              <w:rPr>
                <w:rFonts w:hAnsi="宋体"/>
                <w:color w:val="7030A0"/>
                <w:sz w:val="24"/>
                <w:szCs w:val="24"/>
              </w:rPr>
              <w:t>，本次环评要求施工单位采取如下措施：</w:t>
            </w:r>
          </w:p>
          <w:p>
            <w:pPr>
              <w:numPr>
                <w:ilvl w:val="0"/>
                <w:numId w:val="1"/>
              </w:numPr>
              <w:tabs>
                <w:tab w:val="left" w:pos="11"/>
              </w:tabs>
              <w:spacing w:line="360" w:lineRule="auto"/>
              <w:ind w:left="0" w:firstLine="480" w:firstLineChars="200"/>
              <w:rPr>
                <w:rFonts w:hAnsi="宋体"/>
                <w:sz w:val="24"/>
                <w:szCs w:val="24"/>
              </w:rPr>
            </w:pPr>
            <w:r>
              <w:rPr>
                <w:rFonts w:hint="eastAsia" w:hAnsi="宋体"/>
                <w:sz w:val="24"/>
                <w:szCs w:val="24"/>
              </w:rPr>
              <w:t>严格执行《建筑施工扬尘治理措施19条》。按照围挡、覆盖、冲洗、硬化、密闭、洒水“6个100%”和出入口道路硬化、基坑坡道处理、冲洗设备安装、清运车辆密闭、拆除湿法作业、裸露地面和拆迁垃圾覆盖“7个到位”的管理标准。</w:t>
            </w:r>
          </w:p>
          <w:p>
            <w:pPr>
              <w:numPr>
                <w:ilvl w:val="0"/>
                <w:numId w:val="1"/>
              </w:numPr>
              <w:tabs>
                <w:tab w:val="left" w:pos="11"/>
              </w:tabs>
              <w:spacing w:line="360" w:lineRule="auto"/>
              <w:ind w:left="0" w:firstLine="480" w:firstLineChars="200"/>
              <w:rPr>
                <w:rFonts w:hAnsi="宋体"/>
                <w:sz w:val="24"/>
                <w:szCs w:val="24"/>
              </w:rPr>
            </w:pPr>
            <w:r>
              <w:rPr>
                <w:rFonts w:hint="eastAsia" w:hAnsi="宋体"/>
                <w:sz w:val="24"/>
                <w:szCs w:val="24"/>
              </w:rPr>
              <w:t>严格执行“禁土令”。冬防期禁止出土、拆迁、倒土等土石方作业。</w:t>
            </w:r>
          </w:p>
          <w:p>
            <w:pPr>
              <w:numPr>
                <w:ilvl w:val="0"/>
                <w:numId w:val="1"/>
              </w:numPr>
              <w:tabs>
                <w:tab w:val="left" w:pos="11"/>
              </w:tabs>
              <w:spacing w:line="360" w:lineRule="auto"/>
              <w:ind w:left="0" w:firstLine="480" w:firstLineChars="200"/>
              <w:rPr>
                <w:rFonts w:hAnsi="宋体"/>
                <w:sz w:val="24"/>
                <w:szCs w:val="24"/>
              </w:rPr>
            </w:pPr>
            <w:r>
              <w:rPr>
                <w:rFonts w:hint="eastAsia" w:hAnsi="宋体"/>
                <w:sz w:val="24"/>
                <w:szCs w:val="24"/>
              </w:rPr>
              <w:t>各类施工工地现场周边采取围挡措施。</w:t>
            </w:r>
            <w:r>
              <w:rPr>
                <w:rFonts w:hAnsi="宋体"/>
                <w:sz w:val="24"/>
                <w:szCs w:val="24"/>
              </w:rPr>
              <w:t>对围挡落尘应定期清洗，采取洒水等防尘措施，以保证工地及周围环境整洁</w:t>
            </w:r>
            <w:r>
              <w:rPr>
                <w:rFonts w:hint="eastAsia" w:hAnsi="宋体"/>
                <w:sz w:val="24"/>
                <w:szCs w:val="24"/>
              </w:rPr>
              <w:t>；</w:t>
            </w:r>
            <w:r>
              <w:rPr>
                <w:rFonts w:hAnsi="宋体"/>
                <w:sz w:val="24"/>
                <w:szCs w:val="24"/>
              </w:rPr>
              <w:t>基础设施工程因特殊情况不能进行围挡的，应当设置安全警示标志，并在工程险要处采取隔离措施</w:t>
            </w:r>
            <w:r>
              <w:rPr>
                <w:rFonts w:hint="eastAsia" w:hAnsi="宋体"/>
                <w:sz w:val="24"/>
                <w:szCs w:val="24"/>
              </w:rPr>
              <w:t>。</w:t>
            </w:r>
          </w:p>
          <w:p>
            <w:pPr>
              <w:numPr>
                <w:ilvl w:val="0"/>
                <w:numId w:val="1"/>
              </w:numPr>
              <w:tabs>
                <w:tab w:val="left" w:pos="11"/>
              </w:tabs>
              <w:spacing w:line="360" w:lineRule="auto"/>
              <w:ind w:left="0" w:firstLine="480" w:firstLineChars="200"/>
              <w:rPr>
                <w:rFonts w:hAnsi="宋体"/>
                <w:sz w:val="24"/>
                <w:szCs w:val="24"/>
              </w:rPr>
            </w:pPr>
            <w:r>
              <w:rPr>
                <w:rFonts w:hint="eastAsia" w:hAnsi="宋体"/>
                <w:sz w:val="24"/>
                <w:szCs w:val="24"/>
              </w:rPr>
              <w:t>施工现场砂石渣土等堆料全部覆盖。所有渣土车须平槽装运，加盖密闭运输，杜绝高尖装载和沿途抛撒现象，渣土清运通道全面冲洗工作在清晨6：30前完成。</w:t>
            </w:r>
          </w:p>
          <w:p>
            <w:pPr>
              <w:numPr>
                <w:ilvl w:val="0"/>
                <w:numId w:val="1"/>
              </w:numPr>
              <w:tabs>
                <w:tab w:val="left" w:pos="11"/>
              </w:tabs>
              <w:spacing w:line="360" w:lineRule="auto"/>
              <w:ind w:left="0" w:firstLine="480" w:firstLineChars="200"/>
              <w:rPr>
                <w:rFonts w:hAnsi="宋体"/>
                <w:sz w:val="24"/>
                <w:szCs w:val="24"/>
              </w:rPr>
            </w:pPr>
            <w:r>
              <w:rPr>
                <w:rFonts w:hint="eastAsia" w:hAnsi="宋体"/>
                <w:sz w:val="24"/>
                <w:szCs w:val="24"/>
              </w:rPr>
              <w:t>工地内大型机械车辆停放区域及主要道路全部硬化，每天及时洒水清扫，确保无浮土。</w:t>
            </w:r>
            <w:r>
              <w:rPr>
                <w:rFonts w:hAnsi="宋体"/>
                <w:sz w:val="24"/>
                <w:szCs w:val="24"/>
              </w:rPr>
              <w:t>施工现场必须建立洒水清扫制度或雾化降尘措施，配备相应的洒水设备，及时洒水清扫，并有专人负责，以减少扬尘污染</w:t>
            </w:r>
            <w:r>
              <w:rPr>
                <w:rFonts w:hint="eastAsia" w:hAnsi="宋体"/>
                <w:sz w:val="24"/>
                <w:szCs w:val="24"/>
              </w:rPr>
              <w:t>。</w:t>
            </w:r>
          </w:p>
          <w:p>
            <w:pPr>
              <w:numPr>
                <w:ilvl w:val="0"/>
                <w:numId w:val="1"/>
              </w:numPr>
              <w:tabs>
                <w:tab w:val="left" w:pos="11"/>
              </w:tabs>
              <w:spacing w:line="360" w:lineRule="auto"/>
              <w:ind w:left="0" w:firstLine="480" w:firstLineChars="200"/>
              <w:rPr>
                <w:rFonts w:hAnsi="宋体"/>
                <w:sz w:val="24"/>
                <w:szCs w:val="24"/>
              </w:rPr>
            </w:pPr>
            <w:r>
              <w:rPr>
                <w:rFonts w:hint="eastAsia" w:hAnsi="宋体"/>
                <w:sz w:val="24"/>
                <w:szCs w:val="24"/>
              </w:rPr>
              <w:t>出入口建有冲洗设备和排水沟并能正常使用，出工地车辆全部冲洗，无高尖装载现象，严禁车轮带泥上路。</w:t>
            </w:r>
          </w:p>
          <w:p>
            <w:pPr>
              <w:numPr>
                <w:ilvl w:val="0"/>
                <w:numId w:val="1"/>
              </w:numPr>
              <w:tabs>
                <w:tab w:val="left" w:pos="11"/>
              </w:tabs>
              <w:spacing w:line="360" w:lineRule="auto"/>
              <w:ind w:left="0" w:firstLine="480" w:firstLineChars="200"/>
              <w:rPr>
                <w:rFonts w:hAnsi="宋体"/>
                <w:sz w:val="24"/>
                <w:szCs w:val="24"/>
              </w:rPr>
            </w:pPr>
            <w:r>
              <w:rPr>
                <w:rFonts w:hint="eastAsia" w:hAnsi="宋体"/>
                <w:sz w:val="24"/>
                <w:szCs w:val="24"/>
              </w:rPr>
              <w:t>严禁在工地围挡外堆放建筑物料或垃圾。</w:t>
            </w:r>
            <w:r>
              <w:rPr>
                <w:rFonts w:hAnsi="宋体"/>
                <w:sz w:val="24"/>
                <w:szCs w:val="24"/>
              </w:rPr>
              <w:t>施工现场必须设置固定垃圾存放点，垃圾应分类集中堆放并覆盖，及时清运，严禁焚烧、下埋和随意丢弃。清理施工垃圾，必须采用容器吊运等封闭方式，严禁随意抛撒。</w:t>
            </w:r>
          </w:p>
          <w:p>
            <w:pPr>
              <w:numPr>
                <w:ilvl w:val="0"/>
                <w:numId w:val="1"/>
              </w:numPr>
              <w:tabs>
                <w:tab w:val="left" w:pos="11"/>
              </w:tabs>
              <w:spacing w:line="360" w:lineRule="auto"/>
              <w:ind w:left="0" w:firstLine="480" w:firstLineChars="200"/>
              <w:rPr>
                <w:rFonts w:hAnsi="宋体"/>
                <w:sz w:val="24"/>
                <w:szCs w:val="24"/>
              </w:rPr>
            </w:pPr>
            <w:r>
              <w:rPr>
                <w:rFonts w:hint="eastAsia" w:hAnsi="宋体"/>
                <w:sz w:val="24"/>
                <w:szCs w:val="24"/>
              </w:rPr>
              <w:t>四级风以上天气停止产生扬尘的施工作业。</w:t>
            </w:r>
          </w:p>
          <w:p>
            <w:pPr>
              <w:numPr>
                <w:ilvl w:val="0"/>
                <w:numId w:val="1"/>
              </w:numPr>
              <w:tabs>
                <w:tab w:val="left" w:pos="11"/>
              </w:tabs>
              <w:spacing w:line="360" w:lineRule="auto"/>
              <w:ind w:left="0" w:firstLine="480" w:firstLineChars="200"/>
              <w:rPr>
                <w:rFonts w:hAnsi="宋体"/>
                <w:sz w:val="24"/>
                <w:szCs w:val="24"/>
              </w:rPr>
            </w:pPr>
            <w:r>
              <w:rPr>
                <w:rFonts w:hint="eastAsia" w:hAnsi="宋体"/>
                <w:sz w:val="24"/>
                <w:szCs w:val="24"/>
              </w:rPr>
              <w:t>建筑施工作业立面须用密目网封闭。工地内、工地外裸露场地应当简易绿化或采取密目网覆盖等防尘措施。</w:t>
            </w:r>
          </w:p>
          <w:p>
            <w:pPr>
              <w:numPr>
                <w:ilvl w:val="0"/>
                <w:numId w:val="1"/>
              </w:numPr>
              <w:tabs>
                <w:tab w:val="left" w:pos="11"/>
              </w:tabs>
              <w:spacing w:line="360" w:lineRule="auto"/>
              <w:ind w:left="0" w:firstLine="480" w:firstLineChars="200"/>
              <w:rPr>
                <w:rFonts w:hAnsi="宋体"/>
                <w:sz w:val="24"/>
                <w:szCs w:val="24"/>
              </w:rPr>
            </w:pPr>
            <w:r>
              <w:rPr>
                <w:rFonts w:hint="eastAsia" w:hAnsi="宋体"/>
                <w:sz w:val="24"/>
                <w:szCs w:val="24"/>
              </w:rPr>
              <w:t>禁止随意倾倒和堆放垃圾，禁止往雨水口、绿地倾倒垃圾，料场前场地及时洒水清扫，确保无粉尘、积灰。</w:t>
            </w:r>
          </w:p>
          <w:p>
            <w:pPr>
              <w:numPr>
                <w:ilvl w:val="0"/>
                <w:numId w:val="1"/>
              </w:numPr>
              <w:tabs>
                <w:tab w:val="left" w:pos="11"/>
              </w:tabs>
              <w:spacing w:line="360" w:lineRule="auto"/>
              <w:ind w:left="0" w:firstLine="480" w:firstLineChars="200"/>
              <w:rPr>
                <w:rFonts w:hAnsi="宋体"/>
                <w:sz w:val="24"/>
                <w:szCs w:val="24"/>
              </w:rPr>
            </w:pPr>
            <w:r>
              <w:rPr>
                <w:rFonts w:hint="eastAsia" w:hAnsi="宋体"/>
                <w:sz w:val="24"/>
                <w:szCs w:val="24"/>
              </w:rPr>
              <w:t>机动车道路路面平整，无坑槽现象，非机动车道路面平整，无缺损，人行道花砖无塌陷。</w:t>
            </w:r>
          </w:p>
          <w:p>
            <w:pPr>
              <w:numPr>
                <w:ilvl w:val="0"/>
                <w:numId w:val="1"/>
              </w:numPr>
              <w:spacing w:line="360" w:lineRule="auto"/>
              <w:ind w:left="0" w:firstLine="480" w:firstLineChars="200"/>
              <w:rPr>
                <w:rFonts w:hAnsi="宋体"/>
                <w:sz w:val="24"/>
                <w:szCs w:val="24"/>
              </w:rPr>
            </w:pPr>
            <w:r>
              <w:rPr>
                <w:rFonts w:hAnsi="宋体"/>
                <w:sz w:val="24"/>
                <w:szCs w:val="24"/>
              </w:rPr>
              <w:t>同时施工期造成的扬尘污染是短期的、局部的影响，工程竣工后即可消失，施工扬尘在采取防治措施后，对周围环境产生的影响较小。</w:t>
            </w:r>
          </w:p>
          <w:p>
            <w:pPr>
              <w:numPr>
                <w:ilvl w:val="0"/>
                <w:numId w:val="1"/>
              </w:numPr>
              <w:spacing w:line="360" w:lineRule="auto"/>
              <w:ind w:left="0" w:firstLine="480" w:firstLineChars="200"/>
              <w:rPr>
                <w:bCs/>
                <w:sz w:val="24"/>
              </w:rPr>
            </w:pPr>
            <w:r>
              <w:rPr>
                <w:rFonts w:hint="eastAsia"/>
                <w:bCs/>
                <w:sz w:val="24"/>
              </w:rPr>
              <w:t>施工企业要制定切实可行的自查方案，按月对本企业所有在建项目的扬尘治理情况进行公司级检查，对发现的问题及时督促项目工地进行整改。</w:t>
            </w:r>
          </w:p>
          <w:p>
            <w:pPr>
              <w:spacing w:line="360" w:lineRule="auto"/>
              <w:ind w:firstLine="480" w:firstLineChars="200"/>
              <w:rPr>
                <w:bCs/>
                <w:color w:val="7030A0"/>
                <w:sz w:val="24"/>
              </w:rPr>
            </w:pPr>
            <w:r>
              <w:rPr>
                <w:rFonts w:hint="eastAsia"/>
                <w:bCs/>
                <w:color w:val="7030A0"/>
                <w:sz w:val="24"/>
              </w:rPr>
              <w:t>施工单位做到以上扬尘污染防治措施后，类比在市政施工现场实测资料，施工场地扬尘排放满足《施工场界扬尘排放限值》（DB61/1078-2017）要求（拆除、土方及地基处理工程小时平均浓度限值≤0.8mg/m</w:t>
            </w:r>
            <w:r>
              <w:rPr>
                <w:rFonts w:hint="eastAsia"/>
                <w:bCs/>
                <w:color w:val="7030A0"/>
                <w:sz w:val="24"/>
                <w:vertAlign w:val="superscript"/>
              </w:rPr>
              <w:t>3</w:t>
            </w:r>
            <w:r>
              <w:rPr>
                <w:rFonts w:hint="eastAsia"/>
                <w:bCs/>
                <w:color w:val="7030A0"/>
                <w:sz w:val="24"/>
              </w:rPr>
              <w:t>；基础、主体结构及装饰工程≤0.7mg/m</w:t>
            </w:r>
            <w:r>
              <w:rPr>
                <w:rFonts w:hint="eastAsia"/>
                <w:bCs/>
                <w:color w:val="7030A0"/>
                <w:sz w:val="24"/>
                <w:vertAlign w:val="superscript"/>
              </w:rPr>
              <w:t>3</w:t>
            </w:r>
            <w:r>
              <w:rPr>
                <w:rFonts w:hint="eastAsia"/>
                <w:bCs/>
                <w:color w:val="7030A0"/>
                <w:sz w:val="24"/>
              </w:rPr>
              <w:t>）。</w:t>
            </w:r>
          </w:p>
          <w:p>
            <w:pPr>
              <w:spacing w:line="360" w:lineRule="auto"/>
              <w:ind w:firstLine="480" w:firstLineChars="200"/>
              <w:rPr>
                <w:bCs/>
                <w:sz w:val="24"/>
              </w:rPr>
            </w:pPr>
            <w:r>
              <w:rPr>
                <w:rFonts w:hint="eastAsia" w:hAnsi="宋体"/>
                <w:bCs/>
                <w:sz w:val="24"/>
              </w:rPr>
              <w:t>⑵</w:t>
            </w:r>
            <w:r>
              <w:rPr>
                <w:bCs/>
                <w:sz w:val="24"/>
              </w:rPr>
              <w:t>施工机械废气</w:t>
            </w:r>
            <w:r>
              <w:rPr>
                <w:rFonts w:hint="eastAsia"/>
                <w:bCs/>
                <w:sz w:val="24"/>
              </w:rPr>
              <w:t>及装修材料</w:t>
            </w:r>
            <w:r>
              <w:rPr>
                <w:bCs/>
                <w:sz w:val="24"/>
              </w:rPr>
              <w:t>运输车辆</w:t>
            </w:r>
            <w:r>
              <w:rPr>
                <w:rFonts w:hint="eastAsia"/>
                <w:bCs/>
                <w:sz w:val="24"/>
              </w:rPr>
              <w:t>废气</w:t>
            </w:r>
            <w:r>
              <w:rPr>
                <w:bCs/>
                <w:sz w:val="24"/>
              </w:rPr>
              <w:t>影响分析</w:t>
            </w:r>
          </w:p>
          <w:p>
            <w:pPr>
              <w:tabs>
                <w:tab w:val="left" w:pos="11"/>
              </w:tabs>
              <w:spacing w:line="360" w:lineRule="auto"/>
              <w:ind w:firstLine="480" w:firstLineChars="200"/>
              <w:rPr>
                <w:color w:val="7030A0"/>
                <w:sz w:val="24"/>
              </w:rPr>
            </w:pPr>
            <w:r>
              <w:rPr>
                <w:rFonts w:hint="eastAsia"/>
                <w:color w:val="7030A0"/>
                <w:sz w:val="24"/>
              </w:rPr>
              <w:t>施工建设期间，施工机械燃油废气、各种物料运输车辆汽车尾气的主要污染物为</w:t>
            </w:r>
          </w:p>
          <w:p>
            <w:pPr>
              <w:tabs>
                <w:tab w:val="left" w:pos="11"/>
              </w:tabs>
              <w:spacing w:line="360" w:lineRule="auto"/>
              <w:rPr>
                <w:color w:val="7030A0"/>
                <w:sz w:val="24"/>
              </w:rPr>
            </w:pPr>
            <w:r>
              <w:rPr>
                <w:rFonts w:hint="eastAsia"/>
                <w:color w:val="7030A0"/>
                <w:sz w:val="24"/>
              </w:rPr>
              <w:t>CO、NO</w:t>
            </w:r>
            <w:r>
              <w:rPr>
                <w:rFonts w:hint="eastAsia"/>
                <w:color w:val="7030A0"/>
                <w:sz w:val="24"/>
                <w:vertAlign w:val="subscript"/>
              </w:rPr>
              <w:t>2</w:t>
            </w:r>
            <w:r>
              <w:rPr>
                <w:rFonts w:hint="eastAsia"/>
                <w:color w:val="7030A0"/>
                <w:sz w:val="24"/>
              </w:rPr>
              <w:t>及HC等。施工期应加强施工车辆运行管理与维护保养以减少尾气排放对环境的污染，拟采取如下控制措施减少燃油废气及汽车尾气的影响：</w:t>
            </w:r>
          </w:p>
          <w:p>
            <w:pPr>
              <w:tabs>
                <w:tab w:val="left" w:pos="11"/>
              </w:tabs>
              <w:spacing w:line="360" w:lineRule="auto"/>
              <w:ind w:firstLine="480" w:firstLineChars="200"/>
              <w:rPr>
                <w:color w:val="7030A0"/>
                <w:sz w:val="24"/>
              </w:rPr>
            </w:pPr>
            <w:r>
              <w:rPr>
                <w:rFonts w:hint="eastAsia"/>
                <w:color w:val="7030A0"/>
                <w:sz w:val="24"/>
              </w:rPr>
              <w:t>⑴选用符合国家卫生防护标准的施工机械设备和运输车辆；</w:t>
            </w:r>
          </w:p>
          <w:p>
            <w:pPr>
              <w:tabs>
                <w:tab w:val="left" w:pos="11"/>
              </w:tabs>
              <w:spacing w:line="360" w:lineRule="auto"/>
              <w:ind w:firstLine="480" w:firstLineChars="200"/>
              <w:rPr>
                <w:color w:val="7030A0"/>
                <w:sz w:val="24"/>
              </w:rPr>
            </w:pPr>
            <w:r>
              <w:rPr>
                <w:rFonts w:hint="eastAsia"/>
                <w:color w:val="7030A0"/>
                <w:sz w:val="24"/>
              </w:rPr>
              <w:t>⑵加强对施工机械及施工车辆的检修和维护，严禁使用超期服役和尾气超标的施工机械及车辆；</w:t>
            </w:r>
          </w:p>
          <w:p>
            <w:pPr>
              <w:tabs>
                <w:tab w:val="left" w:pos="11"/>
              </w:tabs>
              <w:spacing w:line="360" w:lineRule="auto"/>
              <w:ind w:firstLine="480" w:firstLineChars="200"/>
              <w:rPr>
                <w:color w:val="7030A0"/>
                <w:sz w:val="24"/>
              </w:rPr>
            </w:pPr>
            <w:r>
              <w:rPr>
                <w:rFonts w:hint="eastAsia"/>
                <w:color w:val="7030A0"/>
                <w:sz w:val="24"/>
              </w:rPr>
              <w:t>⑶尽可能使用气动和电动设备及机械，或使用优质燃油，以减少机械和车辆有害气体的排放。</w:t>
            </w:r>
          </w:p>
          <w:p>
            <w:pPr>
              <w:tabs>
                <w:tab w:val="left" w:pos="11"/>
              </w:tabs>
              <w:spacing w:line="360" w:lineRule="auto"/>
              <w:ind w:firstLine="480" w:firstLineChars="200"/>
              <w:rPr>
                <w:rFonts w:hAnsi="宋体"/>
                <w:color w:val="7030A0"/>
                <w:sz w:val="24"/>
                <w:szCs w:val="24"/>
              </w:rPr>
            </w:pPr>
            <w:r>
              <w:rPr>
                <w:color w:val="7030A0"/>
                <w:sz w:val="24"/>
              </w:rPr>
              <w:t>运输车辆及施工机械在运行中产生</w:t>
            </w:r>
            <w:r>
              <w:rPr>
                <w:rFonts w:hint="eastAsia"/>
                <w:color w:val="7030A0"/>
                <w:sz w:val="24"/>
              </w:rPr>
              <w:t>的汽车</w:t>
            </w:r>
            <w:r>
              <w:rPr>
                <w:color w:val="7030A0"/>
                <w:sz w:val="24"/>
              </w:rPr>
              <w:t>尾气</w:t>
            </w:r>
            <w:r>
              <w:rPr>
                <w:rFonts w:hint="eastAsia"/>
                <w:color w:val="7030A0"/>
                <w:sz w:val="24"/>
              </w:rPr>
              <w:t>是短期的，随着运输作业的完成，汽车尾气也随之消失，</w:t>
            </w:r>
            <w:r>
              <w:rPr>
                <w:color w:val="7030A0"/>
                <w:sz w:val="24"/>
              </w:rPr>
              <w:t>对</w:t>
            </w:r>
            <w:r>
              <w:rPr>
                <w:rFonts w:hint="eastAsia"/>
                <w:color w:val="7030A0"/>
                <w:sz w:val="24"/>
              </w:rPr>
              <w:t>项目</w:t>
            </w:r>
            <w:r>
              <w:rPr>
                <w:color w:val="7030A0"/>
                <w:sz w:val="24"/>
              </w:rPr>
              <w:t>周围环境影响</w:t>
            </w:r>
            <w:r>
              <w:rPr>
                <w:rFonts w:hint="eastAsia"/>
                <w:color w:val="7030A0"/>
                <w:sz w:val="24"/>
              </w:rPr>
              <w:t>较</w:t>
            </w:r>
            <w:r>
              <w:rPr>
                <w:color w:val="7030A0"/>
                <w:sz w:val="24"/>
              </w:rPr>
              <w:t>小。</w:t>
            </w:r>
          </w:p>
          <w:p>
            <w:pPr>
              <w:tabs>
                <w:tab w:val="left" w:pos="11"/>
              </w:tabs>
              <w:spacing w:line="360" w:lineRule="auto"/>
              <w:ind w:firstLine="482" w:firstLineChars="200"/>
              <w:rPr>
                <w:b/>
                <w:sz w:val="24"/>
              </w:rPr>
            </w:pPr>
            <w:r>
              <w:rPr>
                <w:rFonts w:hint="eastAsia" w:hAnsi="宋体"/>
                <w:b/>
                <w:sz w:val="24"/>
                <w:szCs w:val="24"/>
              </w:rPr>
              <w:t>二</w:t>
            </w:r>
            <w:r>
              <w:rPr>
                <w:rFonts w:hAnsi="宋体"/>
                <w:b/>
                <w:sz w:val="24"/>
                <w:szCs w:val="24"/>
              </w:rPr>
              <w:t>、废水对环境的影</w:t>
            </w:r>
            <w:r>
              <w:rPr>
                <w:rFonts w:hAnsi="宋体"/>
                <w:b/>
                <w:sz w:val="24"/>
              </w:rPr>
              <w:t>响分析</w:t>
            </w:r>
          </w:p>
          <w:p>
            <w:pPr>
              <w:tabs>
                <w:tab w:val="left" w:pos="11"/>
              </w:tabs>
              <w:spacing w:line="360" w:lineRule="auto"/>
              <w:ind w:firstLine="480" w:firstLineChars="200"/>
              <w:rPr>
                <w:rFonts w:hAnsi="宋体"/>
                <w:sz w:val="24"/>
              </w:rPr>
            </w:pPr>
            <w:r>
              <w:rPr>
                <w:rFonts w:hAnsi="宋体"/>
                <w:sz w:val="24"/>
              </w:rPr>
              <w:t>本项目</w:t>
            </w:r>
            <w:r>
              <w:rPr>
                <w:rFonts w:hint="eastAsia" w:hAnsi="宋体"/>
                <w:sz w:val="24"/>
              </w:rPr>
              <w:t>施工</w:t>
            </w:r>
            <w:r>
              <w:rPr>
                <w:rFonts w:hAnsi="宋体"/>
                <w:sz w:val="24"/>
              </w:rPr>
              <w:t>期间，</w:t>
            </w:r>
            <w:r>
              <w:rPr>
                <w:rFonts w:hint="eastAsia" w:hAnsi="宋体"/>
                <w:sz w:val="24"/>
              </w:rPr>
              <w:t>产生一定的施工废水和生活污水</w:t>
            </w:r>
            <w:r>
              <w:rPr>
                <w:rFonts w:hAnsi="宋体"/>
                <w:sz w:val="24"/>
              </w:rPr>
              <w:t>。</w:t>
            </w:r>
            <w:r>
              <w:rPr>
                <w:rFonts w:hint="eastAsia" w:hAnsi="宋体"/>
                <w:sz w:val="24"/>
              </w:rPr>
              <w:t>施工废水产生量较小，</w:t>
            </w:r>
            <w:r>
              <w:rPr>
                <w:rFonts w:hint="eastAsia" w:hAnsi="宋体"/>
                <w:sz w:val="24"/>
                <w:szCs w:val="24"/>
              </w:rPr>
              <w:t>产生量约2m</w:t>
            </w:r>
            <w:r>
              <w:rPr>
                <w:rFonts w:hint="eastAsia" w:hAnsi="宋体"/>
                <w:sz w:val="24"/>
                <w:szCs w:val="24"/>
                <w:vertAlign w:val="superscript"/>
              </w:rPr>
              <w:t>3</w:t>
            </w:r>
            <w:r>
              <w:rPr>
                <w:rFonts w:hint="eastAsia" w:hAnsi="宋体"/>
                <w:sz w:val="24"/>
                <w:szCs w:val="24"/>
              </w:rPr>
              <w:t>/d，</w:t>
            </w:r>
            <w:r>
              <w:rPr>
                <w:rFonts w:hAnsi="宋体"/>
                <w:sz w:val="24"/>
              </w:rPr>
              <w:t>废水中以无机悬浮物（</w:t>
            </w:r>
            <w:r>
              <w:rPr>
                <w:sz w:val="24"/>
              </w:rPr>
              <w:t>SS</w:t>
            </w:r>
            <w:r>
              <w:rPr>
                <w:rFonts w:hAnsi="宋体"/>
                <w:sz w:val="24"/>
              </w:rPr>
              <w:t>）为主，要求在施工现场设简易的沉淀池处理，施工废水收集沉淀处理后使用</w:t>
            </w:r>
            <w:r>
              <w:rPr>
                <w:rFonts w:hint="eastAsia" w:hAnsi="宋体"/>
                <w:sz w:val="24"/>
              </w:rPr>
              <w:t>。</w:t>
            </w:r>
          </w:p>
          <w:p>
            <w:pPr>
              <w:tabs>
                <w:tab w:val="left" w:pos="11"/>
              </w:tabs>
              <w:spacing w:line="360" w:lineRule="auto"/>
              <w:ind w:firstLine="480" w:firstLineChars="200"/>
              <w:rPr>
                <w:sz w:val="24"/>
              </w:rPr>
            </w:pPr>
            <w:r>
              <w:rPr>
                <w:rFonts w:hAnsi="宋体"/>
                <w:sz w:val="24"/>
              </w:rPr>
              <w:t>生活污水的排放量</w:t>
            </w:r>
            <w:r>
              <w:rPr>
                <w:rFonts w:hint="eastAsia" w:hAnsi="宋体"/>
                <w:sz w:val="24"/>
              </w:rPr>
              <w:t>按</w:t>
            </w:r>
            <w:bookmarkStart w:id="4" w:name="OLE_LINK4"/>
            <w:r>
              <w:rPr>
                <w:rFonts w:hint="eastAsia"/>
                <w:sz w:val="24"/>
              </w:rPr>
              <w:t>40</w:t>
            </w:r>
            <w:r>
              <w:rPr>
                <w:sz w:val="24"/>
              </w:rPr>
              <w:t>L/</w:t>
            </w:r>
            <w:r>
              <w:rPr>
                <w:rFonts w:hAnsi="宋体"/>
                <w:sz w:val="24"/>
              </w:rPr>
              <w:t>（人</w:t>
            </w:r>
            <w:r>
              <w:rPr>
                <w:sz w:val="24"/>
              </w:rPr>
              <w:t>·d</w:t>
            </w:r>
            <w:r>
              <w:rPr>
                <w:rFonts w:hAnsi="宋体"/>
                <w:sz w:val="24"/>
              </w:rPr>
              <w:t>）</w:t>
            </w:r>
            <w:bookmarkEnd w:id="4"/>
            <w:r>
              <w:rPr>
                <w:rFonts w:hint="eastAsia" w:hAnsi="宋体"/>
                <w:sz w:val="24"/>
              </w:rPr>
              <w:t>计</w:t>
            </w:r>
            <w:r>
              <w:rPr>
                <w:rFonts w:hAnsi="宋体"/>
                <w:sz w:val="24"/>
              </w:rPr>
              <w:t>，本项目施工人员按最大</w:t>
            </w:r>
            <w:r>
              <w:rPr>
                <w:rFonts w:hint="eastAsia"/>
                <w:sz w:val="24"/>
              </w:rPr>
              <w:t>20</w:t>
            </w:r>
            <w:r>
              <w:rPr>
                <w:rFonts w:hAnsi="宋体"/>
                <w:sz w:val="24"/>
              </w:rPr>
              <w:t>人估算，则施工人员生活污水排放量为</w:t>
            </w:r>
            <w:bookmarkStart w:id="5" w:name="OLE_LINK5"/>
            <w:r>
              <w:rPr>
                <w:rFonts w:hint="eastAsia" w:hAnsi="宋体"/>
                <w:sz w:val="24"/>
              </w:rPr>
              <w:t>0.8</w:t>
            </w:r>
            <w:r>
              <w:rPr>
                <w:rFonts w:hAnsi="宋体"/>
                <w:sz w:val="24"/>
              </w:rPr>
              <w:t>m</w:t>
            </w:r>
            <w:r>
              <w:rPr>
                <w:rFonts w:hAnsi="宋体"/>
                <w:sz w:val="24"/>
                <w:vertAlign w:val="superscript"/>
              </w:rPr>
              <w:t>3</w:t>
            </w:r>
            <w:r>
              <w:rPr>
                <w:rFonts w:hAnsi="宋体"/>
                <w:sz w:val="24"/>
              </w:rPr>
              <w:t>/d</w:t>
            </w:r>
            <w:bookmarkEnd w:id="5"/>
            <w:r>
              <w:rPr>
                <w:rFonts w:hint="eastAsia" w:hAnsi="宋体"/>
                <w:sz w:val="24"/>
              </w:rPr>
              <w:t>。</w:t>
            </w:r>
            <w:r>
              <w:rPr>
                <w:rFonts w:hint="eastAsia" w:hAnsi="宋体"/>
                <w:sz w:val="24"/>
                <w:szCs w:val="24"/>
              </w:rPr>
              <w:t>施工人员的生活污水可通过在施工场地内修建临时旱厕进行处理，待施工结束后，由当地村民清掏堆肥后掩埋。</w:t>
            </w:r>
          </w:p>
          <w:p>
            <w:pPr>
              <w:pStyle w:val="11"/>
              <w:spacing w:line="360" w:lineRule="auto"/>
              <w:ind w:firstLineChars="200"/>
              <w:jc w:val="left"/>
              <w:rPr>
                <w:kern w:val="2"/>
                <w:sz w:val="24"/>
                <w:szCs w:val="24"/>
                <w:lang w:val="en-US"/>
              </w:rPr>
            </w:pPr>
            <w:r>
              <w:rPr>
                <w:kern w:val="2"/>
                <w:sz w:val="24"/>
                <w:szCs w:val="24"/>
                <w:lang w:val="en-US"/>
              </w:rPr>
              <w:t>针对施工期可能造成的水环境影响，评价要求建设单位采取如下措施：</w:t>
            </w:r>
          </w:p>
          <w:p>
            <w:pPr>
              <w:pStyle w:val="11"/>
              <w:spacing w:line="360" w:lineRule="auto"/>
              <w:ind w:firstLineChars="200"/>
              <w:jc w:val="left"/>
              <w:rPr>
                <w:bCs/>
                <w:kern w:val="2"/>
                <w:sz w:val="24"/>
                <w:szCs w:val="24"/>
                <w:lang w:val="en-US"/>
              </w:rPr>
            </w:pPr>
            <w:r>
              <w:rPr>
                <w:rFonts w:ascii="宋体" w:hAnsi="宋体"/>
                <w:bCs/>
                <w:kern w:val="2"/>
                <w:sz w:val="24"/>
                <w:szCs w:val="24"/>
                <w:lang w:val="en-US"/>
              </w:rPr>
              <w:t>⑴</w:t>
            </w:r>
            <w:r>
              <w:rPr>
                <w:bCs/>
                <w:kern w:val="2"/>
                <w:sz w:val="24"/>
                <w:szCs w:val="24"/>
                <w:lang w:val="en-US"/>
              </w:rPr>
              <w:t>配套相应的施工排水设施，泥浆水经沉淀池澄清后回用于施工场地洒水。</w:t>
            </w:r>
          </w:p>
          <w:p>
            <w:pPr>
              <w:pStyle w:val="11"/>
              <w:spacing w:line="360" w:lineRule="auto"/>
              <w:ind w:firstLineChars="200"/>
              <w:jc w:val="left"/>
              <w:rPr>
                <w:bCs/>
                <w:kern w:val="2"/>
                <w:sz w:val="24"/>
                <w:szCs w:val="24"/>
                <w:lang w:val="en-US"/>
              </w:rPr>
            </w:pPr>
            <w:r>
              <w:rPr>
                <w:rFonts w:ascii="宋体" w:hAnsi="宋体"/>
                <w:bCs/>
                <w:kern w:val="2"/>
                <w:sz w:val="24"/>
                <w:szCs w:val="24"/>
                <w:lang w:val="en-US"/>
              </w:rPr>
              <w:t>⑵</w:t>
            </w:r>
            <w:r>
              <w:rPr>
                <w:bCs/>
                <w:kern w:val="2"/>
                <w:sz w:val="24"/>
                <w:szCs w:val="24"/>
                <w:lang w:val="en-US"/>
              </w:rPr>
              <w:t>施工期施工单位严禁废水乱排、乱流污染道路及水体。</w:t>
            </w:r>
          </w:p>
          <w:p>
            <w:pPr>
              <w:pStyle w:val="11"/>
              <w:spacing w:line="360" w:lineRule="auto"/>
              <w:ind w:firstLineChars="200"/>
              <w:jc w:val="left"/>
              <w:rPr>
                <w:rFonts w:hAnsi="宋体"/>
                <w:bCs/>
                <w:kern w:val="2"/>
                <w:sz w:val="24"/>
                <w:szCs w:val="24"/>
                <w:lang w:val="en-US"/>
              </w:rPr>
            </w:pPr>
            <w:r>
              <w:rPr>
                <w:rFonts w:hAnsi="宋体"/>
                <w:bCs/>
                <w:kern w:val="2"/>
                <w:sz w:val="24"/>
                <w:szCs w:val="24"/>
                <w:lang w:val="en-US"/>
              </w:rPr>
              <w:t>⑶设置简易沉淀池，施工废水收集沉淀后循环使用。</w:t>
            </w:r>
          </w:p>
          <w:p>
            <w:pPr>
              <w:pStyle w:val="11"/>
              <w:spacing w:line="360" w:lineRule="auto"/>
              <w:ind w:firstLineChars="200"/>
              <w:jc w:val="left"/>
              <w:rPr>
                <w:bCs/>
                <w:kern w:val="2"/>
                <w:sz w:val="24"/>
                <w:szCs w:val="24"/>
                <w:lang w:val="en-US"/>
              </w:rPr>
            </w:pPr>
            <w:r>
              <w:rPr>
                <w:rFonts w:hint="eastAsia" w:ascii="宋体" w:hAnsi="宋体"/>
                <w:bCs/>
                <w:kern w:val="2"/>
                <w:sz w:val="24"/>
                <w:szCs w:val="24"/>
                <w:lang w:val="en-US"/>
              </w:rPr>
              <w:t>⑷设置</w:t>
            </w:r>
            <w:r>
              <w:rPr>
                <w:rFonts w:hint="eastAsia" w:hAnsi="宋体"/>
                <w:sz w:val="24"/>
                <w:szCs w:val="24"/>
              </w:rPr>
              <w:t>临时旱厕，施工结束后由当地村民清掏做农肥。</w:t>
            </w:r>
          </w:p>
          <w:p>
            <w:pPr>
              <w:tabs>
                <w:tab w:val="left" w:pos="11"/>
              </w:tabs>
              <w:spacing w:line="360" w:lineRule="auto"/>
              <w:ind w:firstLine="480" w:firstLineChars="200"/>
              <w:rPr>
                <w:sz w:val="24"/>
              </w:rPr>
            </w:pPr>
            <w:r>
              <w:rPr>
                <w:rFonts w:hint="eastAsia"/>
                <w:sz w:val="24"/>
              </w:rPr>
              <w:t>三</w:t>
            </w:r>
            <w:r>
              <w:rPr>
                <w:sz w:val="24"/>
              </w:rPr>
              <w:t>、噪声对环境的影响分析</w:t>
            </w:r>
          </w:p>
          <w:p>
            <w:pPr>
              <w:tabs>
                <w:tab w:val="left" w:pos="11"/>
              </w:tabs>
              <w:spacing w:line="360" w:lineRule="auto"/>
              <w:ind w:firstLine="480" w:firstLineChars="200"/>
              <w:rPr>
                <w:sz w:val="24"/>
                <w:lang w:val="zh-CN"/>
              </w:rPr>
            </w:pPr>
            <w:r>
              <w:rPr>
                <w:sz w:val="24"/>
                <w:lang w:val="zh-CN"/>
              </w:rPr>
              <w:t>工程施工期的主要噪声源有</w:t>
            </w:r>
            <w:r>
              <w:rPr>
                <w:sz w:val="24"/>
              </w:rPr>
              <w:t>振捣机、</w:t>
            </w:r>
            <w:r>
              <w:rPr>
                <w:rFonts w:hint="eastAsia"/>
                <w:sz w:val="24"/>
              </w:rPr>
              <w:t>装载机、</w:t>
            </w:r>
            <w:r>
              <w:rPr>
                <w:sz w:val="24"/>
              </w:rPr>
              <w:t>挖掘机</w:t>
            </w:r>
            <w:r>
              <w:rPr>
                <w:sz w:val="24"/>
                <w:lang w:val="zh-CN"/>
              </w:rPr>
              <w:t>等施工机械设备，噪声级在8</w:t>
            </w:r>
            <w:r>
              <w:rPr>
                <w:rFonts w:hint="eastAsia"/>
                <w:sz w:val="24"/>
                <w:lang w:val="zh-CN"/>
              </w:rPr>
              <w:t>9</w:t>
            </w:r>
            <w:r>
              <w:rPr>
                <w:sz w:val="24"/>
                <w:lang w:val="zh-CN"/>
              </w:rPr>
              <w:t>dB~10</w:t>
            </w:r>
            <w:r>
              <w:rPr>
                <w:rFonts w:hint="eastAsia"/>
                <w:sz w:val="24"/>
                <w:lang w:val="zh-CN"/>
              </w:rPr>
              <w:t>3</w:t>
            </w:r>
            <w:r>
              <w:rPr>
                <w:sz w:val="24"/>
                <w:lang w:val="zh-CN"/>
              </w:rPr>
              <w:t>dB之间。</w:t>
            </w:r>
          </w:p>
          <w:p>
            <w:pPr>
              <w:pStyle w:val="11"/>
              <w:spacing w:line="360" w:lineRule="auto"/>
              <w:ind w:firstLineChars="200"/>
              <w:jc w:val="left"/>
              <w:rPr>
                <w:bCs/>
                <w:kern w:val="2"/>
                <w:sz w:val="24"/>
                <w:szCs w:val="24"/>
                <w:lang w:val="en-US"/>
              </w:rPr>
            </w:pPr>
            <w:r>
              <w:rPr>
                <w:rFonts w:hAnsi="宋体"/>
                <w:bCs/>
                <w:kern w:val="2"/>
                <w:sz w:val="24"/>
                <w:szCs w:val="24"/>
                <w:lang w:val="en-US"/>
              </w:rPr>
              <w:t>上述噪声源可视为点声源，噪声衰减公式如下：</w:t>
            </w:r>
          </w:p>
          <w:p>
            <w:pPr>
              <w:pStyle w:val="11"/>
              <w:spacing w:line="360" w:lineRule="auto"/>
              <w:ind w:firstLine="0"/>
              <w:jc w:val="center"/>
              <w:rPr>
                <w:bCs/>
                <w:kern w:val="2"/>
                <w:sz w:val="24"/>
                <w:lang w:val="en-US"/>
              </w:rPr>
            </w:pPr>
            <w:r>
              <w:rPr>
                <w:bCs/>
                <w:kern w:val="2"/>
                <w:sz w:val="24"/>
                <w:lang w:val="en-US"/>
              </w:rPr>
              <w:object>
                <v:shape id="_x0000_i1027" o:spt="75" type="#_x0000_t75" style="height:37.6pt;width:130.55pt;" o:ole="t" filled="f" o:preferrelative="t" stroked="f" coordsize="21600,21600">
                  <v:path/>
                  <v:fill on="f" focussize="0,0"/>
                  <v:stroke on="f" joinstyle="miter"/>
                  <v:imagedata r:id="rId15" o:title="7009540601390196238937"/>
                  <o:lock v:ext="edit" aspectratio="t"/>
                  <w10:wrap type="none"/>
                  <w10:anchorlock/>
                </v:shape>
                <o:OLEObject Type="Embed" ProgID="Equation.3" ShapeID="_x0000_i1027" DrawAspect="Content" ObjectID="_1468075728" r:id="rId14">
                  <o:LockedField>false</o:LockedField>
                </o:OLEObject>
              </w:object>
            </w:r>
          </w:p>
          <w:p>
            <w:pPr>
              <w:pStyle w:val="11"/>
              <w:spacing w:line="360" w:lineRule="auto"/>
              <w:jc w:val="left"/>
              <w:rPr>
                <w:bCs/>
                <w:kern w:val="2"/>
                <w:sz w:val="24"/>
                <w:lang w:val="en-US"/>
              </w:rPr>
            </w:pPr>
            <w:r>
              <w:rPr>
                <w:rFonts w:hAnsi="宋体"/>
                <w:bCs/>
                <w:kern w:val="2"/>
                <w:sz w:val="24"/>
                <w:lang w:val="en-US"/>
              </w:rPr>
              <w:t>式中：</w:t>
            </w:r>
            <w:r>
              <w:rPr>
                <w:bCs/>
                <w:kern w:val="2"/>
                <w:sz w:val="24"/>
                <w:lang w:val="en-US"/>
              </w:rPr>
              <w:t>L</w:t>
            </w:r>
            <w:r>
              <w:rPr>
                <w:bCs/>
                <w:kern w:val="2"/>
                <w:sz w:val="24"/>
                <w:vertAlign w:val="subscript"/>
                <w:lang w:val="en-US"/>
              </w:rPr>
              <w:t>A</w:t>
            </w:r>
            <w:r>
              <w:rPr>
                <w:bCs/>
                <w:kern w:val="2"/>
                <w:sz w:val="24"/>
                <w:lang w:val="en-US"/>
              </w:rPr>
              <w:t>——</w:t>
            </w:r>
            <w:r>
              <w:rPr>
                <w:rFonts w:hAnsi="宋体"/>
                <w:bCs/>
                <w:kern w:val="2"/>
                <w:sz w:val="24"/>
                <w:lang w:val="en-US"/>
              </w:rPr>
              <w:t>距离声源</w:t>
            </w:r>
            <w:r>
              <w:rPr>
                <w:bCs/>
                <w:kern w:val="2"/>
                <w:sz w:val="24"/>
                <w:lang w:val="en-US"/>
              </w:rPr>
              <w:t>r m</w:t>
            </w:r>
            <w:r>
              <w:rPr>
                <w:rFonts w:hAnsi="宋体"/>
                <w:bCs/>
                <w:kern w:val="2"/>
                <w:sz w:val="24"/>
                <w:lang w:val="en-US"/>
              </w:rPr>
              <w:t>处的施工噪声预测值</w:t>
            </w:r>
            <w:r>
              <w:rPr>
                <w:bCs/>
                <w:kern w:val="2"/>
                <w:sz w:val="24"/>
                <w:lang w:val="en-US"/>
              </w:rPr>
              <w:t>dB</w:t>
            </w:r>
            <w:r>
              <w:rPr>
                <w:rFonts w:hAnsi="宋体"/>
                <w:bCs/>
                <w:kern w:val="2"/>
                <w:sz w:val="24"/>
                <w:lang w:val="en-US"/>
              </w:rPr>
              <w:t>（</w:t>
            </w:r>
            <w:r>
              <w:rPr>
                <w:bCs/>
                <w:kern w:val="2"/>
                <w:sz w:val="24"/>
                <w:lang w:val="en-US"/>
              </w:rPr>
              <w:t>A</w:t>
            </w:r>
            <w:r>
              <w:rPr>
                <w:rFonts w:hAnsi="宋体"/>
                <w:bCs/>
                <w:kern w:val="2"/>
                <w:sz w:val="24"/>
                <w:lang w:val="en-US"/>
              </w:rPr>
              <w:t>）；</w:t>
            </w:r>
          </w:p>
          <w:p>
            <w:pPr>
              <w:pStyle w:val="11"/>
              <w:spacing w:line="360" w:lineRule="auto"/>
              <w:ind w:firstLine="1200" w:firstLineChars="500"/>
              <w:jc w:val="left"/>
              <w:rPr>
                <w:bCs/>
                <w:kern w:val="2"/>
                <w:sz w:val="24"/>
                <w:lang w:val="en-US"/>
              </w:rPr>
            </w:pPr>
            <w:r>
              <w:rPr>
                <w:bCs/>
                <w:kern w:val="2"/>
                <w:sz w:val="24"/>
                <w:lang w:val="en-US"/>
              </w:rPr>
              <w:t>L</w:t>
            </w:r>
            <w:r>
              <w:rPr>
                <w:bCs/>
                <w:kern w:val="2"/>
                <w:sz w:val="24"/>
                <w:vertAlign w:val="subscript"/>
                <w:lang w:val="en-US"/>
              </w:rPr>
              <w:t>0</w:t>
            </w:r>
            <w:r>
              <w:rPr>
                <w:bCs/>
                <w:kern w:val="2"/>
                <w:sz w:val="24"/>
                <w:lang w:val="en-US"/>
              </w:rPr>
              <w:t>——</w:t>
            </w:r>
            <w:r>
              <w:rPr>
                <w:rFonts w:hAnsi="宋体"/>
                <w:bCs/>
                <w:kern w:val="2"/>
                <w:sz w:val="24"/>
                <w:lang w:val="en-US"/>
              </w:rPr>
              <w:t>距离声源</w:t>
            </w:r>
            <w:r>
              <w:rPr>
                <w:bCs/>
                <w:kern w:val="2"/>
                <w:sz w:val="24"/>
                <w:lang w:val="en-US"/>
              </w:rPr>
              <w:t>r</w:t>
            </w:r>
            <w:r>
              <w:rPr>
                <w:bCs/>
                <w:kern w:val="2"/>
                <w:sz w:val="24"/>
                <w:vertAlign w:val="subscript"/>
                <w:lang w:val="en-US"/>
              </w:rPr>
              <w:t>0</w:t>
            </w:r>
            <w:r>
              <w:rPr>
                <w:bCs/>
                <w:kern w:val="2"/>
                <w:sz w:val="24"/>
                <w:lang w:val="en-US"/>
              </w:rPr>
              <w:t xml:space="preserve"> m</w:t>
            </w:r>
            <w:r>
              <w:rPr>
                <w:rFonts w:hAnsi="宋体"/>
                <w:bCs/>
                <w:kern w:val="2"/>
                <w:sz w:val="24"/>
                <w:lang w:val="en-US"/>
              </w:rPr>
              <w:t>处的施工噪声预测值</w:t>
            </w:r>
            <w:r>
              <w:rPr>
                <w:bCs/>
                <w:kern w:val="2"/>
                <w:sz w:val="24"/>
                <w:lang w:val="en-US"/>
              </w:rPr>
              <w:t>dB</w:t>
            </w:r>
            <w:r>
              <w:rPr>
                <w:rFonts w:hAnsi="宋体"/>
                <w:bCs/>
                <w:kern w:val="2"/>
                <w:sz w:val="24"/>
                <w:lang w:val="en-US"/>
              </w:rPr>
              <w:t>（</w:t>
            </w:r>
            <w:r>
              <w:rPr>
                <w:bCs/>
                <w:kern w:val="2"/>
                <w:sz w:val="24"/>
                <w:lang w:val="en-US"/>
              </w:rPr>
              <w:t>A</w:t>
            </w:r>
            <w:r>
              <w:rPr>
                <w:rFonts w:hAnsi="宋体"/>
                <w:bCs/>
                <w:kern w:val="2"/>
                <w:sz w:val="24"/>
                <w:lang w:val="en-US"/>
              </w:rPr>
              <w:t>）。</w:t>
            </w:r>
          </w:p>
          <w:p>
            <w:pPr>
              <w:pStyle w:val="11"/>
              <w:spacing w:line="360" w:lineRule="auto"/>
              <w:jc w:val="left"/>
              <w:rPr>
                <w:rFonts w:ascii="宋体" w:hAnsi="宋体"/>
                <w:bCs/>
                <w:kern w:val="2"/>
                <w:sz w:val="24"/>
                <w:szCs w:val="24"/>
                <w:lang w:val="en-US"/>
              </w:rPr>
            </w:pPr>
            <w:r>
              <w:rPr>
                <w:rFonts w:ascii="宋体" w:hAnsi="宋体"/>
                <w:kern w:val="2"/>
                <w:sz w:val="24"/>
                <w:szCs w:val="24"/>
                <w:lang w:val="en-US"/>
              </w:rPr>
              <w:t>根据上述公式，预</w:t>
            </w:r>
            <w:r>
              <w:rPr>
                <w:rFonts w:hAnsi="宋体"/>
                <w:kern w:val="2"/>
                <w:sz w:val="24"/>
                <w:szCs w:val="24"/>
                <w:lang w:val="en-US"/>
              </w:rPr>
              <w:t>测结果见表</w:t>
            </w:r>
            <w:r>
              <w:rPr>
                <w:rFonts w:hint="eastAsia" w:hAnsi="宋体"/>
                <w:kern w:val="2"/>
                <w:sz w:val="24"/>
                <w:szCs w:val="24"/>
                <w:lang w:val="en-US"/>
              </w:rPr>
              <w:t>35</w:t>
            </w:r>
            <w:r>
              <w:rPr>
                <w:rFonts w:hAnsi="宋体"/>
                <w:kern w:val="2"/>
                <w:sz w:val="24"/>
                <w:szCs w:val="24"/>
                <w:lang w:val="en-US"/>
              </w:rPr>
              <w:t>所示。</w:t>
            </w:r>
          </w:p>
          <w:p>
            <w:pPr>
              <w:jc w:val="center"/>
              <w:rPr>
                <w:rFonts w:hAnsi="宋体"/>
                <w:b/>
              </w:rPr>
            </w:pPr>
            <w:r>
              <w:rPr>
                <w:rFonts w:hAnsi="宋体"/>
                <w:b/>
              </w:rPr>
              <w:t>表3</w:t>
            </w:r>
            <w:r>
              <w:rPr>
                <w:rFonts w:hint="eastAsia" w:hAnsi="宋体"/>
                <w:b/>
              </w:rPr>
              <w:t>5</w:t>
            </w:r>
            <w:r>
              <w:rPr>
                <w:rFonts w:hAnsi="宋体"/>
                <w:b/>
              </w:rPr>
              <w:t xml:space="preserve">  施工机械环境噪声影响预测结果</w:t>
            </w:r>
          </w:p>
          <w:tbl>
            <w:tblPr>
              <w:tblStyle w:val="24"/>
              <w:tblW w:w="906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662"/>
              <w:gridCol w:w="662"/>
              <w:gridCol w:w="661"/>
              <w:gridCol w:w="899"/>
              <w:gridCol w:w="945"/>
              <w:gridCol w:w="850"/>
              <w:gridCol w:w="930"/>
              <w:gridCol w:w="750"/>
              <w:gridCol w:w="784"/>
              <w:gridCol w:w="7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130" w:type="dxa"/>
                  <w:vMerge w:val="restart"/>
                  <w:vAlign w:val="center"/>
                </w:tcPr>
                <w:p>
                  <w:pPr>
                    <w:jc w:val="center"/>
                    <w:rPr>
                      <w:szCs w:val="21"/>
                    </w:rPr>
                  </w:pPr>
                  <w:r>
                    <w:rPr>
                      <w:rFonts w:hAnsi="宋体"/>
                      <w:szCs w:val="21"/>
                    </w:rPr>
                    <w:t>设备名称</w:t>
                  </w:r>
                </w:p>
              </w:tc>
              <w:tc>
                <w:tcPr>
                  <w:tcW w:w="6359" w:type="dxa"/>
                  <w:gridSpan w:val="8"/>
                  <w:vAlign w:val="center"/>
                </w:tcPr>
                <w:p>
                  <w:pPr>
                    <w:jc w:val="center"/>
                    <w:rPr>
                      <w:rFonts w:hAnsi="宋体"/>
                      <w:szCs w:val="21"/>
                    </w:rPr>
                  </w:pPr>
                  <w:r>
                    <w:rPr>
                      <w:rFonts w:hAnsi="宋体"/>
                      <w:szCs w:val="21"/>
                    </w:rPr>
                    <w:t>距施工设备距离及监测噪声值（</w:t>
                  </w:r>
                  <w:r>
                    <w:rPr>
                      <w:szCs w:val="21"/>
                    </w:rPr>
                    <w:t>m</w:t>
                  </w:r>
                  <w:r>
                    <w:rPr>
                      <w:rFonts w:hAnsi="宋体"/>
                      <w:szCs w:val="21"/>
                    </w:rPr>
                    <w:t>）</w:t>
                  </w:r>
                </w:p>
              </w:tc>
              <w:tc>
                <w:tcPr>
                  <w:tcW w:w="1575" w:type="dxa"/>
                  <w:gridSpan w:val="2"/>
                  <w:vAlign w:val="center"/>
                </w:tcPr>
                <w:p>
                  <w:pPr>
                    <w:jc w:val="center"/>
                    <w:rPr>
                      <w:szCs w:val="21"/>
                    </w:rPr>
                  </w:pPr>
                  <w:r>
                    <w:rPr>
                      <w:rFonts w:hAnsi="宋体"/>
                      <w:szCs w:val="21"/>
                    </w:rPr>
                    <w:t>标准值</w:t>
                  </w:r>
                  <w:r>
                    <w:rPr>
                      <w:szCs w:val="21"/>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130" w:type="dxa"/>
                  <w:vMerge w:val="continue"/>
                  <w:vAlign w:val="center"/>
                </w:tcPr>
                <w:p>
                  <w:pPr>
                    <w:rPr>
                      <w:szCs w:val="21"/>
                    </w:rPr>
                  </w:pPr>
                </w:p>
              </w:tc>
              <w:tc>
                <w:tcPr>
                  <w:tcW w:w="662" w:type="dxa"/>
                  <w:vAlign w:val="center"/>
                </w:tcPr>
                <w:p>
                  <w:pPr>
                    <w:jc w:val="center"/>
                    <w:rPr>
                      <w:szCs w:val="21"/>
                    </w:rPr>
                  </w:pPr>
                  <w:r>
                    <w:rPr>
                      <w:szCs w:val="21"/>
                    </w:rPr>
                    <w:t>5</w:t>
                  </w:r>
                </w:p>
              </w:tc>
              <w:tc>
                <w:tcPr>
                  <w:tcW w:w="662" w:type="dxa"/>
                  <w:vAlign w:val="center"/>
                </w:tcPr>
                <w:p>
                  <w:pPr>
                    <w:jc w:val="center"/>
                    <w:rPr>
                      <w:szCs w:val="21"/>
                    </w:rPr>
                  </w:pPr>
                  <w:r>
                    <w:rPr>
                      <w:szCs w:val="21"/>
                    </w:rPr>
                    <w:t>10</w:t>
                  </w:r>
                </w:p>
              </w:tc>
              <w:tc>
                <w:tcPr>
                  <w:tcW w:w="661" w:type="dxa"/>
                  <w:vAlign w:val="center"/>
                </w:tcPr>
                <w:p>
                  <w:pPr>
                    <w:jc w:val="center"/>
                    <w:rPr>
                      <w:szCs w:val="21"/>
                    </w:rPr>
                  </w:pPr>
                  <w:r>
                    <w:rPr>
                      <w:szCs w:val="21"/>
                    </w:rPr>
                    <w:t>40</w:t>
                  </w:r>
                </w:p>
              </w:tc>
              <w:tc>
                <w:tcPr>
                  <w:tcW w:w="899" w:type="dxa"/>
                  <w:vAlign w:val="center"/>
                </w:tcPr>
                <w:p>
                  <w:pPr>
                    <w:jc w:val="center"/>
                    <w:rPr>
                      <w:szCs w:val="21"/>
                    </w:rPr>
                  </w:pPr>
                  <w:r>
                    <w:rPr>
                      <w:szCs w:val="21"/>
                    </w:rPr>
                    <w:t>80</w:t>
                  </w:r>
                </w:p>
              </w:tc>
              <w:tc>
                <w:tcPr>
                  <w:tcW w:w="945" w:type="dxa"/>
                  <w:vAlign w:val="center"/>
                </w:tcPr>
                <w:p>
                  <w:pPr>
                    <w:jc w:val="center"/>
                    <w:rPr>
                      <w:szCs w:val="21"/>
                    </w:rPr>
                  </w:pPr>
                  <w:r>
                    <w:rPr>
                      <w:szCs w:val="21"/>
                    </w:rPr>
                    <w:t>100</w:t>
                  </w:r>
                </w:p>
              </w:tc>
              <w:tc>
                <w:tcPr>
                  <w:tcW w:w="850" w:type="dxa"/>
                  <w:vAlign w:val="center"/>
                </w:tcPr>
                <w:p>
                  <w:pPr>
                    <w:jc w:val="center"/>
                    <w:rPr>
                      <w:szCs w:val="21"/>
                    </w:rPr>
                  </w:pPr>
                  <w:r>
                    <w:rPr>
                      <w:szCs w:val="21"/>
                    </w:rPr>
                    <w:t>2</w:t>
                  </w:r>
                  <w:r>
                    <w:rPr>
                      <w:rFonts w:hint="eastAsia"/>
                      <w:szCs w:val="21"/>
                    </w:rPr>
                    <w:t>00</w:t>
                  </w:r>
                </w:p>
              </w:tc>
              <w:tc>
                <w:tcPr>
                  <w:tcW w:w="930" w:type="dxa"/>
                  <w:vAlign w:val="center"/>
                </w:tcPr>
                <w:p>
                  <w:pPr>
                    <w:widowControl/>
                    <w:jc w:val="center"/>
                    <w:rPr>
                      <w:szCs w:val="21"/>
                    </w:rPr>
                  </w:pPr>
                  <w:r>
                    <w:rPr>
                      <w:rFonts w:hint="eastAsia"/>
                      <w:szCs w:val="21"/>
                    </w:rPr>
                    <w:t>280</w:t>
                  </w:r>
                </w:p>
              </w:tc>
              <w:tc>
                <w:tcPr>
                  <w:tcW w:w="750" w:type="dxa"/>
                </w:tcPr>
                <w:p>
                  <w:pPr>
                    <w:jc w:val="center"/>
                    <w:rPr>
                      <w:rFonts w:hAnsi="宋体"/>
                      <w:szCs w:val="21"/>
                    </w:rPr>
                  </w:pPr>
                  <w:r>
                    <w:rPr>
                      <w:rFonts w:hint="eastAsia" w:hAnsi="宋体"/>
                      <w:szCs w:val="21"/>
                    </w:rPr>
                    <w:t>500</w:t>
                  </w:r>
                </w:p>
              </w:tc>
              <w:tc>
                <w:tcPr>
                  <w:tcW w:w="784" w:type="dxa"/>
                  <w:vAlign w:val="center"/>
                </w:tcPr>
                <w:p>
                  <w:pPr>
                    <w:jc w:val="center"/>
                    <w:rPr>
                      <w:szCs w:val="21"/>
                    </w:rPr>
                  </w:pPr>
                  <w:r>
                    <w:rPr>
                      <w:rFonts w:hAnsi="宋体"/>
                      <w:szCs w:val="21"/>
                    </w:rPr>
                    <w:t>昼间</w:t>
                  </w:r>
                </w:p>
              </w:tc>
              <w:tc>
                <w:tcPr>
                  <w:tcW w:w="791" w:type="dxa"/>
                  <w:vAlign w:val="center"/>
                </w:tcPr>
                <w:p>
                  <w:pPr>
                    <w:widowControl/>
                    <w:jc w:val="center"/>
                    <w:rPr>
                      <w:szCs w:val="21"/>
                    </w:rPr>
                  </w:pPr>
                  <w:r>
                    <w:rPr>
                      <w:rFonts w:hAnsi="宋体"/>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130" w:type="dxa"/>
                  <w:vAlign w:val="center"/>
                </w:tcPr>
                <w:p>
                  <w:pPr>
                    <w:pStyle w:val="11"/>
                    <w:spacing w:line="280" w:lineRule="exact"/>
                    <w:ind w:firstLine="0"/>
                    <w:jc w:val="center"/>
                    <w:rPr>
                      <w:kern w:val="2"/>
                      <w:sz w:val="21"/>
                      <w:szCs w:val="21"/>
                      <w:lang w:val="en-US"/>
                    </w:rPr>
                  </w:pPr>
                  <w:r>
                    <w:rPr>
                      <w:rFonts w:hAnsi="宋体"/>
                      <w:kern w:val="2"/>
                      <w:sz w:val="21"/>
                      <w:szCs w:val="21"/>
                      <w:lang w:val="en-US"/>
                    </w:rPr>
                    <w:t>装载机</w:t>
                  </w:r>
                </w:p>
              </w:tc>
              <w:tc>
                <w:tcPr>
                  <w:tcW w:w="662" w:type="dxa"/>
                  <w:vAlign w:val="center"/>
                </w:tcPr>
                <w:p>
                  <w:pPr>
                    <w:jc w:val="center"/>
                    <w:rPr>
                      <w:szCs w:val="21"/>
                    </w:rPr>
                  </w:pPr>
                  <w:r>
                    <w:rPr>
                      <w:szCs w:val="21"/>
                    </w:rPr>
                    <w:t>8</w:t>
                  </w:r>
                  <w:r>
                    <w:rPr>
                      <w:rFonts w:hint="eastAsia"/>
                      <w:szCs w:val="21"/>
                    </w:rPr>
                    <w:t>7</w:t>
                  </w:r>
                </w:p>
              </w:tc>
              <w:tc>
                <w:tcPr>
                  <w:tcW w:w="662" w:type="dxa"/>
                  <w:vAlign w:val="center"/>
                </w:tcPr>
                <w:p>
                  <w:pPr>
                    <w:jc w:val="center"/>
                    <w:rPr>
                      <w:szCs w:val="21"/>
                    </w:rPr>
                  </w:pPr>
                  <w:r>
                    <w:rPr>
                      <w:rFonts w:hint="eastAsia"/>
                      <w:szCs w:val="21"/>
                    </w:rPr>
                    <w:t>81</w:t>
                  </w:r>
                </w:p>
              </w:tc>
              <w:tc>
                <w:tcPr>
                  <w:tcW w:w="661" w:type="dxa"/>
                  <w:vAlign w:val="center"/>
                </w:tcPr>
                <w:p>
                  <w:pPr>
                    <w:jc w:val="center"/>
                    <w:rPr>
                      <w:szCs w:val="21"/>
                    </w:rPr>
                  </w:pPr>
                  <w:r>
                    <w:rPr>
                      <w:rFonts w:hint="eastAsia"/>
                      <w:szCs w:val="21"/>
                    </w:rPr>
                    <w:t>69</w:t>
                  </w:r>
                </w:p>
              </w:tc>
              <w:tc>
                <w:tcPr>
                  <w:tcW w:w="899" w:type="dxa"/>
                  <w:vAlign w:val="center"/>
                </w:tcPr>
                <w:p>
                  <w:pPr>
                    <w:jc w:val="center"/>
                    <w:rPr>
                      <w:szCs w:val="21"/>
                    </w:rPr>
                  </w:pPr>
                  <w:r>
                    <w:rPr>
                      <w:rFonts w:hint="eastAsia"/>
                      <w:szCs w:val="21"/>
                    </w:rPr>
                    <w:t>63</w:t>
                  </w:r>
                </w:p>
              </w:tc>
              <w:tc>
                <w:tcPr>
                  <w:tcW w:w="945" w:type="dxa"/>
                  <w:vAlign w:val="center"/>
                </w:tcPr>
                <w:p>
                  <w:pPr>
                    <w:jc w:val="center"/>
                    <w:rPr>
                      <w:szCs w:val="21"/>
                    </w:rPr>
                  </w:pPr>
                  <w:r>
                    <w:rPr>
                      <w:rFonts w:hint="eastAsia"/>
                      <w:szCs w:val="21"/>
                    </w:rPr>
                    <w:t>61</w:t>
                  </w:r>
                </w:p>
              </w:tc>
              <w:tc>
                <w:tcPr>
                  <w:tcW w:w="850" w:type="dxa"/>
                  <w:vAlign w:val="center"/>
                </w:tcPr>
                <w:p>
                  <w:pPr>
                    <w:jc w:val="center"/>
                    <w:rPr>
                      <w:szCs w:val="21"/>
                    </w:rPr>
                  </w:pPr>
                  <w:r>
                    <w:rPr>
                      <w:rFonts w:hint="eastAsia"/>
                      <w:szCs w:val="21"/>
                    </w:rPr>
                    <w:t>55</w:t>
                  </w:r>
                </w:p>
              </w:tc>
              <w:tc>
                <w:tcPr>
                  <w:tcW w:w="930" w:type="dxa"/>
                  <w:vAlign w:val="center"/>
                </w:tcPr>
                <w:p>
                  <w:pPr>
                    <w:jc w:val="center"/>
                    <w:rPr>
                      <w:szCs w:val="21"/>
                    </w:rPr>
                  </w:pPr>
                  <w:r>
                    <w:rPr>
                      <w:rFonts w:hint="eastAsia"/>
                      <w:szCs w:val="21"/>
                    </w:rPr>
                    <w:t>52</w:t>
                  </w:r>
                </w:p>
              </w:tc>
              <w:tc>
                <w:tcPr>
                  <w:tcW w:w="750" w:type="dxa"/>
                </w:tcPr>
                <w:p>
                  <w:pPr>
                    <w:widowControl/>
                    <w:jc w:val="center"/>
                    <w:rPr>
                      <w:b/>
                      <w:szCs w:val="21"/>
                    </w:rPr>
                  </w:pPr>
                  <w:r>
                    <w:rPr>
                      <w:rFonts w:hint="eastAsia"/>
                      <w:b/>
                      <w:szCs w:val="21"/>
                    </w:rPr>
                    <w:t>47</w:t>
                  </w:r>
                </w:p>
              </w:tc>
              <w:tc>
                <w:tcPr>
                  <w:tcW w:w="784" w:type="dxa"/>
                  <w:vMerge w:val="restart"/>
                  <w:vAlign w:val="center"/>
                </w:tcPr>
                <w:p>
                  <w:pPr>
                    <w:widowControl/>
                    <w:jc w:val="center"/>
                    <w:rPr>
                      <w:b/>
                      <w:szCs w:val="21"/>
                    </w:rPr>
                  </w:pPr>
                </w:p>
              </w:tc>
              <w:tc>
                <w:tcPr>
                  <w:tcW w:w="791" w:type="dxa"/>
                  <w:vMerge w:val="restart"/>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130" w:type="dxa"/>
                  <w:vAlign w:val="center"/>
                </w:tcPr>
                <w:p>
                  <w:pPr>
                    <w:pStyle w:val="11"/>
                    <w:spacing w:line="280" w:lineRule="exact"/>
                    <w:ind w:firstLine="0"/>
                    <w:jc w:val="center"/>
                    <w:rPr>
                      <w:kern w:val="2"/>
                      <w:sz w:val="21"/>
                      <w:szCs w:val="21"/>
                      <w:lang w:val="en-US"/>
                    </w:rPr>
                  </w:pPr>
                  <w:r>
                    <w:rPr>
                      <w:rFonts w:hAnsi="宋体"/>
                      <w:kern w:val="2"/>
                      <w:sz w:val="21"/>
                      <w:szCs w:val="21"/>
                      <w:lang w:val="en-US"/>
                    </w:rPr>
                    <w:t>挖掘机</w:t>
                  </w:r>
                </w:p>
              </w:tc>
              <w:tc>
                <w:tcPr>
                  <w:tcW w:w="662" w:type="dxa"/>
                  <w:vAlign w:val="center"/>
                </w:tcPr>
                <w:p>
                  <w:pPr>
                    <w:jc w:val="center"/>
                    <w:rPr>
                      <w:szCs w:val="21"/>
                    </w:rPr>
                  </w:pPr>
                  <w:r>
                    <w:rPr>
                      <w:szCs w:val="21"/>
                    </w:rPr>
                    <w:t>90</w:t>
                  </w:r>
                </w:p>
              </w:tc>
              <w:tc>
                <w:tcPr>
                  <w:tcW w:w="662" w:type="dxa"/>
                  <w:vAlign w:val="center"/>
                </w:tcPr>
                <w:p>
                  <w:pPr>
                    <w:jc w:val="center"/>
                    <w:rPr>
                      <w:szCs w:val="21"/>
                    </w:rPr>
                  </w:pPr>
                  <w:r>
                    <w:rPr>
                      <w:szCs w:val="21"/>
                    </w:rPr>
                    <w:t>84</w:t>
                  </w:r>
                </w:p>
              </w:tc>
              <w:tc>
                <w:tcPr>
                  <w:tcW w:w="661" w:type="dxa"/>
                  <w:vAlign w:val="center"/>
                </w:tcPr>
                <w:p>
                  <w:pPr>
                    <w:jc w:val="center"/>
                    <w:rPr>
                      <w:szCs w:val="21"/>
                    </w:rPr>
                  </w:pPr>
                  <w:r>
                    <w:rPr>
                      <w:rFonts w:hint="eastAsia"/>
                      <w:szCs w:val="21"/>
                    </w:rPr>
                    <w:t>71</w:t>
                  </w:r>
                </w:p>
              </w:tc>
              <w:tc>
                <w:tcPr>
                  <w:tcW w:w="899" w:type="dxa"/>
                  <w:vAlign w:val="center"/>
                </w:tcPr>
                <w:p>
                  <w:pPr>
                    <w:jc w:val="center"/>
                    <w:rPr>
                      <w:szCs w:val="21"/>
                    </w:rPr>
                  </w:pPr>
                  <w:r>
                    <w:rPr>
                      <w:rFonts w:hint="eastAsia"/>
                      <w:szCs w:val="21"/>
                    </w:rPr>
                    <w:t>65</w:t>
                  </w:r>
                </w:p>
              </w:tc>
              <w:tc>
                <w:tcPr>
                  <w:tcW w:w="945" w:type="dxa"/>
                  <w:vAlign w:val="center"/>
                </w:tcPr>
                <w:p>
                  <w:pPr>
                    <w:jc w:val="center"/>
                    <w:rPr>
                      <w:szCs w:val="21"/>
                    </w:rPr>
                  </w:pPr>
                  <w:r>
                    <w:rPr>
                      <w:rFonts w:hint="eastAsia"/>
                      <w:szCs w:val="21"/>
                    </w:rPr>
                    <w:t>64</w:t>
                  </w:r>
                </w:p>
              </w:tc>
              <w:tc>
                <w:tcPr>
                  <w:tcW w:w="850" w:type="dxa"/>
                  <w:vAlign w:val="center"/>
                </w:tcPr>
                <w:p>
                  <w:pPr>
                    <w:jc w:val="center"/>
                    <w:rPr>
                      <w:szCs w:val="21"/>
                    </w:rPr>
                  </w:pPr>
                  <w:r>
                    <w:rPr>
                      <w:rFonts w:hint="eastAsia"/>
                      <w:szCs w:val="21"/>
                    </w:rPr>
                    <w:t>57</w:t>
                  </w:r>
                </w:p>
              </w:tc>
              <w:tc>
                <w:tcPr>
                  <w:tcW w:w="930" w:type="dxa"/>
                  <w:vAlign w:val="center"/>
                </w:tcPr>
                <w:p>
                  <w:pPr>
                    <w:jc w:val="center"/>
                    <w:rPr>
                      <w:szCs w:val="21"/>
                    </w:rPr>
                  </w:pPr>
                  <w:r>
                    <w:rPr>
                      <w:rFonts w:hint="eastAsia"/>
                      <w:szCs w:val="21"/>
                    </w:rPr>
                    <w:t>55</w:t>
                  </w:r>
                </w:p>
              </w:tc>
              <w:tc>
                <w:tcPr>
                  <w:tcW w:w="750" w:type="dxa"/>
                </w:tcPr>
                <w:p>
                  <w:pPr>
                    <w:widowControl/>
                    <w:jc w:val="center"/>
                    <w:rPr>
                      <w:szCs w:val="21"/>
                    </w:rPr>
                  </w:pPr>
                  <w:r>
                    <w:rPr>
                      <w:rFonts w:hint="eastAsia"/>
                      <w:szCs w:val="21"/>
                    </w:rPr>
                    <w:t>50</w:t>
                  </w:r>
                </w:p>
              </w:tc>
              <w:tc>
                <w:tcPr>
                  <w:tcW w:w="784" w:type="dxa"/>
                  <w:vMerge w:val="continue"/>
                  <w:vAlign w:val="center"/>
                </w:tcPr>
                <w:p>
                  <w:pPr>
                    <w:widowControl/>
                    <w:jc w:val="center"/>
                    <w:rPr>
                      <w:szCs w:val="21"/>
                    </w:rPr>
                  </w:pPr>
                </w:p>
              </w:tc>
              <w:tc>
                <w:tcPr>
                  <w:tcW w:w="791"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130" w:type="dxa"/>
                  <w:vAlign w:val="center"/>
                </w:tcPr>
                <w:p>
                  <w:pPr>
                    <w:spacing w:line="280" w:lineRule="exact"/>
                    <w:jc w:val="center"/>
                    <w:rPr>
                      <w:szCs w:val="21"/>
                    </w:rPr>
                  </w:pPr>
                  <w:r>
                    <w:rPr>
                      <w:rFonts w:hAnsi="宋体"/>
                      <w:szCs w:val="21"/>
                    </w:rPr>
                    <w:t>振捣</w:t>
                  </w:r>
                  <w:r>
                    <w:rPr>
                      <w:rFonts w:hint="eastAsia" w:hAnsi="宋体"/>
                      <w:szCs w:val="21"/>
                    </w:rPr>
                    <w:t>机</w:t>
                  </w:r>
                </w:p>
              </w:tc>
              <w:tc>
                <w:tcPr>
                  <w:tcW w:w="662" w:type="dxa"/>
                  <w:vAlign w:val="center"/>
                </w:tcPr>
                <w:p>
                  <w:pPr>
                    <w:jc w:val="center"/>
                    <w:rPr>
                      <w:szCs w:val="21"/>
                    </w:rPr>
                  </w:pPr>
                  <w:r>
                    <w:rPr>
                      <w:rFonts w:hint="eastAsia"/>
                      <w:szCs w:val="21"/>
                    </w:rPr>
                    <w:t>9</w:t>
                  </w:r>
                  <w:r>
                    <w:rPr>
                      <w:szCs w:val="21"/>
                    </w:rPr>
                    <w:t>5</w:t>
                  </w:r>
                </w:p>
              </w:tc>
              <w:tc>
                <w:tcPr>
                  <w:tcW w:w="662" w:type="dxa"/>
                  <w:vAlign w:val="center"/>
                </w:tcPr>
                <w:p>
                  <w:pPr>
                    <w:jc w:val="center"/>
                    <w:rPr>
                      <w:szCs w:val="21"/>
                    </w:rPr>
                  </w:pPr>
                  <w:r>
                    <w:rPr>
                      <w:szCs w:val="21"/>
                    </w:rPr>
                    <w:t>89</w:t>
                  </w:r>
                </w:p>
              </w:tc>
              <w:tc>
                <w:tcPr>
                  <w:tcW w:w="661" w:type="dxa"/>
                  <w:vAlign w:val="center"/>
                </w:tcPr>
                <w:p>
                  <w:pPr>
                    <w:jc w:val="center"/>
                    <w:rPr>
                      <w:szCs w:val="21"/>
                    </w:rPr>
                  </w:pPr>
                  <w:r>
                    <w:rPr>
                      <w:szCs w:val="21"/>
                    </w:rPr>
                    <w:t>77</w:t>
                  </w:r>
                </w:p>
              </w:tc>
              <w:tc>
                <w:tcPr>
                  <w:tcW w:w="899" w:type="dxa"/>
                  <w:vAlign w:val="center"/>
                </w:tcPr>
                <w:p>
                  <w:pPr>
                    <w:jc w:val="center"/>
                    <w:rPr>
                      <w:szCs w:val="21"/>
                    </w:rPr>
                  </w:pPr>
                  <w:r>
                    <w:rPr>
                      <w:rFonts w:hint="eastAsia"/>
                      <w:szCs w:val="21"/>
                    </w:rPr>
                    <w:t>7</w:t>
                  </w:r>
                  <w:r>
                    <w:rPr>
                      <w:szCs w:val="21"/>
                    </w:rPr>
                    <w:t>1</w:t>
                  </w:r>
                </w:p>
              </w:tc>
              <w:tc>
                <w:tcPr>
                  <w:tcW w:w="945" w:type="dxa"/>
                  <w:vAlign w:val="center"/>
                </w:tcPr>
                <w:p>
                  <w:pPr>
                    <w:jc w:val="center"/>
                    <w:rPr>
                      <w:szCs w:val="21"/>
                    </w:rPr>
                  </w:pPr>
                  <w:r>
                    <w:rPr>
                      <w:rFonts w:hint="eastAsia"/>
                      <w:szCs w:val="21"/>
                    </w:rPr>
                    <w:t>6</w:t>
                  </w:r>
                  <w:r>
                    <w:rPr>
                      <w:szCs w:val="21"/>
                    </w:rPr>
                    <w:t>9</w:t>
                  </w:r>
                </w:p>
              </w:tc>
              <w:tc>
                <w:tcPr>
                  <w:tcW w:w="850" w:type="dxa"/>
                  <w:vAlign w:val="center"/>
                </w:tcPr>
                <w:p>
                  <w:pPr>
                    <w:jc w:val="center"/>
                    <w:rPr>
                      <w:szCs w:val="21"/>
                    </w:rPr>
                  </w:pPr>
                  <w:r>
                    <w:rPr>
                      <w:szCs w:val="21"/>
                    </w:rPr>
                    <w:t>6</w:t>
                  </w:r>
                  <w:r>
                    <w:rPr>
                      <w:rFonts w:hint="eastAsia"/>
                      <w:szCs w:val="21"/>
                    </w:rPr>
                    <w:t>3</w:t>
                  </w:r>
                </w:p>
              </w:tc>
              <w:tc>
                <w:tcPr>
                  <w:tcW w:w="930" w:type="dxa"/>
                  <w:vAlign w:val="center"/>
                </w:tcPr>
                <w:p>
                  <w:pPr>
                    <w:jc w:val="center"/>
                    <w:rPr>
                      <w:szCs w:val="21"/>
                    </w:rPr>
                  </w:pPr>
                  <w:r>
                    <w:rPr>
                      <w:rFonts w:hint="eastAsia"/>
                      <w:szCs w:val="21"/>
                    </w:rPr>
                    <w:t>60</w:t>
                  </w:r>
                </w:p>
              </w:tc>
              <w:tc>
                <w:tcPr>
                  <w:tcW w:w="750" w:type="dxa"/>
                </w:tcPr>
                <w:p>
                  <w:pPr>
                    <w:widowControl/>
                    <w:jc w:val="center"/>
                    <w:rPr>
                      <w:szCs w:val="21"/>
                    </w:rPr>
                  </w:pPr>
                  <w:r>
                    <w:rPr>
                      <w:rFonts w:hint="eastAsia"/>
                      <w:szCs w:val="21"/>
                    </w:rPr>
                    <w:t>55</w:t>
                  </w:r>
                </w:p>
              </w:tc>
              <w:tc>
                <w:tcPr>
                  <w:tcW w:w="784" w:type="dxa"/>
                  <w:vMerge w:val="continue"/>
                  <w:vAlign w:val="center"/>
                </w:tcPr>
                <w:p>
                  <w:pPr>
                    <w:widowControl/>
                    <w:jc w:val="center"/>
                    <w:rPr>
                      <w:szCs w:val="21"/>
                    </w:rPr>
                  </w:pPr>
                </w:p>
              </w:tc>
              <w:tc>
                <w:tcPr>
                  <w:tcW w:w="791" w:type="dxa"/>
                  <w:vMerge w:val="continue"/>
                  <w:vAlign w:val="center"/>
                </w:tcPr>
                <w:p>
                  <w:pPr>
                    <w:jc w:val="center"/>
                    <w:rPr>
                      <w:szCs w:val="21"/>
                    </w:rPr>
                  </w:pPr>
                </w:p>
              </w:tc>
            </w:tr>
          </w:tbl>
          <w:p>
            <w:pPr>
              <w:spacing w:line="360" w:lineRule="auto"/>
              <w:ind w:firstLine="480" w:firstLineChars="200"/>
              <w:rPr>
                <w:rFonts w:hAnsi="宋体"/>
                <w:sz w:val="24"/>
                <w:szCs w:val="24"/>
              </w:rPr>
            </w:pPr>
            <w:r>
              <w:rPr>
                <w:rFonts w:hAnsi="宋体"/>
                <w:bCs/>
                <w:sz w:val="24"/>
                <w:szCs w:val="24"/>
              </w:rPr>
              <w:t>由表</w:t>
            </w:r>
            <w:r>
              <w:rPr>
                <w:rFonts w:hint="eastAsia"/>
                <w:bCs/>
                <w:sz w:val="24"/>
                <w:szCs w:val="24"/>
              </w:rPr>
              <w:t>28</w:t>
            </w:r>
            <w:r>
              <w:rPr>
                <w:rFonts w:hAnsi="宋体"/>
                <w:bCs/>
                <w:sz w:val="24"/>
                <w:szCs w:val="24"/>
              </w:rPr>
              <w:t>可知，施工机械噪声在无遮挡情况下，如果使用单台机械，对环境的影响范围为昼间</w:t>
            </w:r>
            <w:r>
              <w:rPr>
                <w:bCs/>
                <w:sz w:val="24"/>
                <w:szCs w:val="24"/>
              </w:rPr>
              <w:t>80m</w:t>
            </w:r>
            <w:r>
              <w:rPr>
                <w:rFonts w:hAnsi="宋体"/>
                <w:bCs/>
                <w:sz w:val="24"/>
                <w:szCs w:val="24"/>
              </w:rPr>
              <w:t>，夜间</w:t>
            </w:r>
            <w:r>
              <w:rPr>
                <w:rFonts w:hint="eastAsia"/>
                <w:bCs/>
                <w:sz w:val="24"/>
                <w:szCs w:val="24"/>
              </w:rPr>
              <w:t>500</w:t>
            </w:r>
            <w:r>
              <w:rPr>
                <w:bCs/>
                <w:sz w:val="24"/>
                <w:szCs w:val="24"/>
              </w:rPr>
              <w:t>m</w:t>
            </w:r>
            <w:r>
              <w:rPr>
                <w:rFonts w:hAnsi="宋体"/>
                <w:sz w:val="24"/>
                <w:szCs w:val="24"/>
              </w:rPr>
              <w:t>。</w:t>
            </w:r>
          </w:p>
          <w:p>
            <w:pPr>
              <w:spacing w:line="360" w:lineRule="auto"/>
              <w:ind w:firstLine="480" w:firstLineChars="200"/>
              <w:rPr>
                <w:sz w:val="24"/>
                <w:szCs w:val="24"/>
              </w:rPr>
            </w:pPr>
            <w:r>
              <w:rPr>
                <w:rFonts w:hint="eastAsia" w:hAnsi="宋体"/>
                <w:sz w:val="24"/>
                <w:szCs w:val="24"/>
              </w:rPr>
              <w:t>本项目最近居民蚕姑沟村距离项目厂区10m，</w:t>
            </w:r>
            <w:r>
              <w:rPr>
                <w:sz w:val="24"/>
              </w:rPr>
              <w:t>故</w:t>
            </w:r>
            <w:r>
              <w:rPr>
                <w:rFonts w:hint="eastAsia"/>
                <w:sz w:val="24"/>
              </w:rPr>
              <w:t>本项目</w:t>
            </w:r>
            <w:r>
              <w:rPr>
                <w:sz w:val="24"/>
              </w:rPr>
              <w:t>禁止夜间施工、严格控制高噪声设备</w:t>
            </w:r>
            <w:r>
              <w:rPr>
                <w:rFonts w:hint="eastAsia"/>
                <w:sz w:val="24"/>
              </w:rPr>
              <w:t>同时</w:t>
            </w:r>
            <w:r>
              <w:rPr>
                <w:sz w:val="24"/>
              </w:rPr>
              <w:t>运行</w:t>
            </w:r>
            <w:r>
              <w:rPr>
                <w:rFonts w:hint="eastAsia"/>
                <w:sz w:val="24"/>
              </w:rPr>
              <w:t>，施工厂界</w:t>
            </w:r>
            <w:r>
              <w:rPr>
                <w:sz w:val="24"/>
              </w:rPr>
              <w:t>四周应设施工围栏或先期建设厂界围墙、合理布置施工场地。</w:t>
            </w:r>
            <w:r>
              <w:rPr>
                <w:rFonts w:hAnsi="宋体"/>
                <w:bCs/>
                <w:sz w:val="24"/>
              </w:rPr>
              <w:t>随着施工期的结束，施工噪声的影响随即终止。</w:t>
            </w:r>
          </w:p>
          <w:p>
            <w:pPr>
              <w:pStyle w:val="11"/>
              <w:spacing w:line="360" w:lineRule="auto"/>
              <w:ind w:firstLineChars="200"/>
              <w:rPr>
                <w:bCs/>
                <w:kern w:val="2"/>
                <w:sz w:val="24"/>
                <w:lang w:val="en-US"/>
              </w:rPr>
            </w:pPr>
            <w:r>
              <w:rPr>
                <w:rFonts w:hAnsi="宋体"/>
                <w:bCs/>
                <w:kern w:val="2"/>
                <w:sz w:val="24"/>
                <w:lang w:val="en-US"/>
              </w:rPr>
              <w:t>为了进一步降低</w:t>
            </w:r>
            <w:r>
              <w:rPr>
                <w:rFonts w:hAnsi="宋体"/>
                <w:bCs/>
                <w:kern w:val="2"/>
                <w:sz w:val="24"/>
                <w:szCs w:val="24"/>
                <w:lang w:val="en-US"/>
              </w:rPr>
              <w:t>施工期噪声对周围居民的影响，</w:t>
            </w:r>
            <w:r>
              <w:rPr>
                <w:rFonts w:hAnsi="宋体"/>
                <w:bCs/>
                <w:kern w:val="2"/>
                <w:sz w:val="24"/>
                <w:lang w:val="en-US"/>
              </w:rPr>
              <w:t>评价要求建设单位采取如下噪声治理措施：</w:t>
            </w:r>
          </w:p>
          <w:p>
            <w:pPr>
              <w:pStyle w:val="11"/>
              <w:spacing w:line="360" w:lineRule="auto"/>
              <w:ind w:firstLineChars="200"/>
              <w:rPr>
                <w:bCs/>
                <w:kern w:val="2"/>
                <w:sz w:val="24"/>
                <w:lang w:val="en-US"/>
              </w:rPr>
            </w:pPr>
            <w:r>
              <w:rPr>
                <w:rFonts w:ascii="宋体" w:hAnsi="宋体"/>
                <w:bCs/>
                <w:kern w:val="2"/>
                <w:sz w:val="24"/>
                <w:lang w:val="en-US"/>
              </w:rPr>
              <w:t>⑴</w:t>
            </w:r>
            <w:r>
              <w:rPr>
                <w:rFonts w:hAnsi="宋体"/>
                <w:bCs/>
                <w:kern w:val="2"/>
                <w:sz w:val="24"/>
                <w:lang w:val="en-US"/>
              </w:rPr>
              <w:t>施工单位必须采取必要措施降低施工噪声的影响，应协调好与周边群众的关系，通过公告告知公众施工内容、施工安排、噪声影响的范围和程度等。</w:t>
            </w:r>
          </w:p>
          <w:p>
            <w:pPr>
              <w:pStyle w:val="11"/>
              <w:spacing w:line="360" w:lineRule="auto"/>
              <w:ind w:firstLineChars="200"/>
              <w:rPr>
                <w:bCs/>
                <w:kern w:val="2"/>
                <w:sz w:val="24"/>
                <w:lang w:val="en-US"/>
              </w:rPr>
            </w:pPr>
            <w:r>
              <w:rPr>
                <w:rFonts w:ascii="宋体" w:hAnsi="宋体"/>
                <w:bCs/>
                <w:kern w:val="2"/>
                <w:sz w:val="24"/>
                <w:lang w:val="en-US"/>
              </w:rPr>
              <w:t>⑵</w:t>
            </w:r>
            <w:r>
              <w:rPr>
                <w:rFonts w:hAnsi="宋体"/>
                <w:bCs/>
                <w:kern w:val="2"/>
                <w:sz w:val="24"/>
                <w:lang w:val="en-US"/>
              </w:rPr>
              <w:t>严格按照国家和地方环境保护法律法规要求，采取各种有效措施，把施工场地场界噪声控制在《建筑施工场界环境噪声排放标准》（</w:t>
            </w:r>
            <w:r>
              <w:rPr>
                <w:bCs/>
                <w:kern w:val="2"/>
                <w:sz w:val="24"/>
                <w:lang w:val="en-US"/>
              </w:rPr>
              <w:t>GB12523-2011</w:t>
            </w:r>
            <w:r>
              <w:rPr>
                <w:rFonts w:hAnsi="宋体"/>
                <w:bCs/>
                <w:kern w:val="2"/>
                <w:sz w:val="24"/>
                <w:lang w:val="en-US"/>
              </w:rPr>
              <w:t>）的指标要求范围内。</w:t>
            </w:r>
          </w:p>
          <w:p>
            <w:pPr>
              <w:pStyle w:val="11"/>
              <w:spacing w:line="360" w:lineRule="auto"/>
              <w:ind w:firstLineChars="200"/>
              <w:rPr>
                <w:bCs/>
                <w:kern w:val="2"/>
                <w:sz w:val="24"/>
                <w:lang w:val="en-US"/>
              </w:rPr>
            </w:pPr>
            <w:r>
              <w:rPr>
                <w:rFonts w:ascii="宋体" w:hAnsi="宋体"/>
                <w:bCs/>
                <w:kern w:val="2"/>
                <w:sz w:val="24"/>
                <w:lang w:val="en-US"/>
              </w:rPr>
              <w:t>⑶</w:t>
            </w:r>
            <w:r>
              <w:rPr>
                <w:rFonts w:hAnsi="宋体"/>
                <w:bCs/>
                <w:kern w:val="2"/>
                <w:sz w:val="24"/>
                <w:lang w:val="en-US"/>
              </w:rPr>
              <w:t>合理布置施工场地，安排施工方式，在施工总平面布置时，将高噪声设备布置在</w:t>
            </w:r>
            <w:r>
              <w:rPr>
                <w:rFonts w:hint="eastAsia" w:hAnsi="宋体"/>
                <w:bCs/>
                <w:kern w:val="2"/>
                <w:sz w:val="24"/>
                <w:lang w:val="en-US"/>
              </w:rPr>
              <w:t>远离周围</w:t>
            </w:r>
            <w:r>
              <w:rPr>
                <w:rFonts w:hint="eastAsia"/>
                <w:bCs/>
                <w:kern w:val="2"/>
                <w:sz w:val="24"/>
                <w:lang w:val="en-US"/>
              </w:rPr>
              <w:t>敏感点的位置</w:t>
            </w:r>
            <w:r>
              <w:rPr>
                <w:rFonts w:hAnsi="宋体"/>
                <w:bCs/>
                <w:kern w:val="2"/>
                <w:sz w:val="24"/>
                <w:lang w:val="en-US"/>
              </w:rPr>
              <w:t>，以减小环境噪声污染。</w:t>
            </w:r>
          </w:p>
          <w:p>
            <w:pPr>
              <w:pStyle w:val="11"/>
              <w:spacing w:line="360" w:lineRule="auto"/>
              <w:ind w:firstLineChars="200"/>
              <w:rPr>
                <w:bCs/>
                <w:kern w:val="2"/>
                <w:sz w:val="24"/>
                <w:lang w:val="en-US"/>
              </w:rPr>
            </w:pPr>
            <w:r>
              <w:rPr>
                <w:rFonts w:ascii="宋体" w:hAnsi="宋体"/>
                <w:bCs/>
                <w:kern w:val="2"/>
                <w:sz w:val="24"/>
                <w:lang w:val="en-US"/>
              </w:rPr>
              <w:t>⑷</w:t>
            </w:r>
            <w:r>
              <w:rPr>
                <w:rFonts w:hAnsi="宋体"/>
                <w:bCs/>
                <w:kern w:val="2"/>
                <w:sz w:val="24"/>
                <w:lang w:val="en-US"/>
              </w:rPr>
              <w:t>在项目场地周围设置临时隔声屏障，以降低施工噪声对声敏感点的影响。</w:t>
            </w:r>
          </w:p>
          <w:p>
            <w:pPr>
              <w:pStyle w:val="11"/>
              <w:spacing w:line="360" w:lineRule="auto"/>
              <w:ind w:firstLineChars="200"/>
              <w:rPr>
                <w:bCs/>
                <w:kern w:val="2"/>
                <w:sz w:val="24"/>
                <w:lang w:val="en-US"/>
              </w:rPr>
            </w:pPr>
            <w:r>
              <w:rPr>
                <w:rFonts w:ascii="宋体" w:hAnsi="宋体"/>
                <w:bCs/>
                <w:kern w:val="2"/>
                <w:sz w:val="24"/>
                <w:lang w:val="en-US"/>
              </w:rPr>
              <w:t>⑸</w:t>
            </w:r>
            <w:r>
              <w:rPr>
                <w:rFonts w:hAnsi="宋体"/>
                <w:bCs/>
                <w:kern w:val="2"/>
                <w:sz w:val="24"/>
                <w:lang w:val="en-US"/>
              </w:rPr>
              <w:t>严格控制施工时间，根据不同季节合理安排施工计划，禁止夜间（</w:t>
            </w:r>
            <w:r>
              <w:rPr>
                <w:bCs/>
                <w:kern w:val="2"/>
                <w:sz w:val="24"/>
                <w:lang w:val="en-US"/>
              </w:rPr>
              <w:t>22</w:t>
            </w:r>
            <w:r>
              <w:rPr>
                <w:rFonts w:hAnsi="宋体"/>
                <w:bCs/>
                <w:kern w:val="2"/>
                <w:sz w:val="24"/>
                <w:lang w:val="en-US"/>
              </w:rPr>
              <w:t>：</w:t>
            </w:r>
            <w:r>
              <w:rPr>
                <w:bCs/>
                <w:kern w:val="2"/>
                <w:sz w:val="24"/>
                <w:lang w:val="en-US"/>
              </w:rPr>
              <w:t>00</w:t>
            </w:r>
            <w:r>
              <w:rPr>
                <w:rFonts w:hAnsi="宋体"/>
                <w:bCs/>
                <w:kern w:val="2"/>
                <w:sz w:val="24"/>
                <w:lang w:val="en-US"/>
              </w:rPr>
              <w:t>～</w:t>
            </w:r>
            <w:r>
              <w:rPr>
                <w:bCs/>
                <w:kern w:val="2"/>
                <w:sz w:val="24"/>
                <w:lang w:val="en-US"/>
              </w:rPr>
              <w:t>06</w:t>
            </w:r>
            <w:r>
              <w:rPr>
                <w:rFonts w:hAnsi="宋体"/>
                <w:bCs/>
                <w:kern w:val="2"/>
                <w:sz w:val="24"/>
                <w:lang w:val="en-US"/>
              </w:rPr>
              <w:t>：</w:t>
            </w:r>
            <w:r>
              <w:rPr>
                <w:bCs/>
                <w:kern w:val="2"/>
                <w:sz w:val="24"/>
                <w:lang w:val="en-US"/>
              </w:rPr>
              <w:t>00</w:t>
            </w:r>
            <w:r>
              <w:rPr>
                <w:rFonts w:hAnsi="宋体"/>
                <w:bCs/>
                <w:kern w:val="2"/>
                <w:sz w:val="24"/>
                <w:lang w:val="en-US"/>
              </w:rPr>
              <w:t>）进行产生环境噪声污染的建筑施工作业，避免扰民。确实应特殊需要必须连续作业的，必须经相关主管部门的批准，且必须公告附近居民。</w:t>
            </w:r>
          </w:p>
          <w:p>
            <w:pPr>
              <w:tabs>
                <w:tab w:val="left" w:pos="11"/>
              </w:tabs>
              <w:spacing w:line="360" w:lineRule="auto"/>
              <w:ind w:firstLine="480" w:firstLineChars="200"/>
              <w:rPr>
                <w:sz w:val="24"/>
              </w:rPr>
            </w:pPr>
            <w:r>
              <w:rPr>
                <w:rFonts w:hint="eastAsia"/>
                <w:sz w:val="24"/>
              </w:rPr>
              <w:t>四</w:t>
            </w:r>
            <w:r>
              <w:rPr>
                <w:rFonts w:hAnsi="宋体"/>
                <w:sz w:val="24"/>
              </w:rPr>
              <w:t>、固体废物影响分析</w:t>
            </w:r>
          </w:p>
          <w:p>
            <w:pPr>
              <w:spacing w:line="360" w:lineRule="auto"/>
              <w:ind w:firstLine="480" w:firstLineChars="200"/>
              <w:rPr>
                <w:rFonts w:hAnsi="宋体"/>
                <w:bCs/>
                <w:sz w:val="24"/>
              </w:rPr>
            </w:pPr>
            <w:r>
              <w:rPr>
                <w:rFonts w:hint="eastAsia" w:hAnsi="宋体"/>
                <w:bCs/>
                <w:sz w:val="24"/>
              </w:rPr>
              <w:t>本项目施工期产生的固体废物主要是建筑施工垃圾和施工人员生活垃圾等。</w:t>
            </w:r>
            <w:r>
              <w:rPr>
                <w:rFonts w:hAnsi="宋体"/>
                <w:bCs/>
                <w:sz w:val="24"/>
              </w:rPr>
              <w:t>建筑垃圾产生量为</w:t>
            </w:r>
            <w:r>
              <w:rPr>
                <w:rFonts w:hint="eastAsia" w:hAnsi="宋体"/>
                <w:bCs/>
                <w:sz w:val="24"/>
              </w:rPr>
              <w:t>170.6</w:t>
            </w:r>
            <w:r>
              <w:rPr>
                <w:bCs/>
                <w:sz w:val="24"/>
              </w:rPr>
              <w:t>t</w:t>
            </w:r>
            <w:r>
              <w:rPr>
                <w:rFonts w:hAnsi="宋体"/>
                <w:bCs/>
                <w:sz w:val="24"/>
              </w:rPr>
              <w:t>，</w:t>
            </w:r>
            <w:r>
              <w:rPr>
                <w:sz w:val="24"/>
                <w:szCs w:val="24"/>
              </w:rPr>
              <w:t>运至建筑垃圾填埋场处置，</w:t>
            </w:r>
            <w:r>
              <w:rPr>
                <w:rFonts w:hAnsi="宋体"/>
                <w:sz w:val="24"/>
              </w:rPr>
              <w:t>评价要求建设单位</w:t>
            </w:r>
            <w:r>
              <w:rPr>
                <w:rFonts w:hAnsi="宋体"/>
                <w:bCs/>
                <w:sz w:val="24"/>
                <w:szCs w:val="24"/>
              </w:rPr>
              <w:t>对于挖方产生的弃土弃渣不允许随意堆弃，应边挖边填或外运。</w:t>
            </w:r>
            <w:r>
              <w:rPr>
                <w:sz w:val="24"/>
              </w:rPr>
              <w:t>生活垃圾产生</w:t>
            </w:r>
            <w:r>
              <w:rPr>
                <w:rFonts w:hint="eastAsia"/>
                <w:sz w:val="24"/>
              </w:rPr>
              <w:t>量</w:t>
            </w:r>
            <w:r>
              <w:rPr>
                <w:sz w:val="24"/>
              </w:rPr>
              <w:t>为</w:t>
            </w:r>
            <w:r>
              <w:rPr>
                <w:rFonts w:hint="eastAsia"/>
                <w:sz w:val="24"/>
              </w:rPr>
              <w:t>10kg/d</w:t>
            </w:r>
            <w:r>
              <w:rPr>
                <w:sz w:val="24"/>
              </w:rPr>
              <w:t>。</w:t>
            </w:r>
            <w:r>
              <w:rPr>
                <w:rFonts w:hint="eastAsia"/>
                <w:sz w:val="24"/>
              </w:rPr>
              <w:t>施工期</w:t>
            </w:r>
            <w:r>
              <w:rPr>
                <w:sz w:val="24"/>
              </w:rPr>
              <w:t>应做好生活垃圾收集处置工作，严</w:t>
            </w:r>
            <w:r>
              <w:rPr>
                <w:rFonts w:hint="eastAsia"/>
                <w:sz w:val="24"/>
              </w:rPr>
              <w:t>禁</w:t>
            </w:r>
            <w:r>
              <w:rPr>
                <w:sz w:val="24"/>
              </w:rPr>
              <w:t>随意堆放。</w:t>
            </w:r>
          </w:p>
          <w:p>
            <w:pPr>
              <w:tabs>
                <w:tab w:val="left" w:pos="11"/>
              </w:tabs>
              <w:spacing w:line="360" w:lineRule="auto"/>
              <w:ind w:firstLine="480" w:firstLineChars="200"/>
              <w:jc w:val="left"/>
              <w:rPr>
                <w:rFonts w:hAnsi="宋体"/>
                <w:sz w:val="24"/>
              </w:rPr>
            </w:pPr>
            <w:r>
              <w:rPr>
                <w:sz w:val="24"/>
              </w:rPr>
              <w:t>建筑垃圾与生活垃圾均不含有毒有害物质，可作为一般固体废物进行处置。</w:t>
            </w:r>
          </w:p>
          <w:p>
            <w:pPr>
              <w:tabs>
                <w:tab w:val="left" w:pos="11"/>
              </w:tabs>
              <w:spacing w:line="360" w:lineRule="auto"/>
              <w:ind w:firstLine="480" w:firstLineChars="200"/>
              <w:jc w:val="left"/>
              <w:rPr>
                <w:rFonts w:hAnsi="宋体"/>
                <w:bCs/>
                <w:sz w:val="24"/>
              </w:rPr>
            </w:pPr>
            <w:r>
              <w:rPr>
                <w:rFonts w:hAnsi="宋体"/>
                <w:sz w:val="24"/>
              </w:rPr>
              <w:t>评价要求</w:t>
            </w:r>
            <w:r>
              <w:rPr>
                <w:rFonts w:hAnsi="宋体"/>
                <w:bCs/>
                <w:sz w:val="24"/>
              </w:rPr>
              <w:t>对于施工人员生活垃圾，应在施工现场配置一定数量的垃圾箱，及时清运至当地环卫部门指定的垃圾填埋场，避免孽生苍蝇、产生恶臭，影响施工人员和周围的卫生环境。</w:t>
            </w:r>
          </w:p>
          <w:p>
            <w:pPr>
              <w:tabs>
                <w:tab w:val="left" w:pos="11"/>
              </w:tabs>
              <w:spacing w:line="360" w:lineRule="auto"/>
              <w:ind w:firstLine="480" w:firstLineChars="200"/>
              <w:rPr>
                <w:bCs/>
                <w:sz w:val="24"/>
              </w:rPr>
            </w:pPr>
            <w:r>
              <w:rPr>
                <w:sz w:val="24"/>
              </w:rPr>
              <w:t>在对固体废物实行妥善处置的前提下，对环境的影响不大。</w:t>
            </w:r>
          </w:p>
          <w:p>
            <w:pPr>
              <w:spacing w:line="360" w:lineRule="auto"/>
              <w:ind w:firstLine="480" w:firstLineChars="200"/>
              <w:rPr>
                <w:sz w:val="24"/>
              </w:rPr>
            </w:pPr>
            <w:r>
              <w:rPr>
                <w:rFonts w:hint="eastAsia"/>
                <w:sz w:val="24"/>
              </w:rPr>
              <w:t>五</w:t>
            </w:r>
            <w:r>
              <w:rPr>
                <w:rFonts w:hAnsi="宋体"/>
                <w:sz w:val="24"/>
              </w:rPr>
              <w:t>、施工期环境管理清单</w:t>
            </w:r>
          </w:p>
          <w:p>
            <w:pPr>
              <w:spacing w:line="360" w:lineRule="auto"/>
              <w:ind w:firstLine="480" w:firstLineChars="200"/>
              <w:rPr>
                <w:sz w:val="24"/>
              </w:rPr>
            </w:pPr>
            <w:r>
              <w:rPr>
                <w:rFonts w:hAnsi="宋体"/>
                <w:sz w:val="24"/>
              </w:rPr>
              <w:t>施工期环境管理清单见表</w:t>
            </w:r>
            <w:r>
              <w:rPr>
                <w:sz w:val="24"/>
              </w:rPr>
              <w:t>3</w:t>
            </w:r>
            <w:r>
              <w:rPr>
                <w:rFonts w:hint="eastAsia"/>
                <w:sz w:val="24"/>
              </w:rPr>
              <w:t>6</w:t>
            </w:r>
            <w:r>
              <w:rPr>
                <w:rFonts w:hAnsi="宋体"/>
                <w:sz w:val="24"/>
              </w:rPr>
              <w:t>。</w:t>
            </w:r>
          </w:p>
          <w:p>
            <w:pPr>
              <w:jc w:val="center"/>
              <w:rPr>
                <w:b/>
              </w:rPr>
            </w:pPr>
            <w:r>
              <w:rPr>
                <w:rFonts w:hAnsi="宋体"/>
                <w:b/>
              </w:rPr>
              <w:t>表3</w:t>
            </w:r>
            <w:r>
              <w:rPr>
                <w:rFonts w:hint="eastAsia" w:hAnsi="宋体"/>
                <w:b/>
              </w:rPr>
              <w:t xml:space="preserve">6 </w:t>
            </w:r>
            <w:r>
              <w:rPr>
                <w:b/>
              </w:rPr>
              <w:t xml:space="preserve"> </w:t>
            </w:r>
            <w:r>
              <w:rPr>
                <w:rFonts w:hAnsi="宋体"/>
                <w:b/>
              </w:rPr>
              <w:t>施工期环境管理清单</w:t>
            </w:r>
          </w:p>
          <w:tbl>
            <w:tblPr>
              <w:tblStyle w:val="24"/>
              <w:tblW w:w="882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77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41" w:type="dxa"/>
                </w:tcPr>
                <w:p>
                  <w:pPr>
                    <w:jc w:val="center"/>
                    <w:rPr>
                      <w:szCs w:val="21"/>
                    </w:rPr>
                  </w:pPr>
                  <w:r>
                    <w:rPr>
                      <w:rFonts w:hAnsi="宋体"/>
                      <w:szCs w:val="21"/>
                    </w:rPr>
                    <w:t>项目</w:t>
                  </w:r>
                </w:p>
              </w:tc>
              <w:tc>
                <w:tcPr>
                  <w:tcW w:w="7783" w:type="dxa"/>
                  <w:vAlign w:val="center"/>
                </w:tcPr>
                <w:p>
                  <w:pPr>
                    <w:jc w:val="center"/>
                    <w:rPr>
                      <w:szCs w:val="21"/>
                    </w:rPr>
                  </w:pPr>
                  <w:r>
                    <w:rPr>
                      <w:rFonts w:hAnsi="宋体"/>
                      <w:szCs w:val="21"/>
                    </w:rPr>
                    <w:t>环保要求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41" w:type="dxa"/>
                  <w:vAlign w:val="center"/>
                </w:tcPr>
                <w:p>
                  <w:pPr>
                    <w:jc w:val="center"/>
                    <w:rPr>
                      <w:szCs w:val="21"/>
                    </w:rPr>
                  </w:pPr>
                  <w:r>
                    <w:rPr>
                      <w:rFonts w:hAnsi="宋体"/>
                      <w:szCs w:val="21"/>
                    </w:rPr>
                    <w:t>空气环境</w:t>
                  </w:r>
                </w:p>
              </w:tc>
              <w:tc>
                <w:tcPr>
                  <w:tcW w:w="7783" w:type="dxa"/>
                </w:tcPr>
                <w:p>
                  <w:pPr>
                    <w:tabs>
                      <w:tab w:val="left" w:pos="11"/>
                    </w:tabs>
                    <w:rPr>
                      <w:rFonts w:hAnsi="宋体"/>
                      <w:szCs w:val="21"/>
                    </w:rPr>
                  </w:pPr>
                  <w:r>
                    <w:rPr>
                      <w:rFonts w:hint="eastAsia" w:ascii="宋体" w:hAnsi="宋体"/>
                      <w:szCs w:val="21"/>
                    </w:rPr>
                    <w:t>①</w:t>
                  </w:r>
                  <w:r>
                    <w:rPr>
                      <w:rFonts w:hint="eastAsia" w:hAnsi="宋体"/>
                      <w:szCs w:val="21"/>
                    </w:rPr>
                    <w:t>各类施工工地现场周边采取围挡措施。</w:t>
                  </w:r>
                  <w:r>
                    <w:rPr>
                      <w:rFonts w:hAnsi="宋体"/>
                      <w:szCs w:val="21"/>
                    </w:rPr>
                    <w:t>对围挡落尘应定期清洗，采取洒水等防尘措施，以保证工地及周围环境整洁</w:t>
                  </w:r>
                  <w:r>
                    <w:rPr>
                      <w:rFonts w:hint="eastAsia" w:hAnsi="宋体"/>
                      <w:szCs w:val="21"/>
                    </w:rPr>
                    <w:t>；</w:t>
                  </w:r>
                  <w:r>
                    <w:rPr>
                      <w:rFonts w:hAnsi="宋体"/>
                      <w:szCs w:val="21"/>
                    </w:rPr>
                    <w:t>基础设施工程因特殊情况不能进行围挡的，应当设置安全警示标志，并在工程险要处采取隔离措施</w:t>
                  </w:r>
                  <w:r>
                    <w:rPr>
                      <w:rFonts w:hint="eastAsia" w:hAnsi="宋体"/>
                      <w:szCs w:val="21"/>
                    </w:rPr>
                    <w:t>。</w:t>
                  </w:r>
                </w:p>
                <w:p>
                  <w:pPr>
                    <w:tabs>
                      <w:tab w:val="left" w:pos="11"/>
                    </w:tabs>
                    <w:rPr>
                      <w:rFonts w:hAnsi="宋体"/>
                      <w:szCs w:val="21"/>
                    </w:rPr>
                  </w:pPr>
                  <w:r>
                    <w:rPr>
                      <w:rFonts w:hint="eastAsia" w:ascii="宋体" w:hAnsi="宋体"/>
                      <w:szCs w:val="21"/>
                    </w:rPr>
                    <w:t>②</w:t>
                  </w:r>
                  <w:r>
                    <w:rPr>
                      <w:rFonts w:hint="eastAsia" w:hAnsi="宋体"/>
                      <w:szCs w:val="21"/>
                    </w:rPr>
                    <w:t>施工现场砂石渣土等堆料全部覆盖。所有渣土车须平槽装运，加盖密闭运输，杜绝高尖装载和沿途抛撒现象，渣土清运通道全面冲洗工作在清晨6：30前完成。</w:t>
                  </w:r>
                </w:p>
                <w:p>
                  <w:pPr>
                    <w:tabs>
                      <w:tab w:val="left" w:pos="11"/>
                    </w:tabs>
                    <w:rPr>
                      <w:rFonts w:hAnsi="宋体"/>
                      <w:szCs w:val="21"/>
                    </w:rPr>
                  </w:pPr>
                  <w:r>
                    <w:rPr>
                      <w:rFonts w:hint="eastAsia" w:ascii="宋体" w:hAnsi="宋体"/>
                      <w:szCs w:val="21"/>
                    </w:rPr>
                    <w:t>③</w:t>
                  </w:r>
                  <w:r>
                    <w:rPr>
                      <w:rFonts w:hint="eastAsia" w:hAnsi="宋体"/>
                      <w:szCs w:val="21"/>
                    </w:rPr>
                    <w:t>工地内大型机械车辆停放区域及主要道路全部硬化，每天及时洒水清扫，确保无浮土。</w:t>
                  </w:r>
                  <w:r>
                    <w:rPr>
                      <w:rFonts w:hAnsi="宋体"/>
                      <w:szCs w:val="21"/>
                    </w:rPr>
                    <w:t>施工现场必须建立洒水清扫制度或雾化降尘措施，配备相应的洒水设备，及时洒水清扫，并有专人负责，以减少扬尘污染</w:t>
                  </w:r>
                  <w:r>
                    <w:rPr>
                      <w:rFonts w:hint="eastAsia" w:hAnsi="宋体"/>
                      <w:szCs w:val="21"/>
                    </w:rPr>
                    <w:t>。</w:t>
                  </w:r>
                </w:p>
                <w:p>
                  <w:pPr>
                    <w:tabs>
                      <w:tab w:val="left" w:pos="11"/>
                    </w:tabs>
                    <w:rPr>
                      <w:rFonts w:hAnsi="宋体"/>
                      <w:szCs w:val="21"/>
                    </w:rPr>
                  </w:pPr>
                  <w:r>
                    <w:rPr>
                      <w:rFonts w:hint="eastAsia" w:ascii="宋体" w:hAnsi="宋体"/>
                      <w:szCs w:val="21"/>
                    </w:rPr>
                    <w:t>④</w:t>
                  </w:r>
                  <w:r>
                    <w:rPr>
                      <w:rFonts w:hint="eastAsia" w:hAnsi="宋体"/>
                      <w:szCs w:val="21"/>
                    </w:rPr>
                    <w:t>出入口建有冲洗设备和排水沟并能正常使用，出工地车辆全部冲洗，无高尖装载现象，严禁车轮带泥上路。</w:t>
                  </w:r>
                </w:p>
                <w:p>
                  <w:pPr>
                    <w:tabs>
                      <w:tab w:val="left" w:pos="11"/>
                    </w:tabs>
                    <w:rPr>
                      <w:rFonts w:hAnsi="宋体"/>
                      <w:szCs w:val="21"/>
                    </w:rPr>
                  </w:pPr>
                  <w:r>
                    <w:rPr>
                      <w:rFonts w:hint="eastAsia" w:ascii="宋体" w:hAnsi="宋体"/>
                      <w:szCs w:val="21"/>
                    </w:rPr>
                    <w:t>⑤</w:t>
                  </w:r>
                  <w:r>
                    <w:rPr>
                      <w:rFonts w:hint="eastAsia" w:hAnsi="宋体"/>
                      <w:szCs w:val="21"/>
                    </w:rPr>
                    <w:t>严禁在工地围挡外堆放建筑物料或垃圾。</w:t>
                  </w:r>
                  <w:r>
                    <w:rPr>
                      <w:rFonts w:hAnsi="宋体"/>
                      <w:szCs w:val="21"/>
                    </w:rPr>
                    <w:t>施工现场必须设置固定垃圾存放点，垃圾应分类集中堆放并覆盖，及时清运，严禁焚烧、下埋和随意丢弃。清理施工垃圾，必须采用容器吊运等封闭方式，严禁随意抛撒。</w:t>
                  </w:r>
                </w:p>
                <w:p>
                  <w:pPr>
                    <w:tabs>
                      <w:tab w:val="left" w:pos="11"/>
                    </w:tabs>
                    <w:rPr>
                      <w:rFonts w:hAnsi="宋体"/>
                      <w:szCs w:val="21"/>
                    </w:rPr>
                  </w:pPr>
                  <w:r>
                    <w:rPr>
                      <w:rFonts w:hint="eastAsia" w:ascii="宋体" w:hAnsi="宋体"/>
                      <w:szCs w:val="21"/>
                    </w:rPr>
                    <w:t>⑥</w:t>
                  </w:r>
                  <w:r>
                    <w:rPr>
                      <w:rFonts w:hint="eastAsia" w:hAnsi="宋体"/>
                      <w:szCs w:val="21"/>
                    </w:rPr>
                    <w:t>四级风以上天气停止产生扬尘的施工作业。</w:t>
                  </w:r>
                </w:p>
                <w:p>
                  <w:pPr>
                    <w:tabs>
                      <w:tab w:val="left" w:pos="11"/>
                    </w:tabs>
                    <w:rPr>
                      <w:rFonts w:hAnsi="宋体"/>
                      <w:szCs w:val="21"/>
                    </w:rPr>
                  </w:pPr>
                  <w:r>
                    <w:rPr>
                      <w:rFonts w:hint="eastAsia" w:ascii="宋体" w:hAnsi="宋体"/>
                      <w:szCs w:val="21"/>
                    </w:rPr>
                    <w:t>⑦</w:t>
                  </w:r>
                  <w:r>
                    <w:rPr>
                      <w:rFonts w:hint="eastAsia" w:hAnsi="宋体"/>
                      <w:szCs w:val="21"/>
                    </w:rPr>
                    <w:t>建筑施工作业立面须用密目网封闭。工地内、工地外裸露场地应当简易绿化或采取密目网覆盖等防尘措施。</w:t>
                  </w:r>
                </w:p>
                <w:p>
                  <w:pPr>
                    <w:tabs>
                      <w:tab w:val="left" w:pos="11"/>
                    </w:tabs>
                    <w:rPr>
                      <w:rFonts w:hAnsi="宋体"/>
                      <w:szCs w:val="21"/>
                    </w:rPr>
                  </w:pPr>
                  <w:r>
                    <w:rPr>
                      <w:rFonts w:hint="eastAsia" w:ascii="宋体" w:hAnsi="宋体"/>
                      <w:szCs w:val="21"/>
                    </w:rPr>
                    <w:t>⑧</w:t>
                  </w:r>
                  <w:r>
                    <w:rPr>
                      <w:rFonts w:hint="eastAsia" w:hAnsi="宋体"/>
                      <w:szCs w:val="21"/>
                    </w:rPr>
                    <w:t>禁止随意倾倒和堆放垃圾，禁止往雨水口、绿地倾倒垃圾，料场前场地及时洒水清扫，确保无粉尘、积灰。</w:t>
                  </w:r>
                </w:p>
                <w:p>
                  <w:pPr>
                    <w:rPr>
                      <w:szCs w:val="21"/>
                    </w:rPr>
                  </w:pPr>
                  <w:r>
                    <w:rPr>
                      <w:rFonts w:hint="eastAsia" w:ascii="宋体" w:hAnsi="宋体"/>
                      <w:szCs w:val="21"/>
                    </w:rPr>
                    <w:t>⑨</w:t>
                  </w:r>
                  <w:r>
                    <w:rPr>
                      <w:rFonts w:hint="eastAsia" w:hAnsi="宋体"/>
                      <w:szCs w:val="21"/>
                    </w:rPr>
                    <w:t>机动车道路路面平整，无坑槽现象，非机动车道路面平整，无缺损，人行道花砖无塌陷。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41" w:type="dxa"/>
                  <w:vAlign w:val="center"/>
                </w:tcPr>
                <w:p>
                  <w:pPr>
                    <w:jc w:val="center"/>
                    <w:rPr>
                      <w:szCs w:val="21"/>
                    </w:rPr>
                  </w:pPr>
                  <w:r>
                    <w:rPr>
                      <w:rFonts w:hAnsi="宋体"/>
                      <w:szCs w:val="21"/>
                    </w:rPr>
                    <w:t>水环境</w:t>
                  </w:r>
                </w:p>
              </w:tc>
              <w:tc>
                <w:tcPr>
                  <w:tcW w:w="7783" w:type="dxa"/>
                </w:tcPr>
                <w:p>
                  <w:pPr>
                    <w:tabs>
                      <w:tab w:val="left" w:pos="11"/>
                    </w:tabs>
                    <w:rPr>
                      <w:rFonts w:hAnsi="宋体"/>
                      <w:szCs w:val="21"/>
                    </w:rPr>
                  </w:pPr>
                  <w:r>
                    <w:rPr>
                      <w:rFonts w:hint="eastAsia" w:ascii="宋体" w:hAnsi="宋体"/>
                      <w:szCs w:val="21"/>
                    </w:rPr>
                    <w:t>①</w:t>
                  </w:r>
                  <w:r>
                    <w:rPr>
                      <w:rFonts w:hAnsi="宋体"/>
                      <w:szCs w:val="21"/>
                    </w:rPr>
                    <w:t>配套相应的施工排水设施，泥浆水经沉淀池澄清后回用于施工场地洒水。</w:t>
                  </w:r>
                </w:p>
                <w:p>
                  <w:pPr>
                    <w:tabs>
                      <w:tab w:val="left" w:pos="11"/>
                    </w:tabs>
                    <w:rPr>
                      <w:rFonts w:hAnsi="宋体"/>
                      <w:szCs w:val="21"/>
                    </w:rPr>
                  </w:pPr>
                  <w:r>
                    <w:rPr>
                      <w:rFonts w:hint="eastAsia" w:ascii="宋体" w:hAnsi="宋体"/>
                      <w:szCs w:val="21"/>
                    </w:rPr>
                    <w:t>②</w:t>
                  </w:r>
                  <w:r>
                    <w:rPr>
                      <w:rFonts w:hAnsi="宋体"/>
                      <w:szCs w:val="21"/>
                    </w:rPr>
                    <w:t>施工期施工单位严禁废水乱排、乱流污染道路及水体。</w:t>
                  </w:r>
                </w:p>
                <w:p>
                  <w:pPr>
                    <w:tabs>
                      <w:tab w:val="left" w:pos="11"/>
                    </w:tabs>
                    <w:rPr>
                      <w:rFonts w:hAnsi="宋体"/>
                      <w:szCs w:val="21"/>
                    </w:rPr>
                  </w:pPr>
                  <w:r>
                    <w:rPr>
                      <w:rFonts w:hint="eastAsia" w:ascii="宋体" w:hAnsi="宋体"/>
                      <w:szCs w:val="21"/>
                    </w:rPr>
                    <w:t>③</w:t>
                  </w:r>
                  <w:r>
                    <w:rPr>
                      <w:rFonts w:hAnsi="宋体"/>
                      <w:szCs w:val="21"/>
                    </w:rPr>
                    <w:t>设置简易沉淀池，施工废水收集沉淀后循环使用。</w:t>
                  </w:r>
                </w:p>
                <w:p>
                  <w:pPr>
                    <w:tabs>
                      <w:tab w:val="left" w:pos="11"/>
                    </w:tabs>
                    <w:rPr>
                      <w:szCs w:val="21"/>
                    </w:rPr>
                  </w:pPr>
                  <w:r>
                    <w:rPr>
                      <w:rFonts w:hint="eastAsia" w:ascii="宋体" w:hAnsi="宋体"/>
                      <w:szCs w:val="21"/>
                    </w:rPr>
                    <w:t>④</w:t>
                  </w:r>
                  <w:r>
                    <w:rPr>
                      <w:rFonts w:hint="eastAsia" w:hAnsi="宋体"/>
                      <w:szCs w:val="21"/>
                    </w:rPr>
                    <w:t>设置临时旱厕，施工结束后由当地村民清掏堆肥后掩埋。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41" w:type="dxa"/>
                  <w:vAlign w:val="center"/>
                </w:tcPr>
                <w:p>
                  <w:pPr>
                    <w:jc w:val="center"/>
                    <w:rPr>
                      <w:szCs w:val="21"/>
                    </w:rPr>
                  </w:pPr>
                  <w:r>
                    <w:rPr>
                      <w:rFonts w:hAnsi="宋体"/>
                      <w:szCs w:val="21"/>
                    </w:rPr>
                    <w:t>声环境</w:t>
                  </w:r>
                </w:p>
              </w:tc>
              <w:tc>
                <w:tcPr>
                  <w:tcW w:w="7783" w:type="dxa"/>
                </w:tcPr>
                <w:p>
                  <w:pPr>
                    <w:pStyle w:val="11"/>
                    <w:spacing w:line="240" w:lineRule="auto"/>
                    <w:ind w:firstLine="0"/>
                    <w:rPr>
                      <w:bCs/>
                      <w:kern w:val="2"/>
                      <w:sz w:val="21"/>
                      <w:szCs w:val="21"/>
                      <w:lang w:val="en-US"/>
                    </w:rPr>
                  </w:pPr>
                  <w:r>
                    <w:rPr>
                      <w:rFonts w:hint="eastAsia" w:ascii="宋体" w:hAnsi="宋体"/>
                      <w:sz w:val="21"/>
                      <w:szCs w:val="21"/>
                    </w:rPr>
                    <w:t>①</w:t>
                  </w:r>
                  <w:r>
                    <w:rPr>
                      <w:rFonts w:hAnsi="宋体"/>
                      <w:bCs/>
                      <w:kern w:val="2"/>
                      <w:sz w:val="21"/>
                      <w:szCs w:val="21"/>
                      <w:lang w:val="en-US"/>
                    </w:rPr>
                    <w:t>施工单位必须采取必要措施降低施工噪声的影响，应协调好与周边群众的关系，通过公告告知公众施工内容、施工安排、噪声影响的范围和程度等。</w:t>
                  </w:r>
                </w:p>
                <w:p>
                  <w:pPr>
                    <w:pStyle w:val="11"/>
                    <w:spacing w:line="240" w:lineRule="auto"/>
                    <w:ind w:firstLine="0"/>
                    <w:rPr>
                      <w:bCs/>
                      <w:kern w:val="2"/>
                      <w:sz w:val="21"/>
                      <w:szCs w:val="21"/>
                      <w:lang w:val="en-US"/>
                    </w:rPr>
                  </w:pPr>
                  <w:r>
                    <w:rPr>
                      <w:rFonts w:hint="eastAsia" w:ascii="宋体" w:hAnsi="宋体"/>
                      <w:sz w:val="21"/>
                      <w:szCs w:val="21"/>
                    </w:rPr>
                    <w:t>②</w:t>
                  </w:r>
                  <w:r>
                    <w:rPr>
                      <w:rFonts w:hAnsi="宋体"/>
                      <w:bCs/>
                      <w:kern w:val="2"/>
                      <w:sz w:val="21"/>
                      <w:szCs w:val="21"/>
                      <w:lang w:val="en-US"/>
                    </w:rPr>
                    <w:t>严格按照国家和地方环境保护法律法规要求，采取各种有效措施，把施工场地场界噪声控制在《建筑施工场界环境噪声排放标准》（</w:t>
                  </w:r>
                  <w:r>
                    <w:rPr>
                      <w:bCs/>
                      <w:kern w:val="2"/>
                      <w:sz w:val="21"/>
                      <w:szCs w:val="21"/>
                      <w:lang w:val="en-US"/>
                    </w:rPr>
                    <w:t>GB12523-2011</w:t>
                  </w:r>
                  <w:r>
                    <w:rPr>
                      <w:rFonts w:hAnsi="宋体"/>
                      <w:bCs/>
                      <w:kern w:val="2"/>
                      <w:sz w:val="21"/>
                      <w:szCs w:val="21"/>
                      <w:lang w:val="en-US"/>
                    </w:rPr>
                    <w:t>）的指标要求范围内。</w:t>
                  </w:r>
                </w:p>
                <w:p>
                  <w:pPr>
                    <w:pStyle w:val="11"/>
                    <w:spacing w:line="240" w:lineRule="auto"/>
                    <w:ind w:firstLine="0"/>
                    <w:rPr>
                      <w:bCs/>
                      <w:kern w:val="2"/>
                      <w:sz w:val="21"/>
                      <w:szCs w:val="21"/>
                      <w:lang w:val="en-US"/>
                    </w:rPr>
                  </w:pPr>
                  <w:r>
                    <w:rPr>
                      <w:rFonts w:hint="eastAsia" w:ascii="宋体" w:hAnsi="宋体"/>
                      <w:sz w:val="21"/>
                      <w:szCs w:val="21"/>
                    </w:rPr>
                    <w:t>③</w:t>
                  </w:r>
                  <w:r>
                    <w:rPr>
                      <w:rFonts w:hAnsi="宋体"/>
                      <w:bCs/>
                      <w:kern w:val="2"/>
                      <w:sz w:val="21"/>
                      <w:szCs w:val="21"/>
                      <w:lang w:val="en-US"/>
                    </w:rPr>
                    <w:t>合理布置施工场地，安排施工方式，在施工总平面布置时，将高噪声设备布置在</w:t>
                  </w:r>
                  <w:r>
                    <w:rPr>
                      <w:rFonts w:hint="eastAsia" w:hAnsi="宋体"/>
                      <w:bCs/>
                      <w:kern w:val="2"/>
                      <w:sz w:val="21"/>
                      <w:szCs w:val="21"/>
                      <w:lang w:val="en-US"/>
                    </w:rPr>
                    <w:t>远离周围</w:t>
                  </w:r>
                  <w:r>
                    <w:rPr>
                      <w:rFonts w:hint="eastAsia"/>
                      <w:bCs/>
                      <w:kern w:val="2"/>
                      <w:sz w:val="21"/>
                      <w:szCs w:val="21"/>
                      <w:lang w:val="en-US"/>
                    </w:rPr>
                    <w:t>敏感点的位置</w:t>
                  </w:r>
                  <w:r>
                    <w:rPr>
                      <w:rFonts w:hAnsi="宋体"/>
                      <w:bCs/>
                      <w:kern w:val="2"/>
                      <w:sz w:val="21"/>
                      <w:szCs w:val="21"/>
                      <w:lang w:val="en-US"/>
                    </w:rPr>
                    <w:t>，以减小环境噪声污染。</w:t>
                  </w:r>
                </w:p>
                <w:p>
                  <w:pPr>
                    <w:pStyle w:val="11"/>
                    <w:spacing w:line="240" w:lineRule="auto"/>
                    <w:ind w:firstLine="0"/>
                    <w:rPr>
                      <w:bCs/>
                      <w:kern w:val="2"/>
                      <w:sz w:val="21"/>
                      <w:szCs w:val="21"/>
                      <w:lang w:val="en-US"/>
                    </w:rPr>
                  </w:pPr>
                  <w:r>
                    <w:rPr>
                      <w:rFonts w:hint="eastAsia" w:ascii="宋体" w:hAnsi="宋体"/>
                      <w:sz w:val="21"/>
                      <w:szCs w:val="21"/>
                    </w:rPr>
                    <w:t>④</w:t>
                  </w:r>
                  <w:r>
                    <w:rPr>
                      <w:rFonts w:hAnsi="宋体"/>
                      <w:bCs/>
                      <w:kern w:val="2"/>
                      <w:sz w:val="21"/>
                      <w:szCs w:val="21"/>
                      <w:lang w:val="en-US"/>
                    </w:rPr>
                    <w:t>在项目场地周围设置临时隔声屏障，以降低施工噪声对声敏感点的影响。</w:t>
                  </w:r>
                </w:p>
                <w:p>
                  <w:pPr>
                    <w:rPr>
                      <w:szCs w:val="21"/>
                    </w:rPr>
                  </w:pPr>
                  <w:r>
                    <w:rPr>
                      <w:rFonts w:hint="eastAsia" w:ascii="宋体" w:hAnsi="宋体"/>
                      <w:szCs w:val="21"/>
                    </w:rPr>
                    <w:t>⑤</w:t>
                  </w:r>
                  <w:r>
                    <w:rPr>
                      <w:rFonts w:hAnsi="宋体"/>
                      <w:bCs/>
                      <w:szCs w:val="21"/>
                    </w:rPr>
                    <w:t>严格控制施工时间，根据不同季节合理安排施工计划，禁止夜间（</w:t>
                  </w:r>
                  <w:r>
                    <w:rPr>
                      <w:bCs/>
                      <w:szCs w:val="21"/>
                    </w:rPr>
                    <w:t>22</w:t>
                  </w:r>
                  <w:r>
                    <w:rPr>
                      <w:rFonts w:hAnsi="宋体"/>
                      <w:bCs/>
                      <w:szCs w:val="21"/>
                    </w:rPr>
                    <w:t>：</w:t>
                  </w:r>
                  <w:r>
                    <w:rPr>
                      <w:bCs/>
                      <w:szCs w:val="21"/>
                    </w:rPr>
                    <w:t>00</w:t>
                  </w:r>
                  <w:r>
                    <w:rPr>
                      <w:rFonts w:hAnsi="宋体"/>
                      <w:bCs/>
                      <w:szCs w:val="21"/>
                    </w:rPr>
                    <w:t>～</w:t>
                  </w:r>
                  <w:r>
                    <w:rPr>
                      <w:bCs/>
                      <w:szCs w:val="21"/>
                    </w:rPr>
                    <w:t>06</w:t>
                  </w:r>
                  <w:r>
                    <w:rPr>
                      <w:rFonts w:hAnsi="宋体"/>
                      <w:bCs/>
                      <w:szCs w:val="21"/>
                    </w:rPr>
                    <w:t>：</w:t>
                  </w:r>
                  <w:r>
                    <w:rPr>
                      <w:bCs/>
                      <w:szCs w:val="21"/>
                    </w:rPr>
                    <w:t>00</w:t>
                  </w:r>
                  <w:r>
                    <w:rPr>
                      <w:rFonts w:hAnsi="宋体"/>
                      <w:bCs/>
                      <w:szCs w:val="21"/>
                    </w:rPr>
                    <w:t>）进行产生环境噪声污染的建筑施工作业，避免扰民。确实应特殊需要必须连续作业的，必须经相关主管部门的批准，且必须公告附近居民。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41" w:type="dxa"/>
                  <w:vAlign w:val="center"/>
                </w:tcPr>
                <w:p>
                  <w:pPr>
                    <w:jc w:val="center"/>
                    <w:rPr>
                      <w:szCs w:val="21"/>
                    </w:rPr>
                  </w:pPr>
                  <w:r>
                    <w:rPr>
                      <w:rFonts w:hAnsi="宋体"/>
                      <w:szCs w:val="21"/>
                    </w:rPr>
                    <w:t>固体废物</w:t>
                  </w:r>
                </w:p>
              </w:tc>
              <w:tc>
                <w:tcPr>
                  <w:tcW w:w="7783" w:type="dxa"/>
                </w:tcPr>
                <w:p>
                  <w:pPr>
                    <w:rPr>
                      <w:szCs w:val="21"/>
                    </w:rPr>
                  </w:pPr>
                  <w:r>
                    <w:rPr>
                      <w:rFonts w:hint="eastAsia" w:ascii="宋体" w:hAnsi="宋体"/>
                      <w:szCs w:val="21"/>
                    </w:rPr>
                    <w:t>①</w:t>
                  </w:r>
                  <w:r>
                    <w:rPr>
                      <w:szCs w:val="21"/>
                    </w:rPr>
                    <w:t>对于挖方、填方产生的弃土弃渣应妥善处理，应边挖边外运</w:t>
                  </w:r>
                  <w:r>
                    <w:rPr>
                      <w:rFonts w:hint="eastAsia"/>
                      <w:szCs w:val="21"/>
                    </w:rPr>
                    <w:t>。</w:t>
                  </w:r>
                </w:p>
                <w:p>
                  <w:pPr>
                    <w:rPr>
                      <w:szCs w:val="21"/>
                    </w:rPr>
                  </w:pPr>
                  <w:r>
                    <w:rPr>
                      <w:rFonts w:hint="eastAsia" w:ascii="宋体" w:hAnsi="宋体"/>
                      <w:szCs w:val="21"/>
                    </w:rPr>
                    <w:t>②</w:t>
                  </w:r>
                  <w:r>
                    <w:rPr>
                      <w:szCs w:val="21"/>
                    </w:rPr>
                    <w:t>施工现场的生活垃圾应及时清运至当地环卫部门</w:t>
                  </w:r>
                  <w:r>
                    <w:rPr>
                      <w:szCs w:val="21"/>
                    </w:rPr>
                    <w:cr/>
                  </w:r>
                  <w:r>
                    <w:rPr>
                      <w:szCs w:val="21"/>
                    </w:rPr>
                    <w:t>定的垃圾填埋场。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41" w:type="dxa"/>
                  <w:vAlign w:val="center"/>
                </w:tcPr>
                <w:p>
                  <w:pPr>
                    <w:jc w:val="center"/>
                    <w:rPr>
                      <w:rFonts w:hAnsi="宋体"/>
                      <w:szCs w:val="21"/>
                    </w:rPr>
                  </w:pPr>
                  <w:r>
                    <w:rPr>
                      <w:rFonts w:hAnsi="宋体"/>
                      <w:szCs w:val="21"/>
                    </w:rPr>
                    <w:t>生态环境</w:t>
                  </w:r>
                </w:p>
              </w:tc>
              <w:tc>
                <w:tcPr>
                  <w:tcW w:w="7783" w:type="dxa"/>
                </w:tcPr>
                <w:p>
                  <w:pPr>
                    <w:rPr>
                      <w:szCs w:val="21"/>
                    </w:rPr>
                  </w:pPr>
                  <w:r>
                    <w:rPr>
                      <w:rFonts w:hint="eastAsia" w:ascii="宋体" w:hAnsi="宋体"/>
                      <w:szCs w:val="21"/>
                    </w:rPr>
                    <w:t>①</w:t>
                  </w:r>
                  <w:r>
                    <w:rPr>
                      <w:rFonts w:hint="eastAsia"/>
                      <w:szCs w:val="21"/>
                    </w:rPr>
                    <w:t>厂区布设应进行系统的规划和布局，不得占用植被覆盖率高的区域，避开存在水土流失隐患的场址区；项目开采粘土区不得随意扩大。</w:t>
                  </w:r>
                </w:p>
                <w:p>
                  <w:pPr>
                    <w:rPr>
                      <w:szCs w:val="21"/>
                    </w:rPr>
                  </w:pPr>
                  <w:r>
                    <w:rPr>
                      <w:rFonts w:hint="eastAsia" w:ascii="宋体" w:hAnsi="宋体"/>
                      <w:szCs w:val="21"/>
                    </w:rPr>
                    <w:t>②</w:t>
                  </w:r>
                  <w:r>
                    <w:rPr>
                      <w:rFonts w:hint="eastAsia"/>
                      <w:szCs w:val="21"/>
                    </w:rPr>
                    <w:t>建设单位必须有专门的环境保护管理组织机构，对开采期环境保护措施落实情况进行监督管理。</w:t>
                  </w:r>
                </w:p>
                <w:p>
                  <w:pPr>
                    <w:rPr>
                      <w:szCs w:val="21"/>
                    </w:rPr>
                  </w:pPr>
                  <w:r>
                    <w:rPr>
                      <w:rFonts w:hint="eastAsia" w:ascii="宋体" w:hAnsi="宋体"/>
                      <w:szCs w:val="21"/>
                    </w:rPr>
                    <w:t>③</w:t>
                  </w:r>
                  <w:r>
                    <w:rPr>
                      <w:rFonts w:hint="eastAsia"/>
                      <w:szCs w:val="21"/>
                    </w:rPr>
                    <w:t>定期对取土区边坡进行整理，且要求大风、暴雨天气不得进行开采。</w:t>
                  </w:r>
                </w:p>
                <w:p>
                  <w:pPr>
                    <w:rPr>
                      <w:szCs w:val="21"/>
                    </w:rPr>
                  </w:pPr>
                  <w:r>
                    <w:rPr>
                      <w:rFonts w:hint="eastAsia" w:ascii="宋体" w:hAnsi="宋体"/>
                      <w:szCs w:val="21"/>
                    </w:rPr>
                    <w:t>④</w:t>
                  </w:r>
                  <w:r>
                    <w:rPr>
                      <w:rFonts w:hint="eastAsia"/>
                      <w:szCs w:val="21"/>
                    </w:rPr>
                    <w:t>粘土道路要定期洒水，防止扬尘，根据采粘土进度，增加皮带传输系统。</w:t>
                  </w:r>
                </w:p>
                <w:p>
                  <w:pPr>
                    <w:rPr>
                      <w:szCs w:val="21"/>
                    </w:rPr>
                  </w:pPr>
                  <w:r>
                    <w:rPr>
                      <w:rFonts w:hint="eastAsia" w:ascii="宋体" w:hAnsi="宋体"/>
                      <w:szCs w:val="21"/>
                    </w:rPr>
                    <w:t>⑤</w:t>
                  </w:r>
                  <w:r>
                    <w:rPr>
                      <w:rFonts w:hint="eastAsia"/>
                      <w:szCs w:val="21"/>
                    </w:rPr>
                    <w:t>合理进行取土区平面布置，开采活动必须在规定的范围内进行，取土区内活动应尽量减少和控制生态环境的影响范围和程度。</w:t>
                  </w:r>
                </w:p>
                <w:p>
                  <w:pPr>
                    <w:rPr>
                      <w:szCs w:val="21"/>
                    </w:rPr>
                  </w:pPr>
                  <w:r>
                    <w:rPr>
                      <w:rFonts w:hint="eastAsia" w:ascii="宋体" w:hAnsi="宋体"/>
                      <w:szCs w:val="21"/>
                    </w:rPr>
                    <w:t>⑥</w:t>
                  </w:r>
                  <w:r>
                    <w:rPr>
                      <w:rFonts w:hint="eastAsia"/>
                      <w:szCs w:val="21"/>
                    </w:rPr>
                    <w:t>合理安排开采计划和作业时间，合理安排粘土运输时间。</w:t>
                  </w:r>
                </w:p>
              </w:tc>
            </w:tr>
          </w:tbl>
          <w:p>
            <w:pPr>
              <w:spacing w:line="360" w:lineRule="auto"/>
              <w:rPr>
                <w:b/>
                <w:sz w:val="24"/>
              </w:rPr>
            </w:pPr>
            <w:r>
              <w:rPr>
                <w:rFonts w:hAnsi="宋体"/>
                <w:b/>
                <w:sz w:val="24"/>
              </w:rPr>
              <w:t>营运期环境影响分析</w:t>
            </w:r>
          </w:p>
          <w:p>
            <w:pPr>
              <w:spacing w:line="360" w:lineRule="auto"/>
              <w:ind w:firstLine="482" w:firstLineChars="200"/>
              <w:rPr>
                <w:b/>
                <w:sz w:val="24"/>
              </w:rPr>
            </w:pPr>
            <w:r>
              <w:rPr>
                <w:rFonts w:hint="eastAsia" w:hAnsi="宋体"/>
                <w:b/>
                <w:sz w:val="24"/>
              </w:rPr>
              <w:t>一、</w:t>
            </w:r>
            <w:r>
              <w:rPr>
                <w:rFonts w:hAnsi="宋体"/>
                <w:b/>
                <w:sz w:val="24"/>
              </w:rPr>
              <w:t>环境空气影响分析</w:t>
            </w:r>
          </w:p>
          <w:p>
            <w:pPr>
              <w:spacing w:line="360" w:lineRule="auto"/>
              <w:ind w:firstLine="480" w:firstLineChars="200"/>
              <w:rPr>
                <w:rFonts w:hAnsi="宋体"/>
                <w:bCs/>
                <w:sz w:val="24"/>
                <w:szCs w:val="24"/>
              </w:rPr>
            </w:pPr>
            <w:r>
              <w:rPr>
                <w:sz w:val="24"/>
              </w:rPr>
              <w:t>本项目营运期产生的大气污染物主要是</w:t>
            </w:r>
            <w:r>
              <w:rPr>
                <w:rFonts w:hAnsi="宋体"/>
                <w:bCs/>
                <w:sz w:val="24"/>
                <w:szCs w:val="24"/>
              </w:rPr>
              <w:t>有组织废气和无组织废气。有组织废气主要为隧道窑焙烧过程中产生的</w:t>
            </w:r>
            <w:r>
              <w:rPr>
                <w:bCs/>
                <w:sz w:val="24"/>
                <w:szCs w:val="24"/>
              </w:rPr>
              <w:t>废气</w:t>
            </w:r>
            <w:r>
              <w:rPr>
                <w:rFonts w:hAnsi="宋体"/>
                <w:bCs/>
                <w:sz w:val="24"/>
                <w:szCs w:val="24"/>
              </w:rPr>
              <w:t>；无组织废气主要是指粘土开采、物料装卸作业扬尘、运输过程产生的扬尘</w:t>
            </w:r>
            <w:r>
              <w:rPr>
                <w:rFonts w:hint="eastAsia" w:hAnsi="宋体"/>
                <w:bCs/>
                <w:color w:val="FF0000"/>
                <w:sz w:val="24"/>
                <w:szCs w:val="24"/>
              </w:rPr>
              <w:t>；干燥废气为洁净空气，不进行预测</w:t>
            </w:r>
            <w:r>
              <w:rPr>
                <w:rFonts w:hAnsi="宋体"/>
                <w:bCs/>
                <w:color w:val="FF0000"/>
                <w:sz w:val="24"/>
                <w:szCs w:val="24"/>
              </w:rPr>
              <w:t>。</w:t>
            </w:r>
          </w:p>
          <w:p>
            <w:pPr>
              <w:spacing w:line="360" w:lineRule="auto"/>
              <w:ind w:firstLine="480" w:firstLineChars="200"/>
              <w:rPr>
                <w:rFonts w:hAnsi="宋体"/>
                <w:sz w:val="24"/>
              </w:rPr>
            </w:pPr>
            <w:r>
              <w:rPr>
                <w:rFonts w:hint="eastAsia" w:hAnsi="宋体"/>
                <w:sz w:val="24"/>
              </w:rPr>
              <w:t>1、</w:t>
            </w:r>
            <w:r>
              <w:rPr>
                <w:rFonts w:hAnsi="宋体"/>
                <w:sz w:val="24"/>
              </w:rPr>
              <w:t>废气</w:t>
            </w:r>
            <w:r>
              <w:rPr>
                <w:rFonts w:hint="eastAsia" w:hAnsi="宋体"/>
                <w:sz w:val="24"/>
              </w:rPr>
              <w:t>预测影响分析</w:t>
            </w:r>
          </w:p>
          <w:p>
            <w:pPr>
              <w:spacing w:line="360" w:lineRule="auto"/>
              <w:ind w:firstLine="480" w:firstLineChars="200"/>
              <w:rPr>
                <w:sz w:val="24"/>
              </w:rPr>
            </w:pPr>
            <w:r>
              <w:rPr>
                <w:sz w:val="24"/>
                <w:szCs w:val="24"/>
              </w:rPr>
              <w:t>预测采用《环境影响评价技术导则·大气环境》(HJ2.2-2018)中AERSCREEN模型中预测模式，预测污染物在正常工况下的最大地面质量浓度</w:t>
            </w:r>
            <w:r>
              <w:rPr>
                <w:rFonts w:eastAsia="MS Mincho"/>
                <w:sz w:val="24"/>
                <w:szCs w:val="24"/>
              </w:rPr>
              <w:t>､</w:t>
            </w:r>
            <w:r>
              <w:rPr>
                <w:sz w:val="24"/>
                <w:szCs w:val="24"/>
              </w:rPr>
              <w:t>占标率</w:t>
            </w:r>
            <w:r>
              <w:rPr>
                <w:rFonts w:eastAsia="MS Mincho"/>
                <w:sz w:val="24"/>
                <w:szCs w:val="24"/>
              </w:rPr>
              <w:t>､</w:t>
            </w:r>
            <w:r>
              <w:rPr>
                <w:sz w:val="24"/>
                <w:szCs w:val="24"/>
              </w:rPr>
              <w:t>出现距离并计算其D10%</w:t>
            </w:r>
            <w:r>
              <w:rPr>
                <w:rFonts w:eastAsia="MS Mincho"/>
                <w:sz w:val="24"/>
              </w:rPr>
              <w:t>｡</w:t>
            </w:r>
          </w:p>
          <w:p>
            <w:pPr>
              <w:pStyle w:val="56"/>
              <w:numPr>
                <w:ilvl w:val="0"/>
                <w:numId w:val="2"/>
              </w:numPr>
              <w:spacing w:line="360" w:lineRule="auto"/>
              <w:ind w:firstLineChars="0"/>
              <w:rPr>
                <w:sz w:val="24"/>
                <w:szCs w:val="24"/>
              </w:rPr>
            </w:pPr>
            <w:r>
              <w:rPr>
                <w:sz w:val="24"/>
                <w:szCs w:val="24"/>
              </w:rPr>
              <w:t>污染源强及其参数输入清单</w:t>
            </w:r>
          </w:p>
          <w:p>
            <w:pPr>
              <w:spacing w:line="360" w:lineRule="auto"/>
              <w:ind w:firstLine="480" w:firstLineChars="200"/>
              <w:rPr>
                <w:sz w:val="24"/>
                <w:szCs w:val="24"/>
              </w:rPr>
            </w:pPr>
            <w:r>
              <w:rPr>
                <w:sz w:val="24"/>
                <w:szCs w:val="24"/>
              </w:rPr>
              <w:t>有组织废气污染源强及污染源参数输入清单见表</w:t>
            </w:r>
            <w:r>
              <w:rPr>
                <w:rFonts w:hint="eastAsia"/>
                <w:sz w:val="24"/>
                <w:szCs w:val="24"/>
              </w:rPr>
              <w:t>37</w:t>
            </w:r>
            <w:r>
              <w:rPr>
                <w:sz w:val="24"/>
                <w:szCs w:val="24"/>
              </w:rPr>
              <w:t>。</w:t>
            </w:r>
          </w:p>
          <w:p>
            <w:pPr>
              <w:pStyle w:val="107"/>
              <w:spacing w:before="62" w:beforeLines="20" w:line="240" w:lineRule="auto"/>
              <w:ind w:firstLine="0" w:firstLineChars="0"/>
              <w:jc w:val="center"/>
              <w:rPr>
                <w:rFonts w:ascii="Times New Roman" w:hAnsi="Times New Roman"/>
                <w:b/>
                <w:color w:val="auto"/>
                <w:spacing w:val="0"/>
                <w:sz w:val="21"/>
                <w:szCs w:val="21"/>
              </w:rPr>
            </w:pPr>
            <w:r>
              <w:rPr>
                <w:rFonts w:ascii="Times New Roman" w:hAnsi="Times New Roman"/>
                <w:b/>
                <w:color w:val="auto"/>
                <w:spacing w:val="0"/>
                <w:sz w:val="21"/>
                <w:szCs w:val="21"/>
              </w:rPr>
              <w:t>表</w:t>
            </w:r>
            <w:r>
              <w:rPr>
                <w:rFonts w:hint="eastAsia" w:ascii="Times New Roman" w:hAnsi="Times New Roman"/>
                <w:b/>
                <w:color w:val="auto"/>
                <w:spacing w:val="0"/>
                <w:sz w:val="21"/>
                <w:szCs w:val="21"/>
              </w:rPr>
              <w:t>37  本项目有组织排放源强一览表</w:t>
            </w:r>
          </w:p>
          <w:tbl>
            <w:tblPr>
              <w:tblStyle w:val="25"/>
              <w:tblW w:w="865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823"/>
              <w:gridCol w:w="567"/>
              <w:gridCol w:w="567"/>
              <w:gridCol w:w="850"/>
              <w:gridCol w:w="709"/>
              <w:gridCol w:w="709"/>
              <w:gridCol w:w="878"/>
              <w:gridCol w:w="709"/>
              <w:gridCol w:w="681"/>
              <w:gridCol w:w="595"/>
              <w:gridCol w:w="11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3" w:hRule="atLeast"/>
              </w:trPr>
              <w:tc>
                <w:tcPr>
                  <w:tcW w:w="457" w:type="dxa"/>
                  <w:vMerge w:val="restart"/>
                  <w:tcBorders>
                    <w:top w:val="single" w:color="auto" w:sz="12" w:space="0"/>
                    <w:left w:val="nil"/>
                    <w:righ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ascii="Times New Roman" w:hAnsi="Times New Roman"/>
                      <w:color w:val="auto"/>
                      <w:spacing w:val="0"/>
                      <w:sz w:val="21"/>
                      <w:szCs w:val="21"/>
                    </w:rPr>
                    <w:t>排气筒编号</w:t>
                  </w:r>
                </w:p>
              </w:tc>
              <w:tc>
                <w:tcPr>
                  <w:tcW w:w="823" w:type="dxa"/>
                  <w:vMerge w:val="restart"/>
                  <w:tcBorders>
                    <w:top w:val="single" w:color="auto" w:sz="12" w:space="0"/>
                    <w:lef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ascii="Times New Roman" w:hAnsi="Times New Roman"/>
                      <w:color w:val="auto"/>
                      <w:spacing w:val="0"/>
                      <w:sz w:val="21"/>
                      <w:szCs w:val="21"/>
                    </w:rPr>
                    <w:t>名称</w:t>
                  </w:r>
                </w:p>
              </w:tc>
              <w:tc>
                <w:tcPr>
                  <w:tcW w:w="1134" w:type="dxa"/>
                  <w:gridSpan w:val="2"/>
                  <w:tcBorders>
                    <w:top w:val="single" w:color="auto" w:sz="12" w:space="0"/>
                    <w:bottom w:val="single" w:color="auto" w:sz="4" w:space="0"/>
                    <w:righ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ascii="Times New Roman" w:hAnsi="Times New Roman"/>
                      <w:color w:val="auto"/>
                      <w:spacing w:val="0"/>
                      <w:sz w:val="21"/>
                      <w:szCs w:val="21"/>
                    </w:rPr>
                    <w:t>排气筒底部中心坐标（m）</w:t>
                  </w:r>
                </w:p>
              </w:tc>
              <w:tc>
                <w:tcPr>
                  <w:tcW w:w="850" w:type="dxa"/>
                  <w:vMerge w:val="restart"/>
                  <w:tcBorders>
                    <w:top w:val="single" w:color="auto" w:sz="12" w:space="0"/>
                    <w:lef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ascii="Times New Roman" w:hAnsi="Times New Roman"/>
                      <w:color w:val="auto"/>
                      <w:spacing w:val="0"/>
                      <w:sz w:val="21"/>
                      <w:szCs w:val="21"/>
                    </w:rPr>
                    <w:t>排气筒底部海拔高度/m</w:t>
                  </w:r>
                </w:p>
              </w:tc>
              <w:tc>
                <w:tcPr>
                  <w:tcW w:w="709" w:type="dxa"/>
                  <w:vMerge w:val="restart"/>
                  <w:tcBorders>
                    <w:top w:val="single" w:color="auto" w:sz="12"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ascii="Times New Roman" w:hAnsi="Times New Roman"/>
                      <w:color w:val="auto"/>
                      <w:spacing w:val="0"/>
                      <w:sz w:val="21"/>
                      <w:szCs w:val="21"/>
                    </w:rPr>
                    <w:t>排气筒高度/m</w:t>
                  </w:r>
                </w:p>
              </w:tc>
              <w:tc>
                <w:tcPr>
                  <w:tcW w:w="709" w:type="dxa"/>
                  <w:vMerge w:val="restart"/>
                  <w:tcBorders>
                    <w:top w:val="single" w:color="auto" w:sz="12"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ascii="Times New Roman" w:hAnsi="Times New Roman"/>
                      <w:color w:val="auto"/>
                      <w:spacing w:val="0"/>
                      <w:sz w:val="21"/>
                      <w:szCs w:val="21"/>
                    </w:rPr>
                    <w:t>排气筒出口内径/m</w:t>
                  </w:r>
                </w:p>
              </w:tc>
              <w:tc>
                <w:tcPr>
                  <w:tcW w:w="878" w:type="dxa"/>
                  <w:vMerge w:val="restart"/>
                  <w:tcBorders>
                    <w:top w:val="single" w:color="auto" w:sz="12"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ascii="Times New Roman" w:hAnsi="Times New Roman"/>
                      <w:color w:val="auto"/>
                      <w:spacing w:val="0"/>
                      <w:sz w:val="21"/>
                      <w:szCs w:val="21"/>
                    </w:rPr>
                    <w:t>烟气流速</w:t>
                  </w:r>
                  <w:r>
                    <w:rPr>
                      <w:rFonts w:ascii="Times New Roman" w:hAnsi="Times New Roman"/>
                      <w:color w:val="auto"/>
                      <w:sz w:val="21"/>
                      <w:szCs w:val="21"/>
                    </w:rPr>
                    <w:t>（m/s）</w:t>
                  </w:r>
                </w:p>
              </w:tc>
              <w:tc>
                <w:tcPr>
                  <w:tcW w:w="709" w:type="dxa"/>
                  <w:vMerge w:val="restart"/>
                  <w:tcBorders>
                    <w:top w:val="single" w:color="auto" w:sz="12"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ascii="Times New Roman" w:hAnsi="Times New Roman"/>
                      <w:color w:val="auto"/>
                      <w:sz w:val="21"/>
                      <w:szCs w:val="21"/>
                    </w:rPr>
                    <w:t>烟气温度（</w:t>
                  </w:r>
                  <w:r>
                    <w:rPr>
                      <w:rFonts w:hint="eastAsia" w:cs="宋体"/>
                      <w:color w:val="auto"/>
                      <w:sz w:val="21"/>
                      <w:szCs w:val="21"/>
                    </w:rPr>
                    <w:t>℃</w:t>
                  </w:r>
                  <w:r>
                    <w:rPr>
                      <w:rFonts w:ascii="Times New Roman" w:hAnsi="Times New Roman"/>
                      <w:color w:val="auto"/>
                      <w:sz w:val="21"/>
                      <w:szCs w:val="21"/>
                    </w:rPr>
                    <w:t>）</w:t>
                  </w:r>
                </w:p>
              </w:tc>
              <w:tc>
                <w:tcPr>
                  <w:tcW w:w="681" w:type="dxa"/>
                  <w:vMerge w:val="restart"/>
                  <w:tcBorders>
                    <w:top w:val="single" w:color="auto" w:sz="12"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ascii="Times New Roman" w:hAnsi="Times New Roman"/>
                      <w:color w:val="auto"/>
                      <w:spacing w:val="0"/>
                      <w:sz w:val="21"/>
                      <w:szCs w:val="21"/>
                    </w:rPr>
                    <w:t>年排放小时数</w:t>
                  </w:r>
                </w:p>
              </w:tc>
              <w:tc>
                <w:tcPr>
                  <w:tcW w:w="595" w:type="dxa"/>
                  <w:vMerge w:val="restart"/>
                  <w:tcBorders>
                    <w:top w:val="single" w:color="auto" w:sz="12"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ascii="Times New Roman" w:hAnsi="Times New Roman"/>
                      <w:color w:val="auto"/>
                      <w:spacing w:val="0"/>
                      <w:sz w:val="21"/>
                      <w:szCs w:val="21"/>
                    </w:rPr>
                    <w:t>排放工况</w:t>
                  </w:r>
                </w:p>
              </w:tc>
              <w:tc>
                <w:tcPr>
                  <w:tcW w:w="1106" w:type="dxa"/>
                  <w:vMerge w:val="restart"/>
                  <w:tcBorders>
                    <w:top w:val="single" w:color="auto" w:sz="12" w:space="0"/>
                    <w:right w:val="nil"/>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ascii="Times New Roman" w:hAnsi="Times New Roman"/>
                      <w:color w:val="auto"/>
                      <w:spacing w:val="0"/>
                      <w:sz w:val="21"/>
                      <w:szCs w:val="21"/>
                    </w:rPr>
                    <w:t>污染物排放速率/</w:t>
                  </w:r>
                  <w:r>
                    <w:rPr>
                      <w:rFonts w:ascii="Times New Roman" w:hAnsi="Times New Roman"/>
                      <w:color w:val="auto"/>
                      <w:sz w:val="21"/>
                      <w:szCs w:val="21"/>
                    </w:rPr>
                    <w:t>（kg/h）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457" w:type="dxa"/>
                  <w:vMerge w:val="continue"/>
                  <w:tcBorders>
                    <w:left w:val="nil"/>
                    <w:righ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823" w:type="dxa"/>
                  <w:vMerge w:val="continue"/>
                  <w:tcBorders>
                    <w:lef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567" w:type="dxa"/>
                  <w:tcBorders>
                    <w:top w:val="single" w:color="auto" w:sz="4" w:space="0"/>
                    <w:right w:val="single" w:color="auto" w:sz="4" w:space="0"/>
                  </w:tcBorders>
                  <w:vAlign w:val="center"/>
                </w:tcPr>
                <w:p>
                  <w:pPr>
                    <w:pStyle w:val="76"/>
                    <w:spacing w:line="400" w:lineRule="exact"/>
                    <w:rPr>
                      <w:rFonts w:hAnsi="Times New Roman"/>
                      <w:sz w:val="21"/>
                      <w:szCs w:val="21"/>
                    </w:rPr>
                  </w:pPr>
                  <w:r>
                    <w:rPr>
                      <w:rFonts w:hint="eastAsia"/>
                      <w:sz w:val="21"/>
                      <w:szCs w:val="21"/>
                    </w:rPr>
                    <w:t>经度</w:t>
                  </w:r>
                </w:p>
              </w:tc>
              <w:tc>
                <w:tcPr>
                  <w:tcW w:w="567" w:type="dxa"/>
                  <w:tcBorders>
                    <w:top w:val="single" w:color="auto" w:sz="4" w:space="0"/>
                    <w:left w:val="single" w:color="auto" w:sz="4" w:space="0"/>
                    <w:right w:val="single" w:color="auto" w:sz="4" w:space="0"/>
                  </w:tcBorders>
                  <w:vAlign w:val="center"/>
                </w:tcPr>
                <w:p>
                  <w:pPr>
                    <w:pStyle w:val="76"/>
                    <w:spacing w:line="400" w:lineRule="exact"/>
                    <w:rPr>
                      <w:rFonts w:hAnsi="Times New Roman"/>
                      <w:sz w:val="21"/>
                      <w:szCs w:val="21"/>
                    </w:rPr>
                  </w:pPr>
                  <w:r>
                    <w:rPr>
                      <w:rFonts w:hint="eastAsia"/>
                      <w:sz w:val="21"/>
                      <w:szCs w:val="21"/>
                    </w:rPr>
                    <w:t>纬度</w:t>
                  </w:r>
                </w:p>
              </w:tc>
              <w:tc>
                <w:tcPr>
                  <w:tcW w:w="850" w:type="dxa"/>
                  <w:vMerge w:val="continue"/>
                  <w:tcBorders>
                    <w:lef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709"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709"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878"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709" w:type="dxa"/>
                  <w:vMerge w:val="continue"/>
                  <w:vAlign w:val="center"/>
                </w:tcPr>
                <w:p>
                  <w:pPr>
                    <w:pStyle w:val="107"/>
                    <w:spacing w:before="62" w:beforeLines="20" w:line="240" w:lineRule="auto"/>
                    <w:ind w:firstLine="0" w:firstLineChars="0"/>
                    <w:jc w:val="center"/>
                    <w:rPr>
                      <w:rFonts w:ascii="Times New Roman" w:hAnsi="Times New Roman"/>
                      <w:color w:val="auto"/>
                      <w:sz w:val="21"/>
                      <w:szCs w:val="21"/>
                    </w:rPr>
                  </w:pPr>
                </w:p>
              </w:tc>
              <w:tc>
                <w:tcPr>
                  <w:tcW w:w="681"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595"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1106" w:type="dxa"/>
                  <w:vMerge w:val="continue"/>
                  <w:tcBorders>
                    <w:right w:val="nil"/>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6" w:hRule="atLeast"/>
              </w:trPr>
              <w:tc>
                <w:tcPr>
                  <w:tcW w:w="457" w:type="dxa"/>
                  <w:vMerge w:val="restart"/>
                  <w:tcBorders>
                    <w:left w:val="nil"/>
                    <w:right w:val="single" w:color="auto" w:sz="4" w:space="0"/>
                  </w:tcBorders>
                  <w:vAlign w:val="center"/>
                </w:tcPr>
                <w:p>
                  <w:pPr>
                    <w:pStyle w:val="107"/>
                    <w:spacing w:before="62" w:beforeLines="20" w:line="240" w:lineRule="auto"/>
                    <w:ind w:firstLine="0" w:firstLineChars="0"/>
                    <w:rPr>
                      <w:rFonts w:ascii="Times New Roman" w:hAnsi="Times New Roman"/>
                      <w:color w:val="auto"/>
                      <w:spacing w:val="0"/>
                      <w:sz w:val="21"/>
                      <w:szCs w:val="21"/>
                    </w:rPr>
                  </w:pPr>
                  <w:r>
                    <w:rPr>
                      <w:rFonts w:ascii="Times New Roman" w:hAnsi="Times New Roman"/>
                      <w:color w:val="auto"/>
                      <w:spacing w:val="0"/>
                      <w:sz w:val="21"/>
                      <w:szCs w:val="21"/>
                    </w:rPr>
                    <w:t>1#</w:t>
                  </w:r>
                </w:p>
              </w:tc>
              <w:tc>
                <w:tcPr>
                  <w:tcW w:w="823" w:type="dxa"/>
                  <w:tcBorders>
                    <w:left w:val="single" w:color="auto" w:sz="4" w:space="0"/>
                  </w:tcBorders>
                  <w:vAlign w:val="center"/>
                </w:tcPr>
                <w:p>
                  <w:pPr>
                    <w:pStyle w:val="107"/>
                    <w:spacing w:before="62" w:beforeLines="20" w:line="240" w:lineRule="auto"/>
                    <w:ind w:firstLine="0" w:firstLineChars="0"/>
                    <w:rPr>
                      <w:rFonts w:ascii="Times New Roman" w:hAnsi="Times New Roman"/>
                      <w:color w:val="auto"/>
                      <w:spacing w:val="0"/>
                      <w:sz w:val="21"/>
                      <w:szCs w:val="21"/>
                    </w:rPr>
                  </w:pPr>
                  <w:r>
                    <w:rPr>
                      <w:color w:val="auto"/>
                      <w:sz w:val="21"/>
                      <w:szCs w:val="21"/>
                    </w:rPr>
                    <w:t>烟尘</w:t>
                  </w:r>
                </w:p>
              </w:tc>
              <w:tc>
                <w:tcPr>
                  <w:tcW w:w="567" w:type="dxa"/>
                  <w:vMerge w:val="restart"/>
                  <w:tcBorders>
                    <w:righ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sz w:val="21"/>
                    </w:rPr>
                    <w:t>109.157097</w:t>
                  </w:r>
                </w:p>
              </w:tc>
              <w:tc>
                <w:tcPr>
                  <w:tcW w:w="567" w:type="dxa"/>
                  <w:vMerge w:val="restart"/>
                  <w:tcBorders>
                    <w:left w:val="single" w:color="auto" w:sz="4" w:space="0"/>
                    <w:righ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sz w:val="21"/>
                    </w:rPr>
                    <w:t>34.104876</w:t>
                  </w:r>
                </w:p>
              </w:tc>
              <w:tc>
                <w:tcPr>
                  <w:tcW w:w="850" w:type="dxa"/>
                  <w:vMerge w:val="restart"/>
                  <w:tcBorders>
                    <w:lef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hint="eastAsia"/>
                      <w:color w:val="auto"/>
                      <w:sz w:val="21"/>
                      <w:szCs w:val="21"/>
                    </w:rPr>
                    <w:t>530</w:t>
                  </w:r>
                </w:p>
              </w:tc>
              <w:tc>
                <w:tcPr>
                  <w:tcW w:w="709" w:type="dxa"/>
                  <w:vMerge w:val="restart"/>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ascii="Times New Roman" w:hAnsi="Times New Roman"/>
                      <w:color w:val="auto"/>
                      <w:spacing w:val="0"/>
                      <w:sz w:val="21"/>
                      <w:szCs w:val="21"/>
                    </w:rPr>
                    <w:t>15</w:t>
                  </w:r>
                </w:p>
              </w:tc>
              <w:tc>
                <w:tcPr>
                  <w:tcW w:w="709" w:type="dxa"/>
                  <w:vMerge w:val="restart"/>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hint="eastAsia"/>
                      <w:color w:val="auto"/>
                      <w:sz w:val="21"/>
                      <w:szCs w:val="21"/>
                    </w:rPr>
                    <w:t>0.6</w:t>
                  </w:r>
                </w:p>
              </w:tc>
              <w:tc>
                <w:tcPr>
                  <w:tcW w:w="878" w:type="dxa"/>
                  <w:vMerge w:val="restart"/>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hint="eastAsia" w:ascii="Times New Roman" w:hAnsi="Times New Roman"/>
                      <w:color w:val="auto"/>
                      <w:spacing w:val="0"/>
                      <w:sz w:val="21"/>
                      <w:szCs w:val="21"/>
                    </w:rPr>
                    <w:t>10.5</w:t>
                  </w:r>
                </w:p>
              </w:tc>
              <w:tc>
                <w:tcPr>
                  <w:tcW w:w="709" w:type="dxa"/>
                  <w:vMerge w:val="restart"/>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hint="eastAsia" w:ascii="Times New Roman" w:hAnsi="Times New Roman"/>
                      <w:color w:val="auto"/>
                      <w:spacing w:val="0"/>
                      <w:sz w:val="21"/>
                      <w:szCs w:val="21"/>
                    </w:rPr>
                    <w:t>120</w:t>
                  </w:r>
                </w:p>
              </w:tc>
              <w:tc>
                <w:tcPr>
                  <w:tcW w:w="681" w:type="dxa"/>
                  <w:vMerge w:val="restart"/>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hint="eastAsia"/>
                      <w:color w:val="auto"/>
                      <w:sz w:val="21"/>
                      <w:szCs w:val="21"/>
                    </w:rPr>
                    <w:t>7200</w:t>
                  </w:r>
                </w:p>
              </w:tc>
              <w:tc>
                <w:tcPr>
                  <w:tcW w:w="595" w:type="dxa"/>
                  <w:vMerge w:val="restart"/>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hint="eastAsia" w:ascii="Times New Roman" w:hAnsi="Times New Roman"/>
                      <w:color w:val="auto"/>
                      <w:spacing w:val="0"/>
                      <w:sz w:val="21"/>
                      <w:szCs w:val="21"/>
                    </w:rPr>
                    <w:t>正常工况</w:t>
                  </w:r>
                </w:p>
              </w:tc>
              <w:tc>
                <w:tcPr>
                  <w:tcW w:w="1106" w:type="dxa"/>
                  <w:tcBorders>
                    <w:right w:val="nil"/>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color w:val="auto"/>
                      <w:sz w:val="21"/>
                      <w:szCs w:val="21"/>
                    </w:rPr>
                    <w:t>0.1</w:t>
                  </w:r>
                  <w:r>
                    <w:rPr>
                      <w:rFonts w:hint="eastAsia"/>
                      <w:color w:val="auto"/>
                      <w:sz w:val="21"/>
                      <w:szCs w:val="21"/>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 w:hRule="atLeast"/>
              </w:trPr>
              <w:tc>
                <w:tcPr>
                  <w:tcW w:w="457" w:type="dxa"/>
                  <w:vMerge w:val="continue"/>
                  <w:tcBorders>
                    <w:left w:val="nil"/>
                    <w:right w:val="single" w:color="auto" w:sz="4" w:space="0"/>
                  </w:tcBorders>
                  <w:vAlign w:val="center"/>
                </w:tcPr>
                <w:p>
                  <w:pPr>
                    <w:pStyle w:val="107"/>
                    <w:spacing w:before="62" w:beforeLines="20" w:line="240" w:lineRule="auto"/>
                    <w:ind w:firstLine="0" w:firstLineChars="0"/>
                    <w:rPr>
                      <w:rFonts w:ascii="Times New Roman" w:hAnsi="Times New Roman"/>
                      <w:color w:val="auto"/>
                      <w:spacing w:val="0"/>
                      <w:sz w:val="21"/>
                      <w:szCs w:val="21"/>
                    </w:rPr>
                  </w:pPr>
                </w:p>
              </w:tc>
              <w:tc>
                <w:tcPr>
                  <w:tcW w:w="823" w:type="dxa"/>
                  <w:tcBorders>
                    <w:left w:val="single" w:color="auto" w:sz="4" w:space="0"/>
                  </w:tcBorders>
                  <w:vAlign w:val="center"/>
                </w:tcPr>
                <w:p>
                  <w:pPr>
                    <w:pStyle w:val="107"/>
                    <w:spacing w:before="62" w:beforeLines="20" w:line="240" w:lineRule="auto"/>
                    <w:ind w:firstLine="0" w:firstLineChars="0"/>
                    <w:rPr>
                      <w:rFonts w:ascii="Times New Roman" w:hAnsi="Times New Roman"/>
                      <w:color w:val="auto"/>
                      <w:spacing w:val="0"/>
                      <w:sz w:val="21"/>
                      <w:szCs w:val="21"/>
                    </w:rPr>
                  </w:pPr>
                  <w:r>
                    <w:rPr>
                      <w:rFonts w:hint="eastAsia"/>
                      <w:color w:val="auto"/>
                      <w:sz w:val="21"/>
                      <w:szCs w:val="21"/>
                    </w:rPr>
                    <w:t>SO</w:t>
                  </w:r>
                  <w:r>
                    <w:rPr>
                      <w:rFonts w:hint="eastAsia"/>
                      <w:color w:val="auto"/>
                      <w:sz w:val="21"/>
                      <w:szCs w:val="21"/>
                      <w:vertAlign w:val="subscript"/>
                    </w:rPr>
                    <w:t>2</w:t>
                  </w:r>
                </w:p>
              </w:tc>
              <w:tc>
                <w:tcPr>
                  <w:tcW w:w="567" w:type="dxa"/>
                  <w:vMerge w:val="continue"/>
                  <w:tcBorders>
                    <w:righ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567" w:type="dxa"/>
                  <w:vMerge w:val="continue"/>
                  <w:tcBorders>
                    <w:left w:val="single" w:color="auto" w:sz="4" w:space="0"/>
                    <w:righ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850" w:type="dxa"/>
                  <w:vMerge w:val="continue"/>
                  <w:tcBorders>
                    <w:lef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709"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709"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878"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709"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681"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595"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1106" w:type="dxa"/>
                  <w:tcBorders>
                    <w:right w:val="nil"/>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hint="eastAsia"/>
                      <w:color w:val="auto"/>
                      <w:sz w:val="21"/>
                      <w:szCs w:val="21"/>
                    </w:rPr>
                    <w:t>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 w:hRule="atLeast"/>
              </w:trPr>
              <w:tc>
                <w:tcPr>
                  <w:tcW w:w="457" w:type="dxa"/>
                  <w:vMerge w:val="continue"/>
                  <w:tcBorders>
                    <w:left w:val="nil"/>
                    <w:right w:val="single" w:color="auto" w:sz="4" w:space="0"/>
                  </w:tcBorders>
                  <w:vAlign w:val="center"/>
                </w:tcPr>
                <w:p>
                  <w:pPr>
                    <w:pStyle w:val="107"/>
                    <w:spacing w:before="62" w:beforeLines="20" w:line="240" w:lineRule="auto"/>
                    <w:ind w:firstLine="0" w:firstLineChars="0"/>
                    <w:rPr>
                      <w:rFonts w:ascii="Times New Roman" w:hAnsi="Times New Roman"/>
                      <w:color w:val="auto"/>
                      <w:spacing w:val="0"/>
                      <w:sz w:val="21"/>
                      <w:szCs w:val="21"/>
                    </w:rPr>
                  </w:pPr>
                </w:p>
              </w:tc>
              <w:tc>
                <w:tcPr>
                  <w:tcW w:w="823" w:type="dxa"/>
                  <w:tcBorders>
                    <w:left w:val="single" w:color="auto" w:sz="4" w:space="0"/>
                  </w:tcBorders>
                  <w:vAlign w:val="center"/>
                </w:tcPr>
                <w:p>
                  <w:pPr>
                    <w:pStyle w:val="107"/>
                    <w:spacing w:before="62" w:beforeLines="20" w:line="240" w:lineRule="auto"/>
                    <w:ind w:firstLine="0" w:firstLineChars="0"/>
                    <w:rPr>
                      <w:rFonts w:ascii="Times New Roman" w:hAnsi="Times New Roman"/>
                      <w:color w:val="auto"/>
                      <w:spacing w:val="0"/>
                      <w:sz w:val="21"/>
                      <w:szCs w:val="21"/>
                    </w:rPr>
                  </w:pPr>
                  <w:r>
                    <w:rPr>
                      <w:color w:val="auto"/>
                      <w:sz w:val="21"/>
                      <w:szCs w:val="21"/>
                    </w:rPr>
                    <w:t>NO</w:t>
                  </w:r>
                  <w:r>
                    <w:rPr>
                      <w:rFonts w:hint="eastAsia"/>
                      <w:color w:val="auto"/>
                      <w:sz w:val="21"/>
                      <w:szCs w:val="21"/>
                    </w:rPr>
                    <w:t>x</w:t>
                  </w:r>
                </w:p>
              </w:tc>
              <w:tc>
                <w:tcPr>
                  <w:tcW w:w="567" w:type="dxa"/>
                  <w:vMerge w:val="continue"/>
                  <w:tcBorders>
                    <w:righ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567" w:type="dxa"/>
                  <w:vMerge w:val="continue"/>
                  <w:tcBorders>
                    <w:left w:val="single" w:color="auto" w:sz="4" w:space="0"/>
                    <w:righ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850" w:type="dxa"/>
                  <w:vMerge w:val="continue"/>
                  <w:tcBorders>
                    <w:lef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709"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709"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878"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709"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681"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595"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1106" w:type="dxa"/>
                  <w:tcBorders>
                    <w:right w:val="nil"/>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hint="eastAsia" w:ascii="Times New Roman" w:hAnsi="Times New Roman"/>
                      <w:color w:val="auto"/>
                      <w:spacing w:val="0"/>
                      <w:sz w:val="21"/>
                      <w:szCs w:val="21"/>
                    </w:rPr>
                    <w:t>1.47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 w:hRule="atLeast"/>
              </w:trPr>
              <w:tc>
                <w:tcPr>
                  <w:tcW w:w="457" w:type="dxa"/>
                  <w:vMerge w:val="continue"/>
                  <w:tcBorders>
                    <w:left w:val="nil"/>
                    <w:right w:val="single" w:color="auto" w:sz="4" w:space="0"/>
                  </w:tcBorders>
                  <w:vAlign w:val="center"/>
                </w:tcPr>
                <w:p>
                  <w:pPr>
                    <w:pStyle w:val="107"/>
                    <w:spacing w:before="62" w:beforeLines="20" w:line="240" w:lineRule="auto"/>
                    <w:ind w:firstLine="0" w:firstLineChars="0"/>
                    <w:rPr>
                      <w:rFonts w:ascii="Times New Roman" w:hAnsi="Times New Roman"/>
                      <w:color w:val="auto"/>
                      <w:spacing w:val="0"/>
                      <w:sz w:val="21"/>
                      <w:szCs w:val="21"/>
                    </w:rPr>
                  </w:pPr>
                </w:p>
              </w:tc>
              <w:tc>
                <w:tcPr>
                  <w:tcW w:w="823" w:type="dxa"/>
                  <w:tcBorders>
                    <w:left w:val="single" w:color="auto" w:sz="4" w:space="0"/>
                  </w:tcBorders>
                  <w:vAlign w:val="center"/>
                </w:tcPr>
                <w:p>
                  <w:pPr>
                    <w:pStyle w:val="107"/>
                    <w:spacing w:before="62" w:beforeLines="20" w:line="240" w:lineRule="auto"/>
                    <w:ind w:firstLine="0" w:firstLineChars="0"/>
                    <w:rPr>
                      <w:rFonts w:ascii="Times New Roman" w:hAnsi="Times New Roman"/>
                      <w:color w:val="auto"/>
                      <w:spacing w:val="0"/>
                      <w:sz w:val="21"/>
                      <w:szCs w:val="21"/>
                    </w:rPr>
                  </w:pPr>
                  <w:r>
                    <w:rPr>
                      <w:rFonts w:hint="eastAsia"/>
                      <w:color w:val="auto"/>
                      <w:sz w:val="21"/>
                      <w:szCs w:val="21"/>
                    </w:rPr>
                    <w:t>氟化物</w:t>
                  </w:r>
                </w:p>
              </w:tc>
              <w:tc>
                <w:tcPr>
                  <w:tcW w:w="567" w:type="dxa"/>
                  <w:vMerge w:val="continue"/>
                  <w:tcBorders>
                    <w:righ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567" w:type="dxa"/>
                  <w:vMerge w:val="continue"/>
                  <w:tcBorders>
                    <w:left w:val="single" w:color="auto" w:sz="4" w:space="0"/>
                    <w:righ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850" w:type="dxa"/>
                  <w:vMerge w:val="continue"/>
                  <w:tcBorders>
                    <w:left w:val="single" w:color="auto" w:sz="4" w:space="0"/>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709"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709"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878"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709"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681"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595" w:type="dxa"/>
                  <w:vMerge w:val="continue"/>
                  <w:vAlign w:val="center"/>
                </w:tcPr>
                <w:p>
                  <w:pPr>
                    <w:pStyle w:val="107"/>
                    <w:spacing w:before="62" w:beforeLines="20" w:line="240" w:lineRule="auto"/>
                    <w:ind w:firstLine="0" w:firstLineChars="0"/>
                    <w:jc w:val="center"/>
                    <w:rPr>
                      <w:rFonts w:ascii="Times New Roman" w:hAnsi="Times New Roman"/>
                      <w:color w:val="auto"/>
                      <w:spacing w:val="0"/>
                      <w:sz w:val="21"/>
                      <w:szCs w:val="21"/>
                    </w:rPr>
                  </w:pPr>
                </w:p>
              </w:tc>
              <w:tc>
                <w:tcPr>
                  <w:tcW w:w="1106" w:type="dxa"/>
                  <w:tcBorders>
                    <w:right w:val="nil"/>
                  </w:tcBorders>
                  <w:vAlign w:val="center"/>
                </w:tcPr>
                <w:p>
                  <w:pPr>
                    <w:pStyle w:val="107"/>
                    <w:spacing w:before="62" w:beforeLines="20" w:line="240" w:lineRule="auto"/>
                    <w:ind w:firstLine="0" w:firstLineChars="0"/>
                    <w:jc w:val="center"/>
                    <w:rPr>
                      <w:rFonts w:ascii="Times New Roman" w:hAnsi="Times New Roman"/>
                      <w:color w:val="auto"/>
                      <w:spacing w:val="0"/>
                      <w:sz w:val="21"/>
                      <w:szCs w:val="21"/>
                    </w:rPr>
                  </w:pPr>
                  <w:r>
                    <w:rPr>
                      <w:rFonts w:hint="eastAsia"/>
                      <w:color w:val="auto"/>
                      <w:sz w:val="21"/>
                      <w:szCs w:val="21"/>
                    </w:rPr>
                    <w:t>0.009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1" w:hRule="atLeast"/>
              </w:trPr>
              <w:tc>
                <w:tcPr>
                  <w:tcW w:w="457" w:type="dxa"/>
                  <w:tcBorders>
                    <w:left w:val="nil"/>
                    <w:bottom w:val="single" w:color="auto" w:sz="12" w:space="0"/>
                    <w:right w:val="single" w:color="auto" w:sz="4" w:space="0"/>
                  </w:tcBorders>
                  <w:vAlign w:val="center"/>
                </w:tcPr>
                <w:p>
                  <w:pPr>
                    <w:pStyle w:val="107"/>
                    <w:spacing w:before="62" w:beforeLines="20" w:line="240" w:lineRule="auto"/>
                    <w:ind w:firstLine="0" w:firstLineChars="0"/>
                    <w:rPr>
                      <w:rFonts w:ascii="Times New Roman" w:hAnsi="Times New Roman"/>
                      <w:color w:val="FF0000"/>
                      <w:spacing w:val="0"/>
                      <w:sz w:val="21"/>
                      <w:szCs w:val="21"/>
                    </w:rPr>
                  </w:pPr>
                  <w:r>
                    <w:rPr>
                      <w:rFonts w:hint="eastAsia" w:ascii="Times New Roman" w:hAnsi="Times New Roman"/>
                      <w:color w:val="FF0000"/>
                      <w:spacing w:val="0"/>
                      <w:sz w:val="21"/>
                      <w:szCs w:val="21"/>
                    </w:rPr>
                    <w:t>2#</w:t>
                  </w:r>
                </w:p>
              </w:tc>
              <w:tc>
                <w:tcPr>
                  <w:tcW w:w="823" w:type="dxa"/>
                  <w:tcBorders>
                    <w:left w:val="single" w:color="auto" w:sz="4" w:space="0"/>
                    <w:bottom w:val="single" w:color="auto" w:sz="12" w:space="0"/>
                  </w:tcBorders>
                  <w:vAlign w:val="center"/>
                </w:tcPr>
                <w:p>
                  <w:pPr>
                    <w:pStyle w:val="107"/>
                    <w:spacing w:before="62" w:beforeLines="20" w:line="240" w:lineRule="auto"/>
                    <w:ind w:firstLine="0" w:firstLineChars="0"/>
                    <w:rPr>
                      <w:color w:val="FF0000"/>
                      <w:sz w:val="21"/>
                      <w:szCs w:val="21"/>
                    </w:rPr>
                  </w:pPr>
                  <w:r>
                    <w:rPr>
                      <w:rFonts w:hint="eastAsia"/>
                      <w:color w:val="FF0000"/>
                      <w:sz w:val="21"/>
                      <w:szCs w:val="21"/>
                    </w:rPr>
                    <w:t>颗粒物</w:t>
                  </w:r>
                </w:p>
              </w:tc>
              <w:tc>
                <w:tcPr>
                  <w:tcW w:w="567" w:type="dxa"/>
                  <w:tcBorders>
                    <w:bottom w:val="single" w:color="auto" w:sz="12" w:space="0"/>
                    <w:right w:val="single" w:color="auto" w:sz="4" w:space="0"/>
                  </w:tcBorders>
                  <w:vAlign w:val="center"/>
                </w:tcPr>
                <w:p>
                  <w:pPr>
                    <w:pStyle w:val="76"/>
                    <w:spacing w:line="240" w:lineRule="auto"/>
                    <w:rPr>
                      <w:rFonts w:hAnsi="Times New Roman"/>
                      <w:color w:val="FF0000"/>
                      <w:sz w:val="21"/>
                      <w:szCs w:val="21"/>
                    </w:rPr>
                  </w:pPr>
                  <w:r>
                    <w:rPr>
                      <w:color w:val="FF0000"/>
                    </w:rPr>
                    <w:t>109.156468</w:t>
                  </w:r>
                </w:p>
              </w:tc>
              <w:tc>
                <w:tcPr>
                  <w:tcW w:w="567" w:type="dxa"/>
                  <w:tcBorders>
                    <w:left w:val="single" w:color="auto" w:sz="4" w:space="0"/>
                    <w:bottom w:val="single" w:color="auto" w:sz="12" w:space="0"/>
                    <w:right w:val="single" w:color="auto" w:sz="4" w:space="0"/>
                  </w:tcBorders>
                  <w:vAlign w:val="center"/>
                </w:tcPr>
                <w:p>
                  <w:pPr>
                    <w:pStyle w:val="76"/>
                    <w:spacing w:line="240" w:lineRule="auto"/>
                    <w:rPr>
                      <w:rFonts w:hAnsi="Times New Roman"/>
                      <w:color w:val="FF0000"/>
                      <w:sz w:val="21"/>
                      <w:szCs w:val="21"/>
                    </w:rPr>
                  </w:pPr>
                  <w:r>
                    <w:rPr>
                      <w:color w:val="FF0000"/>
                    </w:rPr>
                    <w:t>34.105065</w:t>
                  </w:r>
                </w:p>
              </w:tc>
              <w:tc>
                <w:tcPr>
                  <w:tcW w:w="850" w:type="dxa"/>
                  <w:tcBorders>
                    <w:left w:val="single" w:color="auto" w:sz="4" w:space="0"/>
                    <w:bottom w:val="single" w:color="auto" w:sz="12" w:space="0"/>
                  </w:tcBorders>
                  <w:vAlign w:val="center"/>
                </w:tcPr>
                <w:p>
                  <w:pPr>
                    <w:pStyle w:val="107"/>
                    <w:spacing w:before="62" w:beforeLines="20" w:line="240" w:lineRule="auto"/>
                    <w:ind w:firstLine="0" w:firstLineChars="0"/>
                    <w:jc w:val="center"/>
                    <w:rPr>
                      <w:rFonts w:ascii="Times New Roman" w:hAnsi="Times New Roman"/>
                      <w:color w:val="FF0000"/>
                      <w:spacing w:val="0"/>
                      <w:sz w:val="21"/>
                      <w:szCs w:val="21"/>
                    </w:rPr>
                  </w:pPr>
                  <w:r>
                    <w:rPr>
                      <w:rFonts w:hint="eastAsia" w:ascii="Times New Roman" w:hAnsi="Times New Roman"/>
                      <w:color w:val="FF0000"/>
                      <w:spacing w:val="0"/>
                      <w:sz w:val="21"/>
                      <w:szCs w:val="21"/>
                    </w:rPr>
                    <w:t>530</w:t>
                  </w:r>
                </w:p>
              </w:tc>
              <w:tc>
                <w:tcPr>
                  <w:tcW w:w="709" w:type="dxa"/>
                  <w:tcBorders>
                    <w:bottom w:val="single" w:color="auto" w:sz="12" w:space="0"/>
                  </w:tcBorders>
                  <w:vAlign w:val="center"/>
                </w:tcPr>
                <w:p>
                  <w:pPr>
                    <w:pStyle w:val="107"/>
                    <w:spacing w:before="62" w:beforeLines="20" w:line="240" w:lineRule="auto"/>
                    <w:ind w:firstLine="0" w:firstLineChars="0"/>
                    <w:jc w:val="center"/>
                    <w:rPr>
                      <w:rFonts w:ascii="Times New Roman" w:hAnsi="Times New Roman"/>
                      <w:color w:val="FF0000"/>
                      <w:spacing w:val="0"/>
                      <w:sz w:val="21"/>
                      <w:szCs w:val="21"/>
                    </w:rPr>
                  </w:pPr>
                  <w:r>
                    <w:rPr>
                      <w:rFonts w:hint="eastAsia" w:ascii="Times New Roman" w:hAnsi="Times New Roman"/>
                      <w:color w:val="FF0000"/>
                      <w:spacing w:val="0"/>
                      <w:sz w:val="21"/>
                      <w:szCs w:val="21"/>
                    </w:rPr>
                    <w:t>15</w:t>
                  </w:r>
                </w:p>
              </w:tc>
              <w:tc>
                <w:tcPr>
                  <w:tcW w:w="709" w:type="dxa"/>
                  <w:tcBorders>
                    <w:bottom w:val="single" w:color="auto" w:sz="12" w:space="0"/>
                  </w:tcBorders>
                  <w:vAlign w:val="center"/>
                </w:tcPr>
                <w:p>
                  <w:pPr>
                    <w:pStyle w:val="107"/>
                    <w:spacing w:before="62" w:beforeLines="20" w:line="240" w:lineRule="auto"/>
                    <w:ind w:firstLine="0" w:firstLineChars="0"/>
                    <w:jc w:val="center"/>
                    <w:rPr>
                      <w:rFonts w:ascii="Times New Roman" w:hAnsi="Times New Roman"/>
                      <w:color w:val="FF0000"/>
                      <w:spacing w:val="0"/>
                      <w:sz w:val="21"/>
                      <w:szCs w:val="21"/>
                    </w:rPr>
                  </w:pPr>
                  <w:r>
                    <w:rPr>
                      <w:rFonts w:hint="eastAsia" w:ascii="Times New Roman" w:hAnsi="Times New Roman"/>
                      <w:color w:val="FF0000"/>
                      <w:spacing w:val="0"/>
                      <w:sz w:val="21"/>
                      <w:szCs w:val="21"/>
                    </w:rPr>
                    <w:t>0.4</w:t>
                  </w:r>
                </w:p>
              </w:tc>
              <w:tc>
                <w:tcPr>
                  <w:tcW w:w="878" w:type="dxa"/>
                  <w:tcBorders>
                    <w:bottom w:val="single" w:color="auto" w:sz="12" w:space="0"/>
                  </w:tcBorders>
                  <w:vAlign w:val="center"/>
                </w:tcPr>
                <w:p>
                  <w:pPr>
                    <w:pStyle w:val="107"/>
                    <w:spacing w:before="62" w:beforeLines="20" w:line="240" w:lineRule="auto"/>
                    <w:ind w:firstLine="0" w:firstLineChars="0"/>
                    <w:jc w:val="center"/>
                    <w:rPr>
                      <w:rFonts w:ascii="Times New Roman" w:hAnsi="Times New Roman"/>
                      <w:color w:val="FF0000"/>
                      <w:spacing w:val="0"/>
                      <w:sz w:val="21"/>
                      <w:szCs w:val="21"/>
                    </w:rPr>
                  </w:pPr>
                  <w:r>
                    <w:rPr>
                      <w:rFonts w:hint="eastAsia" w:ascii="Times New Roman" w:hAnsi="Times New Roman"/>
                      <w:color w:val="FF0000"/>
                      <w:spacing w:val="0"/>
                      <w:sz w:val="21"/>
                      <w:szCs w:val="21"/>
                    </w:rPr>
                    <w:t>11.0</w:t>
                  </w:r>
                </w:p>
              </w:tc>
              <w:tc>
                <w:tcPr>
                  <w:tcW w:w="709" w:type="dxa"/>
                  <w:tcBorders>
                    <w:bottom w:val="single" w:color="auto" w:sz="12" w:space="0"/>
                  </w:tcBorders>
                  <w:vAlign w:val="center"/>
                </w:tcPr>
                <w:p>
                  <w:pPr>
                    <w:pStyle w:val="107"/>
                    <w:spacing w:before="62" w:beforeLines="20" w:line="240" w:lineRule="auto"/>
                    <w:ind w:firstLine="0" w:firstLineChars="0"/>
                    <w:jc w:val="center"/>
                    <w:rPr>
                      <w:rFonts w:ascii="Times New Roman" w:hAnsi="Times New Roman"/>
                      <w:color w:val="FF0000"/>
                      <w:spacing w:val="0"/>
                      <w:sz w:val="21"/>
                      <w:szCs w:val="21"/>
                    </w:rPr>
                  </w:pPr>
                  <w:r>
                    <w:rPr>
                      <w:rFonts w:hint="eastAsia" w:ascii="Times New Roman" w:hAnsi="Times New Roman"/>
                      <w:color w:val="FF0000"/>
                      <w:spacing w:val="0"/>
                      <w:sz w:val="21"/>
                      <w:szCs w:val="21"/>
                    </w:rPr>
                    <w:t>25</w:t>
                  </w:r>
                </w:p>
              </w:tc>
              <w:tc>
                <w:tcPr>
                  <w:tcW w:w="681" w:type="dxa"/>
                  <w:tcBorders>
                    <w:bottom w:val="single" w:color="auto" w:sz="12" w:space="0"/>
                  </w:tcBorders>
                  <w:vAlign w:val="center"/>
                </w:tcPr>
                <w:p>
                  <w:pPr>
                    <w:pStyle w:val="107"/>
                    <w:spacing w:before="62" w:beforeLines="20" w:line="240" w:lineRule="auto"/>
                    <w:ind w:firstLine="0" w:firstLineChars="0"/>
                    <w:jc w:val="center"/>
                    <w:rPr>
                      <w:rFonts w:ascii="Times New Roman" w:hAnsi="Times New Roman"/>
                      <w:color w:val="FF0000"/>
                      <w:spacing w:val="0"/>
                      <w:sz w:val="21"/>
                      <w:szCs w:val="21"/>
                    </w:rPr>
                  </w:pPr>
                  <w:r>
                    <w:rPr>
                      <w:rFonts w:hint="eastAsia" w:ascii="Times New Roman" w:hAnsi="Times New Roman"/>
                      <w:color w:val="FF0000"/>
                      <w:spacing w:val="0"/>
                      <w:sz w:val="21"/>
                      <w:szCs w:val="21"/>
                    </w:rPr>
                    <w:t>600</w:t>
                  </w:r>
                </w:p>
              </w:tc>
              <w:tc>
                <w:tcPr>
                  <w:tcW w:w="595" w:type="dxa"/>
                  <w:vMerge w:val="continue"/>
                  <w:tcBorders>
                    <w:bottom w:val="single" w:color="auto" w:sz="12" w:space="0"/>
                  </w:tcBorders>
                  <w:vAlign w:val="center"/>
                </w:tcPr>
                <w:p>
                  <w:pPr>
                    <w:pStyle w:val="107"/>
                    <w:spacing w:before="62" w:beforeLines="20" w:line="240" w:lineRule="auto"/>
                    <w:ind w:firstLine="0" w:firstLineChars="0"/>
                    <w:jc w:val="center"/>
                    <w:rPr>
                      <w:rFonts w:ascii="Times New Roman" w:hAnsi="Times New Roman"/>
                      <w:color w:val="FF0000"/>
                      <w:spacing w:val="0"/>
                      <w:sz w:val="21"/>
                      <w:szCs w:val="21"/>
                    </w:rPr>
                  </w:pPr>
                </w:p>
              </w:tc>
              <w:tc>
                <w:tcPr>
                  <w:tcW w:w="1106" w:type="dxa"/>
                  <w:tcBorders>
                    <w:bottom w:val="single" w:color="auto" w:sz="12" w:space="0"/>
                    <w:right w:val="nil"/>
                  </w:tcBorders>
                  <w:vAlign w:val="center"/>
                </w:tcPr>
                <w:p>
                  <w:pPr>
                    <w:pStyle w:val="107"/>
                    <w:spacing w:before="62" w:beforeLines="20" w:line="240" w:lineRule="auto"/>
                    <w:ind w:firstLine="0" w:firstLineChars="0"/>
                    <w:jc w:val="center"/>
                    <w:rPr>
                      <w:color w:val="FF0000"/>
                      <w:sz w:val="21"/>
                      <w:szCs w:val="21"/>
                    </w:rPr>
                  </w:pPr>
                  <w:r>
                    <w:rPr>
                      <w:rFonts w:hint="eastAsia"/>
                      <w:color w:val="FF0000"/>
                      <w:sz w:val="21"/>
                      <w:szCs w:val="21"/>
                    </w:rPr>
                    <w:t>0.06</w:t>
                  </w:r>
                </w:p>
              </w:tc>
            </w:tr>
          </w:tbl>
          <w:p>
            <w:pPr>
              <w:pStyle w:val="114"/>
              <w:rPr>
                <w:color w:val="00B050"/>
              </w:rPr>
            </w:pPr>
            <w:r>
              <w:rPr>
                <w:color w:val="00B050"/>
              </w:rPr>
              <w:t>表3</w:t>
            </w:r>
            <w:r>
              <w:rPr>
                <w:rFonts w:hint="eastAsia"/>
                <w:color w:val="00B050"/>
              </w:rPr>
              <w:t>8</w:t>
            </w:r>
            <w:r>
              <w:rPr>
                <w:color w:val="00B050"/>
              </w:rPr>
              <w:t xml:space="preserve">   本</w:t>
            </w:r>
            <w:r>
              <w:rPr>
                <w:rFonts w:hint="eastAsia"/>
                <w:color w:val="00B050"/>
              </w:rPr>
              <w:t>项目无组织排放源强一览表</w:t>
            </w:r>
          </w:p>
          <w:tbl>
            <w:tblPr>
              <w:tblStyle w:val="25"/>
              <w:tblW w:w="4914"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846"/>
              <w:gridCol w:w="584"/>
              <w:gridCol w:w="609"/>
              <w:gridCol w:w="609"/>
              <w:gridCol w:w="852"/>
              <w:gridCol w:w="971"/>
              <w:gridCol w:w="852"/>
              <w:gridCol w:w="1221"/>
              <w:gridCol w:w="992"/>
              <w:gridCol w:w="11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487" w:type="pct"/>
                  <w:vMerge w:val="restart"/>
                  <w:vAlign w:val="center"/>
                </w:tcPr>
                <w:p>
                  <w:pPr>
                    <w:spacing w:line="400" w:lineRule="exact"/>
                    <w:jc w:val="center"/>
                    <w:rPr>
                      <w:color w:val="00B050"/>
                    </w:rPr>
                  </w:pPr>
                  <w:r>
                    <w:rPr>
                      <w:color w:val="00B050"/>
                    </w:rPr>
                    <w:t>污染源名称</w:t>
                  </w:r>
                </w:p>
              </w:tc>
              <w:tc>
                <w:tcPr>
                  <w:tcW w:w="688" w:type="pct"/>
                  <w:gridSpan w:val="2"/>
                  <w:vAlign w:val="center"/>
                </w:tcPr>
                <w:p>
                  <w:pPr>
                    <w:snapToGrid w:val="0"/>
                    <w:spacing w:line="400" w:lineRule="exact"/>
                    <w:jc w:val="center"/>
                    <w:rPr>
                      <w:color w:val="00B050"/>
                      <w:szCs w:val="21"/>
                    </w:rPr>
                  </w:pPr>
                  <w:r>
                    <w:rPr>
                      <w:rFonts w:hint="eastAsia"/>
                      <w:color w:val="00B050"/>
                      <w:szCs w:val="21"/>
                    </w:rPr>
                    <w:t>中心点</w:t>
                  </w:r>
                  <w:r>
                    <w:rPr>
                      <w:color w:val="00B050"/>
                      <w:szCs w:val="21"/>
                    </w:rPr>
                    <w:t>坐标</w:t>
                  </w:r>
                  <w:r>
                    <w:rPr>
                      <w:rFonts w:hint="eastAsia"/>
                      <w:color w:val="00B050"/>
                      <w:szCs w:val="21"/>
                    </w:rPr>
                    <w:t>(</w:t>
                  </w:r>
                  <w:r>
                    <w:rPr>
                      <w:color w:val="00B050"/>
                      <w:szCs w:val="21"/>
                      <w:vertAlign w:val="superscript"/>
                    </w:rPr>
                    <w:t>o</w:t>
                  </w:r>
                  <w:r>
                    <w:rPr>
                      <w:rFonts w:hint="eastAsia"/>
                      <w:color w:val="00B050"/>
                      <w:szCs w:val="21"/>
                    </w:rPr>
                    <w:t>)</w:t>
                  </w:r>
                </w:p>
              </w:tc>
              <w:tc>
                <w:tcPr>
                  <w:tcW w:w="351" w:type="pct"/>
                  <w:vMerge w:val="restart"/>
                  <w:vAlign w:val="center"/>
                </w:tcPr>
                <w:p>
                  <w:pPr>
                    <w:snapToGrid w:val="0"/>
                    <w:spacing w:line="400" w:lineRule="exact"/>
                    <w:jc w:val="center"/>
                    <w:rPr>
                      <w:color w:val="00B050"/>
                      <w:szCs w:val="21"/>
                    </w:rPr>
                  </w:pPr>
                  <w:r>
                    <w:rPr>
                      <w:color w:val="00B050"/>
                      <w:szCs w:val="21"/>
                    </w:rPr>
                    <w:t>海拔高度</w:t>
                  </w:r>
                  <w:r>
                    <w:rPr>
                      <w:rFonts w:hint="eastAsia"/>
                      <w:color w:val="00B050"/>
                      <w:szCs w:val="21"/>
                    </w:rPr>
                    <w:t>(</w:t>
                  </w:r>
                  <w:r>
                    <w:rPr>
                      <w:color w:val="00B050"/>
                      <w:szCs w:val="21"/>
                    </w:rPr>
                    <w:t>m</w:t>
                  </w:r>
                  <w:r>
                    <w:rPr>
                      <w:rFonts w:hint="eastAsia"/>
                      <w:color w:val="00B050"/>
                      <w:szCs w:val="21"/>
                    </w:rPr>
                    <w:t>)</w:t>
                  </w:r>
                </w:p>
              </w:tc>
              <w:tc>
                <w:tcPr>
                  <w:tcW w:w="491" w:type="pct"/>
                  <w:vMerge w:val="restart"/>
                  <w:vAlign w:val="center"/>
                </w:tcPr>
                <w:p>
                  <w:pPr>
                    <w:snapToGrid w:val="0"/>
                    <w:spacing w:line="400" w:lineRule="exact"/>
                    <w:jc w:val="center"/>
                    <w:rPr>
                      <w:color w:val="00B050"/>
                      <w:szCs w:val="21"/>
                    </w:rPr>
                  </w:pPr>
                  <w:r>
                    <w:rPr>
                      <w:color w:val="00B050"/>
                      <w:szCs w:val="21"/>
                    </w:rPr>
                    <w:t>圆形面源半径</w:t>
                  </w:r>
                  <w:r>
                    <w:rPr>
                      <w:rFonts w:hint="eastAsia"/>
                      <w:color w:val="00B050"/>
                      <w:szCs w:val="21"/>
                    </w:rPr>
                    <w:t>(</w:t>
                  </w:r>
                  <w:r>
                    <w:rPr>
                      <w:color w:val="00B050"/>
                      <w:szCs w:val="21"/>
                    </w:rPr>
                    <w:t>m</w:t>
                  </w:r>
                  <w:r>
                    <w:rPr>
                      <w:rFonts w:hint="eastAsia"/>
                      <w:color w:val="00B050"/>
                      <w:szCs w:val="21"/>
                    </w:rPr>
                    <w:t>)</w:t>
                  </w:r>
                </w:p>
              </w:tc>
              <w:tc>
                <w:tcPr>
                  <w:tcW w:w="560" w:type="pct"/>
                  <w:vMerge w:val="restart"/>
                  <w:vAlign w:val="center"/>
                </w:tcPr>
                <w:p>
                  <w:pPr>
                    <w:snapToGrid w:val="0"/>
                    <w:spacing w:line="400" w:lineRule="exact"/>
                    <w:jc w:val="center"/>
                    <w:rPr>
                      <w:color w:val="00B050"/>
                      <w:szCs w:val="21"/>
                    </w:rPr>
                  </w:pPr>
                  <w:r>
                    <w:rPr>
                      <w:color w:val="00B050"/>
                      <w:szCs w:val="21"/>
                    </w:rPr>
                    <w:t>近圆形面源的顶点或边的个数</w:t>
                  </w:r>
                </w:p>
              </w:tc>
              <w:tc>
                <w:tcPr>
                  <w:tcW w:w="491" w:type="pct"/>
                  <w:vMerge w:val="restart"/>
                  <w:vAlign w:val="center"/>
                </w:tcPr>
                <w:p>
                  <w:pPr>
                    <w:snapToGrid w:val="0"/>
                    <w:spacing w:line="400" w:lineRule="exact"/>
                    <w:jc w:val="center"/>
                    <w:rPr>
                      <w:color w:val="00B050"/>
                      <w:szCs w:val="21"/>
                    </w:rPr>
                  </w:pPr>
                  <w:r>
                    <w:rPr>
                      <w:rFonts w:hint="eastAsia"/>
                      <w:color w:val="00B050"/>
                      <w:szCs w:val="21"/>
                    </w:rPr>
                    <w:t>面源有效高度（m）</w:t>
                  </w:r>
                </w:p>
              </w:tc>
              <w:tc>
                <w:tcPr>
                  <w:tcW w:w="704" w:type="pct"/>
                  <w:vMerge w:val="restart"/>
                  <w:vAlign w:val="center"/>
                </w:tcPr>
                <w:p>
                  <w:pPr>
                    <w:snapToGrid w:val="0"/>
                    <w:spacing w:line="400" w:lineRule="exact"/>
                    <w:jc w:val="center"/>
                    <w:rPr>
                      <w:color w:val="00B050"/>
                      <w:szCs w:val="21"/>
                    </w:rPr>
                  </w:pPr>
                  <w:r>
                    <w:rPr>
                      <w:rFonts w:hint="eastAsia"/>
                      <w:color w:val="00B050"/>
                      <w:szCs w:val="21"/>
                    </w:rPr>
                    <w:t>年排放小时数（h）</w:t>
                  </w:r>
                </w:p>
              </w:tc>
              <w:tc>
                <w:tcPr>
                  <w:tcW w:w="572" w:type="pct"/>
                  <w:vMerge w:val="restart"/>
                  <w:vAlign w:val="center"/>
                </w:tcPr>
                <w:p>
                  <w:pPr>
                    <w:snapToGrid w:val="0"/>
                    <w:spacing w:line="400" w:lineRule="exact"/>
                    <w:jc w:val="center"/>
                    <w:rPr>
                      <w:color w:val="00B050"/>
                      <w:szCs w:val="21"/>
                    </w:rPr>
                  </w:pPr>
                  <w:r>
                    <w:rPr>
                      <w:color w:val="00B050"/>
                      <w:szCs w:val="21"/>
                    </w:rPr>
                    <w:t>污染物</w:t>
                  </w:r>
                </w:p>
              </w:tc>
              <w:tc>
                <w:tcPr>
                  <w:tcW w:w="655" w:type="pct"/>
                  <w:vMerge w:val="restart"/>
                  <w:vAlign w:val="center"/>
                </w:tcPr>
                <w:p>
                  <w:pPr>
                    <w:snapToGrid w:val="0"/>
                    <w:spacing w:line="400" w:lineRule="exact"/>
                    <w:jc w:val="center"/>
                    <w:rPr>
                      <w:color w:val="00B050"/>
                      <w:szCs w:val="21"/>
                    </w:rPr>
                  </w:pPr>
                  <w:r>
                    <w:rPr>
                      <w:color w:val="00B050"/>
                      <w:szCs w:val="21"/>
                    </w:rPr>
                    <w:t>排放速率</w:t>
                  </w:r>
                </w:p>
                <w:p>
                  <w:pPr>
                    <w:snapToGrid w:val="0"/>
                    <w:spacing w:line="400" w:lineRule="exact"/>
                    <w:jc w:val="center"/>
                    <w:rPr>
                      <w:color w:val="00B050"/>
                      <w:szCs w:val="21"/>
                    </w:rPr>
                  </w:pPr>
                  <w:r>
                    <w:rPr>
                      <w:rFonts w:hint="eastAsia"/>
                      <w:color w:val="00B050"/>
                      <w:szCs w:val="21"/>
                    </w:rPr>
                    <w:t>(</w:t>
                  </w:r>
                  <w:r>
                    <w:rPr>
                      <w:color w:val="00B050"/>
                    </w:rPr>
                    <w:t>kg/h</w:t>
                  </w:r>
                  <w:r>
                    <w:rPr>
                      <w:color w:val="00B05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487" w:type="pct"/>
                  <w:vMerge w:val="continue"/>
                  <w:vAlign w:val="center"/>
                </w:tcPr>
                <w:p>
                  <w:pPr>
                    <w:snapToGrid w:val="0"/>
                    <w:spacing w:line="400" w:lineRule="exact"/>
                    <w:jc w:val="center"/>
                    <w:rPr>
                      <w:color w:val="00B050"/>
                      <w:szCs w:val="21"/>
                    </w:rPr>
                  </w:pPr>
                </w:p>
              </w:tc>
              <w:tc>
                <w:tcPr>
                  <w:tcW w:w="337" w:type="pct"/>
                  <w:vAlign w:val="center"/>
                </w:tcPr>
                <w:p>
                  <w:pPr>
                    <w:snapToGrid w:val="0"/>
                    <w:spacing w:line="400" w:lineRule="exact"/>
                    <w:jc w:val="center"/>
                    <w:rPr>
                      <w:color w:val="00B050"/>
                      <w:szCs w:val="21"/>
                    </w:rPr>
                  </w:pPr>
                  <w:r>
                    <w:rPr>
                      <w:rFonts w:hint="eastAsia"/>
                      <w:color w:val="00B050"/>
                      <w:szCs w:val="21"/>
                    </w:rPr>
                    <w:t>经度</w:t>
                  </w:r>
                </w:p>
              </w:tc>
              <w:tc>
                <w:tcPr>
                  <w:tcW w:w="351" w:type="pct"/>
                  <w:vAlign w:val="center"/>
                </w:tcPr>
                <w:p>
                  <w:pPr>
                    <w:snapToGrid w:val="0"/>
                    <w:spacing w:line="400" w:lineRule="exact"/>
                    <w:jc w:val="center"/>
                    <w:rPr>
                      <w:color w:val="00B050"/>
                      <w:szCs w:val="21"/>
                    </w:rPr>
                  </w:pPr>
                  <w:r>
                    <w:rPr>
                      <w:rFonts w:hint="eastAsia"/>
                      <w:color w:val="00B050"/>
                      <w:szCs w:val="21"/>
                    </w:rPr>
                    <w:t>纬度</w:t>
                  </w:r>
                </w:p>
              </w:tc>
              <w:tc>
                <w:tcPr>
                  <w:tcW w:w="351" w:type="pct"/>
                  <w:vMerge w:val="continue"/>
                  <w:vAlign w:val="center"/>
                </w:tcPr>
                <w:p>
                  <w:pPr>
                    <w:snapToGrid w:val="0"/>
                    <w:spacing w:line="400" w:lineRule="exact"/>
                    <w:jc w:val="center"/>
                    <w:rPr>
                      <w:color w:val="00B050"/>
                      <w:szCs w:val="21"/>
                    </w:rPr>
                  </w:pPr>
                </w:p>
              </w:tc>
              <w:tc>
                <w:tcPr>
                  <w:tcW w:w="491" w:type="pct"/>
                  <w:vMerge w:val="continue"/>
                  <w:vAlign w:val="center"/>
                </w:tcPr>
                <w:p>
                  <w:pPr>
                    <w:snapToGrid w:val="0"/>
                    <w:spacing w:line="400" w:lineRule="exact"/>
                    <w:jc w:val="center"/>
                    <w:rPr>
                      <w:color w:val="00B050"/>
                      <w:szCs w:val="21"/>
                    </w:rPr>
                  </w:pPr>
                </w:p>
              </w:tc>
              <w:tc>
                <w:tcPr>
                  <w:tcW w:w="560" w:type="pct"/>
                  <w:vMerge w:val="continue"/>
                  <w:vAlign w:val="center"/>
                </w:tcPr>
                <w:p>
                  <w:pPr>
                    <w:snapToGrid w:val="0"/>
                    <w:spacing w:line="400" w:lineRule="exact"/>
                    <w:jc w:val="center"/>
                    <w:rPr>
                      <w:color w:val="00B050"/>
                      <w:szCs w:val="21"/>
                    </w:rPr>
                  </w:pPr>
                </w:p>
              </w:tc>
              <w:tc>
                <w:tcPr>
                  <w:tcW w:w="491" w:type="pct"/>
                  <w:vMerge w:val="continue"/>
                  <w:vAlign w:val="center"/>
                </w:tcPr>
                <w:p>
                  <w:pPr>
                    <w:snapToGrid w:val="0"/>
                    <w:spacing w:line="400" w:lineRule="exact"/>
                    <w:jc w:val="center"/>
                    <w:rPr>
                      <w:color w:val="00B050"/>
                      <w:szCs w:val="21"/>
                    </w:rPr>
                  </w:pPr>
                </w:p>
              </w:tc>
              <w:tc>
                <w:tcPr>
                  <w:tcW w:w="704" w:type="pct"/>
                  <w:vMerge w:val="continue"/>
                  <w:vAlign w:val="center"/>
                </w:tcPr>
                <w:p>
                  <w:pPr>
                    <w:snapToGrid w:val="0"/>
                    <w:spacing w:line="400" w:lineRule="exact"/>
                    <w:jc w:val="center"/>
                    <w:rPr>
                      <w:color w:val="00B050"/>
                      <w:szCs w:val="21"/>
                    </w:rPr>
                  </w:pPr>
                </w:p>
              </w:tc>
              <w:tc>
                <w:tcPr>
                  <w:tcW w:w="572" w:type="pct"/>
                  <w:vMerge w:val="continue"/>
                  <w:vAlign w:val="center"/>
                </w:tcPr>
                <w:p>
                  <w:pPr>
                    <w:snapToGrid w:val="0"/>
                    <w:spacing w:line="400" w:lineRule="exact"/>
                    <w:jc w:val="center"/>
                    <w:rPr>
                      <w:color w:val="00B050"/>
                      <w:szCs w:val="21"/>
                    </w:rPr>
                  </w:pPr>
                </w:p>
              </w:tc>
              <w:tc>
                <w:tcPr>
                  <w:tcW w:w="655" w:type="pct"/>
                  <w:vMerge w:val="continue"/>
                  <w:vAlign w:val="center"/>
                </w:tcPr>
                <w:p>
                  <w:pPr>
                    <w:snapToGrid w:val="0"/>
                    <w:spacing w:line="400" w:lineRule="exact"/>
                    <w:jc w:val="center"/>
                    <w:rPr>
                      <w:color w:val="00B05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00" w:hRule="atLeast"/>
              </w:trPr>
              <w:tc>
                <w:tcPr>
                  <w:tcW w:w="487" w:type="pct"/>
                  <w:vAlign w:val="center"/>
                </w:tcPr>
                <w:p>
                  <w:pPr>
                    <w:spacing w:line="400" w:lineRule="exact"/>
                    <w:jc w:val="center"/>
                    <w:rPr>
                      <w:color w:val="00B050"/>
                    </w:rPr>
                  </w:pPr>
                  <w:r>
                    <w:rPr>
                      <w:color w:val="00B050"/>
                    </w:rPr>
                    <w:t>圆形面源</w:t>
                  </w:r>
                </w:p>
              </w:tc>
              <w:tc>
                <w:tcPr>
                  <w:tcW w:w="337" w:type="pct"/>
                  <w:vAlign w:val="center"/>
                </w:tcPr>
                <w:p>
                  <w:pPr>
                    <w:spacing w:line="400" w:lineRule="exact"/>
                    <w:jc w:val="center"/>
                    <w:rPr>
                      <w:color w:val="00B050"/>
                    </w:rPr>
                  </w:pPr>
                  <w:r>
                    <w:rPr>
                      <w:color w:val="00B050"/>
                    </w:rPr>
                    <w:t>109.155663</w:t>
                  </w:r>
                </w:p>
              </w:tc>
              <w:tc>
                <w:tcPr>
                  <w:tcW w:w="351" w:type="pct"/>
                  <w:vAlign w:val="center"/>
                </w:tcPr>
                <w:p>
                  <w:pPr>
                    <w:spacing w:line="400" w:lineRule="exact"/>
                    <w:jc w:val="center"/>
                    <w:rPr>
                      <w:color w:val="00B050"/>
                    </w:rPr>
                  </w:pPr>
                  <w:r>
                    <w:rPr>
                      <w:color w:val="00B050"/>
                    </w:rPr>
                    <w:t>34.10569</w:t>
                  </w:r>
                </w:p>
              </w:tc>
              <w:tc>
                <w:tcPr>
                  <w:tcW w:w="351" w:type="pct"/>
                  <w:vAlign w:val="center"/>
                </w:tcPr>
                <w:p>
                  <w:pPr>
                    <w:spacing w:line="400" w:lineRule="exact"/>
                    <w:jc w:val="center"/>
                    <w:rPr>
                      <w:color w:val="00B050"/>
                    </w:rPr>
                  </w:pPr>
                  <w:r>
                    <w:rPr>
                      <w:color w:val="00B050"/>
                    </w:rPr>
                    <w:t>533</w:t>
                  </w:r>
                </w:p>
              </w:tc>
              <w:tc>
                <w:tcPr>
                  <w:tcW w:w="491" w:type="pct"/>
                  <w:vAlign w:val="center"/>
                </w:tcPr>
                <w:p>
                  <w:pPr>
                    <w:spacing w:line="400" w:lineRule="exact"/>
                    <w:jc w:val="center"/>
                    <w:rPr>
                      <w:color w:val="00B050"/>
                    </w:rPr>
                  </w:pPr>
                  <w:r>
                    <w:rPr>
                      <w:color w:val="00B050"/>
                    </w:rPr>
                    <w:t>215</w:t>
                  </w:r>
                </w:p>
              </w:tc>
              <w:tc>
                <w:tcPr>
                  <w:tcW w:w="560" w:type="pct"/>
                  <w:vAlign w:val="center"/>
                </w:tcPr>
                <w:p>
                  <w:pPr>
                    <w:spacing w:line="400" w:lineRule="exact"/>
                    <w:jc w:val="center"/>
                    <w:rPr>
                      <w:color w:val="00B050"/>
                    </w:rPr>
                  </w:pPr>
                  <w:r>
                    <w:rPr>
                      <w:color w:val="00B050"/>
                    </w:rPr>
                    <w:t>2.5</w:t>
                  </w:r>
                </w:p>
              </w:tc>
              <w:tc>
                <w:tcPr>
                  <w:tcW w:w="491" w:type="pct"/>
                  <w:vAlign w:val="center"/>
                </w:tcPr>
                <w:p>
                  <w:pPr>
                    <w:spacing w:line="400" w:lineRule="exact"/>
                    <w:jc w:val="center"/>
                    <w:rPr>
                      <w:color w:val="00B050"/>
                    </w:rPr>
                  </w:pPr>
                  <w:r>
                    <w:rPr>
                      <w:rFonts w:hint="eastAsia"/>
                      <w:color w:val="00B050"/>
                    </w:rPr>
                    <w:t>5</w:t>
                  </w:r>
                </w:p>
              </w:tc>
              <w:tc>
                <w:tcPr>
                  <w:tcW w:w="704" w:type="pct"/>
                  <w:vAlign w:val="center"/>
                </w:tcPr>
                <w:p>
                  <w:pPr>
                    <w:spacing w:line="400" w:lineRule="exact"/>
                    <w:jc w:val="center"/>
                    <w:rPr>
                      <w:color w:val="00B050"/>
                    </w:rPr>
                  </w:pPr>
                  <w:r>
                    <w:rPr>
                      <w:color w:val="00B050"/>
                    </w:rPr>
                    <w:t>7200</w:t>
                  </w:r>
                </w:p>
              </w:tc>
              <w:tc>
                <w:tcPr>
                  <w:tcW w:w="572" w:type="pct"/>
                  <w:vAlign w:val="center"/>
                </w:tcPr>
                <w:p>
                  <w:pPr>
                    <w:spacing w:line="400" w:lineRule="exact"/>
                    <w:jc w:val="center"/>
                    <w:rPr>
                      <w:color w:val="00B050"/>
                    </w:rPr>
                  </w:pPr>
                  <w:r>
                    <w:rPr>
                      <w:color w:val="00B050"/>
                    </w:rPr>
                    <w:t>TSP</w:t>
                  </w:r>
                </w:p>
              </w:tc>
              <w:tc>
                <w:tcPr>
                  <w:tcW w:w="655" w:type="pct"/>
                  <w:vAlign w:val="center"/>
                </w:tcPr>
                <w:p>
                  <w:pPr>
                    <w:spacing w:line="400" w:lineRule="exact"/>
                    <w:jc w:val="center"/>
                    <w:rPr>
                      <w:color w:val="00B050"/>
                    </w:rPr>
                  </w:pPr>
                  <w:r>
                    <w:rPr>
                      <w:rFonts w:hint="eastAsia"/>
                      <w:color w:val="00B050"/>
                    </w:rPr>
                    <w:t>0.24</w:t>
                  </w:r>
                </w:p>
              </w:tc>
            </w:tr>
          </w:tbl>
          <w:p>
            <w:pPr>
              <w:pStyle w:val="7"/>
              <w:ind w:firstLine="480"/>
              <w:rPr>
                <w:sz w:val="24"/>
                <w:szCs w:val="24"/>
              </w:rPr>
            </w:pPr>
          </w:p>
          <w:p>
            <w:pPr>
              <w:pStyle w:val="7"/>
              <w:ind w:firstLine="480"/>
              <w:rPr>
                <w:sz w:val="24"/>
                <w:szCs w:val="24"/>
              </w:rPr>
            </w:pPr>
            <w:r>
              <w:rPr>
                <w:sz w:val="24"/>
                <w:szCs w:val="24"/>
              </w:rPr>
              <w:t>AERSCREEN模型参数表见表</w:t>
            </w:r>
            <w:r>
              <w:rPr>
                <w:rFonts w:hint="eastAsia"/>
                <w:sz w:val="24"/>
                <w:szCs w:val="24"/>
              </w:rPr>
              <w:t>39</w:t>
            </w:r>
            <w:r>
              <w:rPr>
                <w:sz w:val="24"/>
                <w:szCs w:val="24"/>
              </w:rPr>
              <w:t>。</w:t>
            </w:r>
          </w:p>
          <w:p>
            <w:pPr>
              <w:widowControl/>
              <w:ind w:firstLine="422" w:firstLineChars="200"/>
              <w:jc w:val="center"/>
              <w:rPr>
                <w:b/>
                <w:szCs w:val="21"/>
              </w:rPr>
            </w:pPr>
            <w:r>
              <w:rPr>
                <w:b/>
                <w:szCs w:val="21"/>
              </w:rPr>
              <w:t>表3</w:t>
            </w:r>
            <w:r>
              <w:rPr>
                <w:rFonts w:hint="eastAsia"/>
                <w:b/>
                <w:szCs w:val="21"/>
              </w:rPr>
              <w:t xml:space="preserve">9  </w:t>
            </w:r>
            <w:r>
              <w:rPr>
                <w:b/>
                <w:szCs w:val="21"/>
              </w:rPr>
              <w:t>估算模型参数表</w:t>
            </w:r>
          </w:p>
          <w:tbl>
            <w:tblPr>
              <w:tblStyle w:val="25"/>
              <w:tblW w:w="8839"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486"/>
              <w:gridCol w:w="3406"/>
              <w:gridCol w:w="294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 w:hRule="atLeast"/>
              </w:trPr>
              <w:tc>
                <w:tcPr>
                  <w:tcW w:w="5892" w:type="dxa"/>
                  <w:gridSpan w:val="2"/>
                  <w:vAlign w:val="center"/>
                </w:tcPr>
                <w:p>
                  <w:pPr>
                    <w:pStyle w:val="7"/>
                    <w:spacing w:line="400" w:lineRule="exact"/>
                    <w:jc w:val="center"/>
                  </w:pPr>
                  <w:r>
                    <w:t>参数</w:t>
                  </w:r>
                </w:p>
              </w:tc>
              <w:tc>
                <w:tcPr>
                  <w:tcW w:w="2947" w:type="dxa"/>
                  <w:vAlign w:val="center"/>
                </w:tcPr>
                <w:p>
                  <w:pPr>
                    <w:pStyle w:val="7"/>
                    <w:spacing w:line="400" w:lineRule="exact"/>
                    <w:jc w:val="center"/>
                  </w:pPr>
                  <w:r>
                    <w:t>取值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 w:hRule="atLeast"/>
              </w:trPr>
              <w:tc>
                <w:tcPr>
                  <w:tcW w:w="2486" w:type="dxa"/>
                  <w:vAlign w:val="center"/>
                </w:tcPr>
                <w:p>
                  <w:pPr>
                    <w:pStyle w:val="7"/>
                    <w:spacing w:line="400" w:lineRule="exact"/>
                    <w:jc w:val="center"/>
                  </w:pPr>
                  <w:r>
                    <w:t>城市/农村选项</w:t>
                  </w:r>
                </w:p>
              </w:tc>
              <w:tc>
                <w:tcPr>
                  <w:tcW w:w="3406" w:type="dxa"/>
                  <w:vAlign w:val="center"/>
                </w:tcPr>
                <w:p>
                  <w:pPr>
                    <w:pStyle w:val="7"/>
                    <w:spacing w:line="400" w:lineRule="exact"/>
                    <w:jc w:val="center"/>
                  </w:pPr>
                  <w:r>
                    <w:t>城市/农村</w:t>
                  </w:r>
                </w:p>
              </w:tc>
              <w:tc>
                <w:tcPr>
                  <w:tcW w:w="2947" w:type="dxa"/>
                  <w:vAlign w:val="center"/>
                </w:tcPr>
                <w:p>
                  <w:pPr>
                    <w:pStyle w:val="7"/>
                    <w:spacing w:line="400" w:lineRule="exact"/>
                    <w:jc w:val="center"/>
                  </w:pPr>
                  <w:r>
                    <w:t>农村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 w:hRule="atLeast"/>
              </w:trPr>
              <w:tc>
                <w:tcPr>
                  <w:tcW w:w="2486" w:type="dxa"/>
                  <w:vAlign w:val="center"/>
                </w:tcPr>
                <w:p>
                  <w:pPr>
                    <w:pStyle w:val="7"/>
                    <w:spacing w:line="400" w:lineRule="exact"/>
                    <w:jc w:val="center"/>
                  </w:pPr>
                </w:p>
              </w:tc>
              <w:tc>
                <w:tcPr>
                  <w:tcW w:w="3406" w:type="dxa"/>
                  <w:vAlign w:val="center"/>
                </w:tcPr>
                <w:p>
                  <w:pPr>
                    <w:pStyle w:val="7"/>
                    <w:spacing w:line="400" w:lineRule="exact"/>
                    <w:jc w:val="center"/>
                  </w:pPr>
                  <w:r>
                    <w:t>人口数（城市选项时）</w:t>
                  </w:r>
                </w:p>
              </w:tc>
              <w:tc>
                <w:tcPr>
                  <w:tcW w:w="2947" w:type="dxa"/>
                  <w:vAlign w:val="center"/>
                </w:tcPr>
                <w:p>
                  <w:pPr>
                    <w:pStyle w:val="7"/>
                    <w:spacing w:line="400" w:lineRule="exact"/>
                    <w:jc w:val="center"/>
                  </w:pPr>
                  <w: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 w:hRule="atLeast"/>
              </w:trPr>
              <w:tc>
                <w:tcPr>
                  <w:tcW w:w="5892" w:type="dxa"/>
                  <w:gridSpan w:val="2"/>
                  <w:vAlign w:val="center"/>
                </w:tcPr>
                <w:p>
                  <w:pPr>
                    <w:pStyle w:val="7"/>
                    <w:spacing w:line="400" w:lineRule="exact"/>
                    <w:jc w:val="center"/>
                  </w:pPr>
                  <w:r>
                    <w:t>最高环境温度/</w:t>
                  </w:r>
                  <w:r>
                    <w:rPr>
                      <w:rFonts w:hint="eastAsia" w:cs="宋体"/>
                    </w:rPr>
                    <w:t>℃</w:t>
                  </w:r>
                </w:p>
              </w:tc>
              <w:tc>
                <w:tcPr>
                  <w:tcW w:w="2947" w:type="dxa"/>
                  <w:vAlign w:val="center"/>
                </w:tcPr>
                <w:p>
                  <w:pPr>
                    <w:pStyle w:val="7"/>
                    <w:spacing w:line="400" w:lineRule="exact"/>
                    <w:jc w:val="center"/>
                  </w:pPr>
                  <w:r>
                    <w:t>40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 w:hRule="atLeast"/>
              </w:trPr>
              <w:tc>
                <w:tcPr>
                  <w:tcW w:w="5892" w:type="dxa"/>
                  <w:gridSpan w:val="2"/>
                  <w:vAlign w:val="center"/>
                </w:tcPr>
                <w:p>
                  <w:pPr>
                    <w:pStyle w:val="7"/>
                    <w:spacing w:line="400" w:lineRule="exact"/>
                    <w:jc w:val="center"/>
                  </w:pPr>
                  <w:r>
                    <w:t>最低环境温度/</w:t>
                  </w:r>
                  <w:r>
                    <w:rPr>
                      <w:rFonts w:hint="eastAsia" w:cs="宋体"/>
                    </w:rPr>
                    <w:t>℃</w:t>
                  </w:r>
                </w:p>
              </w:tc>
              <w:tc>
                <w:tcPr>
                  <w:tcW w:w="2947" w:type="dxa"/>
                  <w:vAlign w:val="center"/>
                </w:tcPr>
                <w:p>
                  <w:pPr>
                    <w:pStyle w:val="7"/>
                    <w:spacing w:line="400" w:lineRule="exact"/>
                    <w:jc w:val="center"/>
                  </w:pPr>
                  <w:r>
                    <w:t>-20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5892" w:type="dxa"/>
                  <w:gridSpan w:val="2"/>
                  <w:vAlign w:val="center"/>
                </w:tcPr>
                <w:p>
                  <w:pPr>
                    <w:pStyle w:val="7"/>
                    <w:spacing w:line="400" w:lineRule="exact"/>
                    <w:jc w:val="center"/>
                  </w:pPr>
                  <w:r>
                    <w:t>土地利用类型</w:t>
                  </w:r>
                </w:p>
              </w:tc>
              <w:tc>
                <w:tcPr>
                  <w:tcW w:w="2947" w:type="dxa"/>
                  <w:vAlign w:val="center"/>
                </w:tcPr>
                <w:p>
                  <w:pPr>
                    <w:pStyle w:val="7"/>
                    <w:spacing w:line="400" w:lineRule="exact"/>
                    <w:jc w:val="center"/>
                  </w:pPr>
                  <w:r>
                    <w:t>农用地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 w:hRule="atLeast"/>
              </w:trPr>
              <w:tc>
                <w:tcPr>
                  <w:tcW w:w="5892" w:type="dxa"/>
                  <w:gridSpan w:val="2"/>
                  <w:vAlign w:val="center"/>
                </w:tcPr>
                <w:p>
                  <w:pPr>
                    <w:pStyle w:val="7"/>
                    <w:spacing w:line="400" w:lineRule="exact"/>
                    <w:jc w:val="center"/>
                  </w:pPr>
                  <w:r>
                    <w:t>区域湿度条件</w:t>
                  </w:r>
                </w:p>
              </w:tc>
              <w:tc>
                <w:tcPr>
                  <w:tcW w:w="2947" w:type="dxa"/>
                  <w:vAlign w:val="center"/>
                </w:tcPr>
                <w:p>
                  <w:pPr>
                    <w:pStyle w:val="7"/>
                    <w:spacing w:line="400" w:lineRule="exact"/>
                    <w:jc w:val="center"/>
                  </w:pPr>
                  <w:r>
                    <w:t>中等湿度条件</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 w:hRule="atLeast"/>
              </w:trPr>
              <w:tc>
                <w:tcPr>
                  <w:tcW w:w="2486" w:type="dxa"/>
                  <w:vMerge w:val="restart"/>
                  <w:vAlign w:val="center"/>
                </w:tcPr>
                <w:p>
                  <w:pPr>
                    <w:pStyle w:val="7"/>
                    <w:spacing w:line="400" w:lineRule="exact"/>
                    <w:jc w:val="center"/>
                  </w:pPr>
                  <w:r>
                    <w:t>是否考虑地形</w:t>
                  </w:r>
                </w:p>
              </w:tc>
              <w:tc>
                <w:tcPr>
                  <w:tcW w:w="3406" w:type="dxa"/>
                  <w:vAlign w:val="center"/>
                </w:tcPr>
                <w:p>
                  <w:pPr>
                    <w:pStyle w:val="7"/>
                    <w:spacing w:line="400" w:lineRule="exact"/>
                    <w:jc w:val="center"/>
                  </w:pPr>
                  <w:r>
                    <w:t>考虑地形</w:t>
                  </w:r>
                </w:p>
              </w:tc>
              <w:tc>
                <w:tcPr>
                  <w:tcW w:w="2947" w:type="dxa"/>
                  <w:vAlign w:val="center"/>
                </w:tcPr>
                <w:p>
                  <w:pPr>
                    <w:pStyle w:val="7"/>
                    <w:spacing w:line="400" w:lineRule="exact"/>
                    <w:jc w:val="center"/>
                  </w:pPr>
                  <w:r>
                    <w:t>□是    █否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 w:hRule="atLeast"/>
              </w:trPr>
              <w:tc>
                <w:tcPr>
                  <w:tcW w:w="2486" w:type="dxa"/>
                  <w:vMerge w:val="continue"/>
                  <w:vAlign w:val="center"/>
                </w:tcPr>
                <w:p>
                  <w:pPr>
                    <w:pStyle w:val="7"/>
                    <w:spacing w:line="400" w:lineRule="exact"/>
                    <w:jc w:val="center"/>
                  </w:pPr>
                </w:p>
              </w:tc>
              <w:tc>
                <w:tcPr>
                  <w:tcW w:w="3406" w:type="dxa"/>
                  <w:vAlign w:val="center"/>
                </w:tcPr>
                <w:p>
                  <w:pPr>
                    <w:pStyle w:val="7"/>
                    <w:spacing w:line="400" w:lineRule="exact"/>
                    <w:jc w:val="center"/>
                  </w:pPr>
                  <w:r>
                    <w:t>地形数据分辨率/m</w:t>
                  </w:r>
                </w:p>
              </w:tc>
              <w:tc>
                <w:tcPr>
                  <w:tcW w:w="2947" w:type="dxa"/>
                  <w:vAlign w:val="center"/>
                </w:tcPr>
                <w:p>
                  <w:pPr>
                    <w:pStyle w:val="7"/>
                    <w:spacing w:line="400" w:lineRule="exact"/>
                    <w:jc w:val="center"/>
                  </w:pPr>
                  <w: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 w:hRule="atLeast"/>
              </w:trPr>
              <w:tc>
                <w:tcPr>
                  <w:tcW w:w="2486" w:type="dxa"/>
                  <w:vMerge w:val="restart"/>
                  <w:vAlign w:val="center"/>
                </w:tcPr>
                <w:p>
                  <w:pPr>
                    <w:pStyle w:val="7"/>
                    <w:spacing w:line="400" w:lineRule="exact"/>
                    <w:jc w:val="center"/>
                  </w:pPr>
                  <w:r>
                    <w:t>是否考虑岸线熏烟</w:t>
                  </w:r>
                </w:p>
              </w:tc>
              <w:tc>
                <w:tcPr>
                  <w:tcW w:w="3406" w:type="dxa"/>
                  <w:vAlign w:val="center"/>
                </w:tcPr>
                <w:p>
                  <w:pPr>
                    <w:pStyle w:val="7"/>
                    <w:spacing w:line="400" w:lineRule="exact"/>
                    <w:jc w:val="center"/>
                  </w:pPr>
                  <w:r>
                    <w:t>考虑岸线熏烟</w:t>
                  </w:r>
                </w:p>
              </w:tc>
              <w:tc>
                <w:tcPr>
                  <w:tcW w:w="2947" w:type="dxa"/>
                  <w:vAlign w:val="center"/>
                </w:tcPr>
                <w:p>
                  <w:pPr>
                    <w:pStyle w:val="7"/>
                    <w:spacing w:line="400" w:lineRule="exact"/>
                    <w:jc w:val="center"/>
                  </w:pPr>
                  <w:r>
                    <w:t>□是    █否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 w:hRule="atLeast"/>
              </w:trPr>
              <w:tc>
                <w:tcPr>
                  <w:tcW w:w="2486" w:type="dxa"/>
                  <w:vMerge w:val="continue"/>
                  <w:vAlign w:val="center"/>
                </w:tcPr>
                <w:p>
                  <w:pPr>
                    <w:pStyle w:val="7"/>
                    <w:spacing w:line="400" w:lineRule="exact"/>
                    <w:jc w:val="center"/>
                  </w:pPr>
                </w:p>
              </w:tc>
              <w:tc>
                <w:tcPr>
                  <w:tcW w:w="3406" w:type="dxa"/>
                  <w:vAlign w:val="center"/>
                </w:tcPr>
                <w:p>
                  <w:pPr>
                    <w:pStyle w:val="7"/>
                    <w:spacing w:line="400" w:lineRule="exact"/>
                    <w:jc w:val="center"/>
                  </w:pPr>
                  <w:r>
                    <w:t>岸线距离/km</w:t>
                  </w:r>
                </w:p>
              </w:tc>
              <w:tc>
                <w:tcPr>
                  <w:tcW w:w="2947" w:type="dxa"/>
                  <w:vAlign w:val="center"/>
                </w:tcPr>
                <w:p>
                  <w:pPr>
                    <w:pStyle w:val="7"/>
                    <w:spacing w:line="400" w:lineRule="exact"/>
                    <w:jc w:val="center"/>
                  </w:pPr>
                  <w: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 w:hRule="atLeast"/>
              </w:trPr>
              <w:tc>
                <w:tcPr>
                  <w:tcW w:w="2486" w:type="dxa"/>
                  <w:vMerge w:val="continue"/>
                  <w:vAlign w:val="center"/>
                </w:tcPr>
                <w:p>
                  <w:pPr>
                    <w:pStyle w:val="7"/>
                    <w:spacing w:line="400" w:lineRule="exact"/>
                    <w:jc w:val="center"/>
                  </w:pPr>
                </w:p>
              </w:tc>
              <w:tc>
                <w:tcPr>
                  <w:tcW w:w="3406" w:type="dxa"/>
                  <w:vAlign w:val="center"/>
                </w:tcPr>
                <w:p>
                  <w:pPr>
                    <w:pStyle w:val="7"/>
                    <w:spacing w:line="400" w:lineRule="exact"/>
                    <w:jc w:val="center"/>
                  </w:pPr>
                  <w:r>
                    <w:t>岸线方向/°</w:t>
                  </w:r>
                </w:p>
              </w:tc>
              <w:tc>
                <w:tcPr>
                  <w:tcW w:w="2947" w:type="dxa"/>
                  <w:vAlign w:val="center"/>
                </w:tcPr>
                <w:p>
                  <w:pPr>
                    <w:pStyle w:val="7"/>
                    <w:spacing w:line="400" w:lineRule="exact"/>
                    <w:jc w:val="center"/>
                  </w:pPr>
                  <w:r>
                    <w:t>/</w:t>
                  </w:r>
                </w:p>
              </w:tc>
            </w:tr>
          </w:tbl>
          <w:p>
            <w:pPr>
              <w:pStyle w:val="56"/>
              <w:numPr>
                <w:ilvl w:val="0"/>
                <w:numId w:val="2"/>
              </w:numPr>
              <w:spacing w:line="360" w:lineRule="auto"/>
              <w:ind w:firstLineChars="0"/>
              <w:rPr>
                <w:rFonts w:ascii="宋体" w:hAnsi="宋体"/>
                <w:sz w:val="24"/>
              </w:rPr>
            </w:pPr>
            <w:r>
              <w:rPr>
                <w:sz w:val="24"/>
                <w:szCs w:val="24"/>
              </w:rPr>
              <w:t>预测结果统计与评价</w:t>
            </w:r>
          </w:p>
          <w:p>
            <w:pPr>
              <w:spacing w:line="360" w:lineRule="auto"/>
              <w:jc w:val="center"/>
              <w:rPr>
                <w:b/>
                <w:szCs w:val="24"/>
              </w:rPr>
            </w:pPr>
            <w:r>
              <w:rPr>
                <w:b/>
                <w:szCs w:val="24"/>
              </w:rPr>
              <w:t>表</w:t>
            </w:r>
            <w:r>
              <w:rPr>
                <w:rFonts w:hint="eastAsia"/>
                <w:b/>
                <w:szCs w:val="24"/>
              </w:rPr>
              <w:t>40</w:t>
            </w:r>
            <w:r>
              <w:rPr>
                <w:b/>
                <w:szCs w:val="24"/>
              </w:rPr>
              <w:t xml:space="preserve">  P</w:t>
            </w:r>
            <w:r>
              <w:rPr>
                <w:b/>
                <w:szCs w:val="24"/>
                <w:vertAlign w:val="subscript"/>
              </w:rPr>
              <w:t>max</w:t>
            </w:r>
            <w:r>
              <w:rPr>
                <w:b/>
                <w:szCs w:val="24"/>
              </w:rPr>
              <w:t>和D</w:t>
            </w:r>
            <w:r>
              <w:rPr>
                <w:b/>
                <w:szCs w:val="24"/>
                <w:vertAlign w:val="subscript"/>
              </w:rPr>
              <w:t>10%</w:t>
            </w:r>
            <w:r>
              <w:rPr>
                <w:b/>
                <w:szCs w:val="24"/>
              </w:rPr>
              <w:t>预测和计算结果一览表</w:t>
            </w:r>
          </w:p>
          <w:tbl>
            <w:tblPr>
              <w:tblStyle w:val="25"/>
              <w:tblW w:w="5000"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434"/>
              <w:gridCol w:w="1278"/>
              <w:gridCol w:w="1415"/>
              <w:gridCol w:w="1417"/>
              <w:gridCol w:w="1135"/>
              <w:gridCol w:w="114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379" w:type="pct"/>
                  <w:vAlign w:val="center"/>
                </w:tcPr>
                <w:p>
                  <w:pPr>
                    <w:spacing w:line="400" w:lineRule="exact"/>
                    <w:jc w:val="center"/>
                    <w:rPr>
                      <w:szCs w:val="21"/>
                    </w:rPr>
                  </w:pPr>
                  <w:r>
                    <w:rPr>
                      <w:szCs w:val="21"/>
                    </w:rPr>
                    <w:t>污染源名称</w:t>
                  </w:r>
                </w:p>
              </w:tc>
              <w:tc>
                <w:tcPr>
                  <w:tcW w:w="724" w:type="pct"/>
                  <w:vAlign w:val="center"/>
                </w:tcPr>
                <w:p>
                  <w:pPr>
                    <w:spacing w:line="400" w:lineRule="exact"/>
                    <w:jc w:val="center"/>
                    <w:rPr>
                      <w:szCs w:val="21"/>
                    </w:rPr>
                  </w:pPr>
                  <w:r>
                    <w:rPr>
                      <w:szCs w:val="21"/>
                    </w:rPr>
                    <w:t>评价因子</w:t>
                  </w:r>
                </w:p>
              </w:tc>
              <w:tc>
                <w:tcPr>
                  <w:tcW w:w="802" w:type="pct"/>
                  <w:vAlign w:val="center"/>
                </w:tcPr>
                <w:p>
                  <w:pPr>
                    <w:spacing w:line="400" w:lineRule="exact"/>
                    <w:jc w:val="center"/>
                    <w:rPr>
                      <w:szCs w:val="21"/>
                    </w:rPr>
                  </w:pPr>
                  <w:r>
                    <w:rPr>
                      <w:szCs w:val="21"/>
                    </w:rPr>
                    <w:t>评价标准</w:t>
                  </w:r>
                  <w:r>
                    <w:rPr>
                      <w:rFonts w:hint="eastAsia"/>
                      <w:szCs w:val="21"/>
                    </w:rPr>
                    <w:t>(</w:t>
                  </w:r>
                  <w:r>
                    <w:rPr>
                      <w:szCs w:val="21"/>
                    </w:rPr>
                    <w:t>μg/m</w:t>
                  </w:r>
                  <w:r>
                    <w:rPr>
                      <w:szCs w:val="21"/>
                      <w:vertAlign w:val="superscript"/>
                    </w:rPr>
                    <w:t>3</w:t>
                  </w:r>
                  <w:r>
                    <w:rPr>
                      <w:rFonts w:hint="eastAsia"/>
                      <w:szCs w:val="21"/>
                    </w:rPr>
                    <w:t>)</w:t>
                  </w:r>
                </w:p>
              </w:tc>
              <w:tc>
                <w:tcPr>
                  <w:tcW w:w="803" w:type="pct"/>
                  <w:vAlign w:val="center"/>
                </w:tcPr>
                <w:p>
                  <w:pPr>
                    <w:spacing w:line="400" w:lineRule="exact"/>
                    <w:jc w:val="center"/>
                    <w:rPr>
                      <w:szCs w:val="21"/>
                    </w:rPr>
                  </w:pPr>
                  <w:r>
                    <w:rPr>
                      <w:szCs w:val="21"/>
                    </w:rPr>
                    <w:t>C</w:t>
                  </w:r>
                  <w:r>
                    <w:rPr>
                      <w:rFonts w:hint="eastAsia"/>
                      <w:szCs w:val="21"/>
                      <w:vertAlign w:val="subscript"/>
                    </w:rPr>
                    <w:t>max</w:t>
                  </w:r>
                </w:p>
                <w:p>
                  <w:pPr>
                    <w:spacing w:line="400" w:lineRule="exact"/>
                    <w:jc w:val="center"/>
                    <w:rPr>
                      <w:szCs w:val="21"/>
                    </w:rPr>
                  </w:pPr>
                  <w:r>
                    <w:rPr>
                      <w:szCs w:val="21"/>
                    </w:rPr>
                    <w:t>(μg/m</w:t>
                  </w:r>
                  <w:r>
                    <w:rPr>
                      <w:szCs w:val="21"/>
                      <w:vertAlign w:val="superscript"/>
                    </w:rPr>
                    <w:t>3</w:t>
                  </w:r>
                  <w:r>
                    <w:rPr>
                      <w:szCs w:val="21"/>
                    </w:rPr>
                    <w:t>)</w:t>
                  </w:r>
                </w:p>
              </w:tc>
              <w:tc>
                <w:tcPr>
                  <w:tcW w:w="643" w:type="pct"/>
                  <w:vAlign w:val="center"/>
                </w:tcPr>
                <w:p>
                  <w:pPr>
                    <w:spacing w:line="400" w:lineRule="exact"/>
                    <w:jc w:val="center"/>
                    <w:rPr>
                      <w:szCs w:val="21"/>
                    </w:rPr>
                  </w:pPr>
                  <w:r>
                    <w:rPr>
                      <w:szCs w:val="21"/>
                    </w:rPr>
                    <w:t>P</w:t>
                  </w:r>
                  <w:r>
                    <w:rPr>
                      <w:rFonts w:hint="eastAsia"/>
                      <w:szCs w:val="21"/>
                      <w:vertAlign w:val="subscript"/>
                    </w:rPr>
                    <w:t>max</w:t>
                  </w:r>
                </w:p>
                <w:p>
                  <w:pPr>
                    <w:spacing w:line="400" w:lineRule="exact"/>
                    <w:jc w:val="center"/>
                    <w:rPr>
                      <w:szCs w:val="21"/>
                    </w:rPr>
                  </w:pPr>
                  <w:r>
                    <w:rPr>
                      <w:szCs w:val="21"/>
                    </w:rPr>
                    <w:t>(%)</w:t>
                  </w:r>
                </w:p>
              </w:tc>
              <w:tc>
                <w:tcPr>
                  <w:tcW w:w="650" w:type="pct"/>
                  <w:vAlign w:val="center"/>
                </w:tcPr>
                <w:p>
                  <w:pPr>
                    <w:spacing w:line="400" w:lineRule="exact"/>
                    <w:jc w:val="center"/>
                    <w:rPr>
                      <w:szCs w:val="21"/>
                    </w:rPr>
                  </w:pPr>
                  <w:r>
                    <w:rPr>
                      <w:szCs w:val="21"/>
                    </w:rPr>
                    <w:t>D</w:t>
                  </w:r>
                  <w:r>
                    <w:rPr>
                      <w:szCs w:val="21"/>
                      <w:vertAlign w:val="subscript"/>
                    </w:rPr>
                    <w:t>10%</w:t>
                  </w:r>
                </w:p>
                <w:p>
                  <w:pPr>
                    <w:spacing w:line="400" w:lineRule="exact"/>
                    <w:jc w:val="center"/>
                    <w:rPr>
                      <w:szCs w:val="21"/>
                    </w:rPr>
                  </w:pPr>
                  <w:r>
                    <w:rPr>
                      <w:szCs w:val="21"/>
                    </w:rPr>
                    <w:t>(m)</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379" w:type="pct"/>
                  <w:vAlign w:val="center"/>
                </w:tcPr>
                <w:p>
                  <w:pPr>
                    <w:spacing w:line="400" w:lineRule="exact"/>
                    <w:jc w:val="center"/>
                    <w:rPr>
                      <w:szCs w:val="21"/>
                    </w:rPr>
                  </w:pPr>
                  <w:r>
                    <w:rPr>
                      <w:rFonts w:hint="eastAsia"/>
                      <w:szCs w:val="21"/>
                    </w:rPr>
                    <w:t>隧道窑排气筒（1#）</w:t>
                  </w:r>
                </w:p>
              </w:tc>
              <w:tc>
                <w:tcPr>
                  <w:tcW w:w="724" w:type="pct"/>
                  <w:vAlign w:val="center"/>
                </w:tcPr>
                <w:p>
                  <w:pPr>
                    <w:spacing w:line="400" w:lineRule="exact"/>
                    <w:jc w:val="center"/>
                    <w:rPr>
                      <w:szCs w:val="21"/>
                    </w:rPr>
                  </w:pPr>
                  <w:r>
                    <w:t>TSP</w:t>
                  </w:r>
                </w:p>
              </w:tc>
              <w:tc>
                <w:tcPr>
                  <w:tcW w:w="802" w:type="pct"/>
                  <w:vAlign w:val="center"/>
                </w:tcPr>
                <w:p>
                  <w:pPr>
                    <w:spacing w:line="400" w:lineRule="exact"/>
                    <w:jc w:val="center"/>
                    <w:rPr>
                      <w:szCs w:val="21"/>
                    </w:rPr>
                  </w:pPr>
                  <w:r>
                    <w:t>900</w:t>
                  </w:r>
                </w:p>
              </w:tc>
              <w:tc>
                <w:tcPr>
                  <w:tcW w:w="803" w:type="pct"/>
                  <w:vAlign w:val="center"/>
                </w:tcPr>
                <w:p>
                  <w:pPr>
                    <w:spacing w:line="400" w:lineRule="exact"/>
                    <w:jc w:val="center"/>
                    <w:rPr>
                      <w:szCs w:val="21"/>
                    </w:rPr>
                  </w:pPr>
                  <w:r>
                    <w:t>3.03</w:t>
                  </w:r>
                </w:p>
              </w:tc>
              <w:tc>
                <w:tcPr>
                  <w:tcW w:w="643" w:type="pct"/>
                  <w:vAlign w:val="center"/>
                </w:tcPr>
                <w:p>
                  <w:pPr>
                    <w:spacing w:line="400" w:lineRule="exact"/>
                    <w:jc w:val="center"/>
                    <w:rPr>
                      <w:szCs w:val="21"/>
                    </w:rPr>
                  </w:pPr>
                  <w:r>
                    <w:t>0.34</w:t>
                  </w:r>
                </w:p>
              </w:tc>
              <w:tc>
                <w:tcPr>
                  <w:tcW w:w="650" w:type="pct"/>
                  <w:vAlign w:val="center"/>
                </w:tcPr>
                <w:p>
                  <w:pPr>
                    <w:spacing w:line="400" w:lineRule="exact"/>
                    <w:jc w:val="center"/>
                    <w:rPr>
                      <w:szCs w:val="21"/>
                    </w:rPr>
                  </w:pPr>
                  <w: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0" w:hRule="atLeast"/>
              </w:trPr>
              <w:tc>
                <w:tcPr>
                  <w:tcW w:w="1379" w:type="pct"/>
                  <w:vAlign w:val="center"/>
                </w:tcPr>
                <w:p>
                  <w:pPr>
                    <w:spacing w:line="400" w:lineRule="exact"/>
                    <w:jc w:val="center"/>
                    <w:rPr>
                      <w:szCs w:val="21"/>
                    </w:rPr>
                  </w:pPr>
                  <w:r>
                    <w:rPr>
                      <w:rFonts w:hint="eastAsia"/>
                      <w:szCs w:val="21"/>
                    </w:rPr>
                    <w:t>隧道窑排气筒（1#）</w:t>
                  </w:r>
                </w:p>
              </w:tc>
              <w:tc>
                <w:tcPr>
                  <w:tcW w:w="724" w:type="pct"/>
                  <w:vAlign w:val="center"/>
                </w:tcPr>
                <w:p>
                  <w:pPr>
                    <w:spacing w:line="400" w:lineRule="exact"/>
                    <w:jc w:val="center"/>
                    <w:rPr>
                      <w:szCs w:val="21"/>
                    </w:rPr>
                  </w:pPr>
                  <w:r>
                    <w:t>SO</w:t>
                  </w:r>
                  <w:r>
                    <w:rPr>
                      <w:vertAlign w:val="subscript"/>
                    </w:rPr>
                    <w:t>2</w:t>
                  </w:r>
                </w:p>
              </w:tc>
              <w:tc>
                <w:tcPr>
                  <w:tcW w:w="802" w:type="pct"/>
                  <w:vAlign w:val="center"/>
                </w:tcPr>
                <w:p>
                  <w:pPr>
                    <w:spacing w:line="400" w:lineRule="exact"/>
                    <w:jc w:val="center"/>
                    <w:rPr>
                      <w:szCs w:val="21"/>
                    </w:rPr>
                  </w:pPr>
                  <w:r>
                    <w:t>500</w:t>
                  </w:r>
                </w:p>
              </w:tc>
              <w:tc>
                <w:tcPr>
                  <w:tcW w:w="803" w:type="pct"/>
                  <w:vAlign w:val="center"/>
                </w:tcPr>
                <w:p>
                  <w:pPr>
                    <w:spacing w:line="400" w:lineRule="exact"/>
                    <w:jc w:val="center"/>
                    <w:rPr>
                      <w:szCs w:val="21"/>
                    </w:rPr>
                  </w:pPr>
                  <w:r>
                    <w:t>1.44</w:t>
                  </w:r>
                </w:p>
              </w:tc>
              <w:tc>
                <w:tcPr>
                  <w:tcW w:w="643" w:type="pct"/>
                  <w:vAlign w:val="center"/>
                </w:tcPr>
                <w:p>
                  <w:pPr>
                    <w:spacing w:line="400" w:lineRule="exact"/>
                    <w:jc w:val="center"/>
                    <w:rPr>
                      <w:szCs w:val="21"/>
                    </w:rPr>
                  </w:pPr>
                  <w:r>
                    <w:t>0.29</w:t>
                  </w:r>
                </w:p>
              </w:tc>
              <w:tc>
                <w:tcPr>
                  <w:tcW w:w="650" w:type="pct"/>
                  <w:vAlign w:val="center"/>
                </w:tcPr>
                <w:p>
                  <w:pPr>
                    <w:spacing w:line="400" w:lineRule="exact"/>
                    <w:jc w:val="center"/>
                    <w:rPr>
                      <w:szCs w:val="21"/>
                    </w:rPr>
                  </w:pPr>
                  <w: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0" w:hRule="atLeast"/>
              </w:trPr>
              <w:tc>
                <w:tcPr>
                  <w:tcW w:w="1379" w:type="pct"/>
                  <w:vAlign w:val="center"/>
                </w:tcPr>
                <w:p>
                  <w:pPr>
                    <w:spacing w:line="400" w:lineRule="exact"/>
                    <w:jc w:val="center"/>
                    <w:rPr>
                      <w:szCs w:val="21"/>
                    </w:rPr>
                  </w:pPr>
                  <w:r>
                    <w:rPr>
                      <w:rFonts w:hint="eastAsia"/>
                      <w:szCs w:val="21"/>
                    </w:rPr>
                    <w:t>隧道窑排气筒（1#）</w:t>
                  </w:r>
                </w:p>
              </w:tc>
              <w:tc>
                <w:tcPr>
                  <w:tcW w:w="724" w:type="pct"/>
                  <w:vAlign w:val="center"/>
                </w:tcPr>
                <w:p>
                  <w:pPr>
                    <w:spacing w:line="400" w:lineRule="exact"/>
                    <w:jc w:val="center"/>
                    <w:rPr>
                      <w:szCs w:val="21"/>
                    </w:rPr>
                  </w:pPr>
                  <w:r>
                    <w:t>NO</w:t>
                  </w:r>
                  <w:r>
                    <w:rPr>
                      <w:vertAlign w:val="subscript"/>
                    </w:rPr>
                    <w:t>x</w:t>
                  </w:r>
                </w:p>
              </w:tc>
              <w:tc>
                <w:tcPr>
                  <w:tcW w:w="802" w:type="pct"/>
                  <w:vAlign w:val="center"/>
                </w:tcPr>
                <w:p>
                  <w:pPr>
                    <w:spacing w:line="400" w:lineRule="exact"/>
                    <w:jc w:val="center"/>
                    <w:rPr>
                      <w:szCs w:val="21"/>
                    </w:rPr>
                  </w:pPr>
                  <w:r>
                    <w:t>250</w:t>
                  </w:r>
                </w:p>
              </w:tc>
              <w:tc>
                <w:tcPr>
                  <w:tcW w:w="803" w:type="pct"/>
                  <w:vAlign w:val="center"/>
                </w:tcPr>
                <w:p>
                  <w:pPr>
                    <w:spacing w:line="400" w:lineRule="exact"/>
                    <w:jc w:val="center"/>
                    <w:rPr>
                      <w:szCs w:val="21"/>
                    </w:rPr>
                  </w:pPr>
                  <w:r>
                    <w:t>23.46</w:t>
                  </w:r>
                </w:p>
              </w:tc>
              <w:tc>
                <w:tcPr>
                  <w:tcW w:w="643" w:type="pct"/>
                  <w:vAlign w:val="center"/>
                </w:tcPr>
                <w:p>
                  <w:pPr>
                    <w:spacing w:line="400" w:lineRule="exact"/>
                    <w:jc w:val="center"/>
                    <w:rPr>
                      <w:szCs w:val="21"/>
                    </w:rPr>
                  </w:pPr>
                  <w:r>
                    <w:t>9.38</w:t>
                  </w:r>
                </w:p>
              </w:tc>
              <w:tc>
                <w:tcPr>
                  <w:tcW w:w="650" w:type="pct"/>
                  <w:vAlign w:val="center"/>
                </w:tcPr>
                <w:p>
                  <w:pPr>
                    <w:spacing w:line="400" w:lineRule="exact"/>
                    <w:jc w:val="center"/>
                    <w:rPr>
                      <w:szCs w:val="21"/>
                    </w:rPr>
                  </w:pPr>
                  <w: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379" w:type="pct"/>
                  <w:vAlign w:val="center"/>
                </w:tcPr>
                <w:p>
                  <w:pPr>
                    <w:spacing w:line="400" w:lineRule="exact"/>
                    <w:jc w:val="center"/>
                    <w:rPr>
                      <w:szCs w:val="21"/>
                    </w:rPr>
                  </w:pPr>
                  <w:r>
                    <w:rPr>
                      <w:rFonts w:hint="eastAsia"/>
                      <w:szCs w:val="21"/>
                    </w:rPr>
                    <w:t>隧道窑排气筒（1#）</w:t>
                  </w:r>
                </w:p>
              </w:tc>
              <w:tc>
                <w:tcPr>
                  <w:tcW w:w="724" w:type="pct"/>
                  <w:vAlign w:val="center"/>
                </w:tcPr>
                <w:p>
                  <w:pPr>
                    <w:spacing w:line="400" w:lineRule="exact"/>
                    <w:jc w:val="center"/>
                    <w:rPr>
                      <w:szCs w:val="21"/>
                    </w:rPr>
                  </w:pPr>
                  <w:r>
                    <w:t>F</w:t>
                  </w:r>
                </w:p>
              </w:tc>
              <w:tc>
                <w:tcPr>
                  <w:tcW w:w="802" w:type="pct"/>
                  <w:vAlign w:val="center"/>
                </w:tcPr>
                <w:p>
                  <w:pPr>
                    <w:spacing w:line="400" w:lineRule="exact"/>
                    <w:jc w:val="center"/>
                    <w:rPr>
                      <w:szCs w:val="21"/>
                    </w:rPr>
                  </w:pPr>
                  <w:r>
                    <w:t>20</w:t>
                  </w:r>
                </w:p>
              </w:tc>
              <w:tc>
                <w:tcPr>
                  <w:tcW w:w="803" w:type="pct"/>
                  <w:vAlign w:val="center"/>
                </w:tcPr>
                <w:p>
                  <w:pPr>
                    <w:spacing w:line="400" w:lineRule="exact"/>
                    <w:jc w:val="center"/>
                    <w:rPr>
                      <w:szCs w:val="21"/>
                    </w:rPr>
                  </w:pPr>
                  <w:r>
                    <w:t>0.14</w:t>
                  </w:r>
                </w:p>
              </w:tc>
              <w:tc>
                <w:tcPr>
                  <w:tcW w:w="643" w:type="pct"/>
                  <w:vAlign w:val="center"/>
                </w:tcPr>
                <w:p>
                  <w:pPr>
                    <w:spacing w:line="400" w:lineRule="exact"/>
                    <w:jc w:val="center"/>
                    <w:rPr>
                      <w:szCs w:val="21"/>
                    </w:rPr>
                  </w:pPr>
                  <w:r>
                    <w:t>0.72</w:t>
                  </w:r>
                </w:p>
              </w:tc>
              <w:tc>
                <w:tcPr>
                  <w:tcW w:w="650" w:type="pct"/>
                  <w:vAlign w:val="center"/>
                </w:tcPr>
                <w:p>
                  <w:pPr>
                    <w:spacing w:line="400" w:lineRule="exact"/>
                    <w:jc w:val="center"/>
                    <w:rPr>
                      <w:szCs w:val="21"/>
                    </w:rPr>
                  </w:pPr>
                  <w: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379" w:type="pct"/>
                  <w:vAlign w:val="center"/>
                </w:tcPr>
                <w:p>
                  <w:pPr>
                    <w:spacing w:line="400" w:lineRule="exact"/>
                    <w:jc w:val="center"/>
                    <w:rPr>
                      <w:color w:val="FF0000"/>
                      <w:szCs w:val="21"/>
                    </w:rPr>
                  </w:pPr>
                  <w:r>
                    <w:rPr>
                      <w:rFonts w:hint="eastAsia"/>
                      <w:color w:val="FF0000"/>
                      <w:szCs w:val="21"/>
                    </w:rPr>
                    <w:t>破碎废气排气筒</w:t>
                  </w:r>
                  <w:r>
                    <w:rPr>
                      <w:rFonts w:hint="eastAsia"/>
                      <w:szCs w:val="21"/>
                    </w:rPr>
                    <w:t>（2#）</w:t>
                  </w:r>
                </w:p>
              </w:tc>
              <w:tc>
                <w:tcPr>
                  <w:tcW w:w="724" w:type="pct"/>
                  <w:vAlign w:val="center"/>
                </w:tcPr>
                <w:p>
                  <w:pPr>
                    <w:spacing w:line="400" w:lineRule="exact"/>
                    <w:jc w:val="center"/>
                    <w:rPr>
                      <w:color w:val="FF0000"/>
                    </w:rPr>
                  </w:pPr>
                  <w:r>
                    <w:rPr>
                      <w:rFonts w:hint="eastAsia"/>
                      <w:color w:val="FF0000"/>
                    </w:rPr>
                    <w:t>颗粒物</w:t>
                  </w:r>
                </w:p>
              </w:tc>
              <w:tc>
                <w:tcPr>
                  <w:tcW w:w="802" w:type="pct"/>
                  <w:vAlign w:val="center"/>
                </w:tcPr>
                <w:p>
                  <w:pPr>
                    <w:spacing w:line="400" w:lineRule="exact"/>
                    <w:jc w:val="center"/>
                    <w:rPr>
                      <w:color w:val="FF0000"/>
                    </w:rPr>
                  </w:pPr>
                  <w:r>
                    <w:rPr>
                      <w:rFonts w:hint="eastAsia"/>
                      <w:color w:val="FF0000"/>
                    </w:rPr>
                    <w:t>900</w:t>
                  </w:r>
                </w:p>
              </w:tc>
              <w:tc>
                <w:tcPr>
                  <w:tcW w:w="803" w:type="pct"/>
                  <w:vAlign w:val="center"/>
                </w:tcPr>
                <w:p>
                  <w:pPr>
                    <w:spacing w:line="400" w:lineRule="exact"/>
                    <w:jc w:val="center"/>
                    <w:rPr>
                      <w:color w:val="FF0000"/>
                    </w:rPr>
                  </w:pPr>
                  <w:r>
                    <w:rPr>
                      <w:rFonts w:hint="eastAsia"/>
                      <w:color w:val="FF0000"/>
                    </w:rPr>
                    <w:t>5.58</w:t>
                  </w:r>
                </w:p>
              </w:tc>
              <w:tc>
                <w:tcPr>
                  <w:tcW w:w="643" w:type="pct"/>
                  <w:vAlign w:val="center"/>
                </w:tcPr>
                <w:p>
                  <w:pPr>
                    <w:spacing w:line="400" w:lineRule="exact"/>
                    <w:jc w:val="center"/>
                    <w:rPr>
                      <w:color w:val="FF0000"/>
                    </w:rPr>
                  </w:pPr>
                  <w:r>
                    <w:rPr>
                      <w:rFonts w:hint="eastAsia"/>
                      <w:color w:val="FF0000"/>
                    </w:rPr>
                    <w:t>0.62</w:t>
                  </w:r>
                </w:p>
              </w:tc>
              <w:tc>
                <w:tcPr>
                  <w:tcW w:w="650" w:type="pct"/>
                  <w:vAlign w:val="center"/>
                </w:tcPr>
                <w:p>
                  <w:pPr>
                    <w:spacing w:line="400" w:lineRule="exact"/>
                    <w:jc w:val="center"/>
                    <w:rPr>
                      <w:color w:val="FF0000"/>
                    </w:rPr>
                  </w:pPr>
                  <w:r>
                    <w:rPr>
                      <w:rFonts w:hint="eastAsia"/>
                      <w:color w:val="FF0000"/>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379" w:type="pct"/>
                  <w:vAlign w:val="center"/>
                </w:tcPr>
                <w:p>
                  <w:pPr>
                    <w:spacing w:line="400" w:lineRule="exact"/>
                    <w:jc w:val="center"/>
                    <w:rPr>
                      <w:color w:val="00B050"/>
                      <w:szCs w:val="21"/>
                    </w:rPr>
                  </w:pPr>
                  <w:r>
                    <w:rPr>
                      <w:rFonts w:hint="eastAsia"/>
                      <w:color w:val="00B050"/>
                    </w:rPr>
                    <w:t>无组织扬尘</w:t>
                  </w:r>
                </w:p>
              </w:tc>
              <w:tc>
                <w:tcPr>
                  <w:tcW w:w="724" w:type="pct"/>
                  <w:vAlign w:val="center"/>
                </w:tcPr>
                <w:p>
                  <w:pPr>
                    <w:spacing w:line="400" w:lineRule="exact"/>
                    <w:jc w:val="center"/>
                    <w:rPr>
                      <w:color w:val="00B050"/>
                      <w:szCs w:val="21"/>
                    </w:rPr>
                  </w:pPr>
                  <w:r>
                    <w:rPr>
                      <w:color w:val="00B050"/>
                      <w:szCs w:val="21"/>
                    </w:rPr>
                    <w:t>TSP</w:t>
                  </w:r>
                </w:p>
              </w:tc>
              <w:tc>
                <w:tcPr>
                  <w:tcW w:w="802" w:type="pct"/>
                  <w:vAlign w:val="center"/>
                </w:tcPr>
                <w:p>
                  <w:pPr>
                    <w:spacing w:line="400" w:lineRule="exact"/>
                    <w:jc w:val="center"/>
                    <w:rPr>
                      <w:color w:val="00B050"/>
                      <w:szCs w:val="21"/>
                    </w:rPr>
                  </w:pPr>
                  <w:r>
                    <w:rPr>
                      <w:color w:val="00B050"/>
                    </w:rPr>
                    <w:t>900</w:t>
                  </w:r>
                </w:p>
              </w:tc>
              <w:tc>
                <w:tcPr>
                  <w:tcW w:w="803" w:type="pct"/>
                </w:tcPr>
                <w:p>
                  <w:pPr>
                    <w:spacing w:line="400" w:lineRule="exact"/>
                    <w:jc w:val="center"/>
                    <w:rPr>
                      <w:color w:val="00B050"/>
                      <w:szCs w:val="21"/>
                    </w:rPr>
                  </w:pPr>
                  <w:r>
                    <w:rPr>
                      <w:color w:val="00B050"/>
                    </w:rPr>
                    <w:t>64.7</w:t>
                  </w:r>
                </w:p>
              </w:tc>
              <w:tc>
                <w:tcPr>
                  <w:tcW w:w="643" w:type="pct"/>
                </w:tcPr>
                <w:p>
                  <w:pPr>
                    <w:spacing w:line="400" w:lineRule="exact"/>
                    <w:jc w:val="center"/>
                    <w:rPr>
                      <w:color w:val="00B050"/>
                      <w:szCs w:val="21"/>
                    </w:rPr>
                  </w:pPr>
                  <w:r>
                    <w:rPr>
                      <w:color w:val="00B050"/>
                    </w:rPr>
                    <w:t>7.19</w:t>
                  </w:r>
                </w:p>
              </w:tc>
              <w:tc>
                <w:tcPr>
                  <w:tcW w:w="650" w:type="pct"/>
                  <w:vAlign w:val="center"/>
                </w:tcPr>
                <w:p>
                  <w:pPr>
                    <w:spacing w:line="400" w:lineRule="exact"/>
                    <w:jc w:val="center"/>
                    <w:rPr>
                      <w:color w:val="00B050"/>
                      <w:szCs w:val="21"/>
                    </w:rPr>
                  </w:pPr>
                  <w:r>
                    <w:rPr>
                      <w:color w:val="00B050"/>
                    </w:rPr>
                    <w:t>/</w:t>
                  </w:r>
                </w:p>
              </w:tc>
            </w:tr>
          </w:tbl>
          <w:p>
            <w:pPr>
              <w:spacing w:line="360" w:lineRule="auto"/>
              <w:ind w:firstLine="480" w:firstLineChars="200"/>
              <w:rPr>
                <w:rFonts w:hAnsi="宋体"/>
                <w:sz w:val="24"/>
              </w:rPr>
            </w:pPr>
            <w:r>
              <w:rPr>
                <w:rFonts w:hint="eastAsia" w:hAnsi="宋体"/>
                <w:sz w:val="24"/>
              </w:rPr>
              <w:t>本项目</w:t>
            </w:r>
            <w:r>
              <w:rPr>
                <w:rFonts w:hAnsi="宋体"/>
                <w:sz w:val="24"/>
              </w:rPr>
              <w:t>P</w:t>
            </w:r>
            <w:r>
              <w:rPr>
                <w:rFonts w:hAnsi="宋体"/>
                <w:sz w:val="24"/>
                <w:vertAlign w:val="subscript"/>
              </w:rPr>
              <w:t>max</w:t>
            </w:r>
            <w:r>
              <w:rPr>
                <w:rFonts w:hint="eastAsia" w:hAnsi="宋体"/>
                <w:sz w:val="24"/>
              </w:rPr>
              <w:t>最大值出现为点源排放的</w:t>
            </w:r>
            <w:r>
              <w:rPr>
                <w:rFonts w:hAnsi="宋体"/>
                <w:sz w:val="24"/>
              </w:rPr>
              <w:t>NOx</w:t>
            </w:r>
            <w:r>
              <w:rPr>
                <w:rFonts w:hint="eastAsia" w:hAnsi="宋体"/>
                <w:sz w:val="24"/>
              </w:rPr>
              <w:t>，</w:t>
            </w:r>
            <w:r>
              <w:rPr>
                <w:rFonts w:hAnsi="宋体"/>
                <w:sz w:val="24"/>
              </w:rPr>
              <w:t>P</w:t>
            </w:r>
            <w:r>
              <w:rPr>
                <w:rFonts w:hAnsi="宋体"/>
                <w:sz w:val="24"/>
                <w:vertAlign w:val="subscript"/>
              </w:rPr>
              <w:t>max</w:t>
            </w:r>
            <w:r>
              <w:rPr>
                <w:rFonts w:hint="eastAsia" w:hAnsi="宋体"/>
                <w:sz w:val="24"/>
              </w:rPr>
              <w:t>值为</w:t>
            </w:r>
            <w:r>
              <w:rPr>
                <w:rFonts w:hAnsi="宋体"/>
                <w:sz w:val="24"/>
              </w:rPr>
              <w:t>9.38%</w:t>
            </w:r>
            <w:r>
              <w:rPr>
                <w:rFonts w:hint="eastAsia" w:hAnsi="宋体"/>
                <w:sz w:val="24"/>
              </w:rPr>
              <w:t>，</w:t>
            </w:r>
            <w:r>
              <w:rPr>
                <w:rFonts w:hAnsi="宋体"/>
                <w:sz w:val="24"/>
              </w:rPr>
              <w:t>C</w:t>
            </w:r>
            <w:r>
              <w:rPr>
                <w:rFonts w:hAnsi="宋体"/>
                <w:sz w:val="24"/>
                <w:vertAlign w:val="subscript"/>
              </w:rPr>
              <w:t>max</w:t>
            </w:r>
            <w:r>
              <w:rPr>
                <w:rFonts w:hint="eastAsia" w:hAnsi="宋体"/>
                <w:sz w:val="24"/>
              </w:rPr>
              <w:t>为</w:t>
            </w:r>
            <w:r>
              <w:rPr>
                <w:rFonts w:hAnsi="宋体"/>
                <w:sz w:val="24"/>
              </w:rPr>
              <w:t>23.46ug/m</w:t>
            </w:r>
            <w:r>
              <w:rPr>
                <w:rFonts w:hAnsi="宋体"/>
                <w:sz w:val="24"/>
                <w:vertAlign w:val="superscript"/>
              </w:rPr>
              <w:t>3</w:t>
            </w:r>
            <w:r>
              <w:rPr>
                <w:rFonts w:hint="eastAsia" w:hAnsi="宋体"/>
                <w:sz w:val="24"/>
              </w:rPr>
              <w:t>，根据《环境影响评价技术导则</w:t>
            </w:r>
            <w:r>
              <w:rPr>
                <w:rFonts w:hAnsi="宋体"/>
                <w:sz w:val="24"/>
              </w:rPr>
              <w:t xml:space="preserve"> </w:t>
            </w:r>
            <w:r>
              <w:rPr>
                <w:rFonts w:hint="eastAsia" w:hAnsi="宋体"/>
                <w:sz w:val="24"/>
              </w:rPr>
              <w:t>大气环境》</w:t>
            </w:r>
            <w:r>
              <w:rPr>
                <w:rFonts w:hAnsi="宋体"/>
                <w:sz w:val="24"/>
              </w:rPr>
              <w:t>(HJ2.2-2018)</w:t>
            </w:r>
            <w:r>
              <w:rPr>
                <w:rFonts w:hint="eastAsia" w:hAnsi="宋体"/>
                <w:sz w:val="24"/>
              </w:rPr>
              <w:t>分级判据，确定本项目大气环境影响评价工作等级为二级。</w:t>
            </w:r>
          </w:p>
          <w:p>
            <w:pPr>
              <w:spacing w:line="360" w:lineRule="auto"/>
              <w:ind w:firstLine="480" w:firstLineChars="200"/>
              <w:rPr>
                <w:rFonts w:hAnsi="宋体"/>
                <w:sz w:val="24"/>
              </w:rPr>
            </w:pPr>
            <w:r>
              <w:rPr>
                <w:rFonts w:hint="eastAsia" w:hAnsi="宋体"/>
                <w:sz w:val="24"/>
              </w:rPr>
              <w:t>本项目</w:t>
            </w:r>
            <w:r>
              <w:rPr>
                <w:sz w:val="24"/>
              </w:rPr>
              <w:t>排放影响预测结果见</w:t>
            </w:r>
            <w:r>
              <w:rPr>
                <w:rFonts w:hint="eastAsia"/>
                <w:sz w:val="24"/>
              </w:rPr>
              <w:t>下表</w:t>
            </w:r>
            <w:r>
              <w:rPr>
                <w:sz w:val="24"/>
                <w:szCs w:val="24"/>
              </w:rPr>
              <w:t>。</w:t>
            </w:r>
          </w:p>
          <w:p>
            <w:pPr>
              <w:jc w:val="center"/>
              <w:rPr>
                <w:rFonts w:hAnsi="宋体"/>
                <w:b/>
              </w:rPr>
            </w:pPr>
            <w:r>
              <w:rPr>
                <w:rFonts w:hint="eastAsia" w:hAnsi="宋体"/>
                <w:b/>
              </w:rPr>
              <w:t>表41   隧道窑污染物排放</w:t>
            </w:r>
            <w:r>
              <w:rPr>
                <w:rFonts w:hAnsi="宋体"/>
                <w:b/>
              </w:rPr>
              <w:t>影响预测结果统计</w:t>
            </w:r>
            <w:r>
              <w:rPr>
                <w:rFonts w:hint="eastAsia" w:hAnsi="宋体"/>
                <w:b/>
              </w:rPr>
              <w:t>表</w:t>
            </w:r>
          </w:p>
          <w:tbl>
            <w:tblPr>
              <w:tblStyle w:val="24"/>
              <w:tblW w:w="8796"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0" w:type="dxa"/>
                <w:bottom w:w="28" w:type="dxa"/>
                <w:right w:w="0" w:type="dxa"/>
              </w:tblCellMar>
            </w:tblPr>
            <w:tblGrid>
              <w:gridCol w:w="2126"/>
              <w:gridCol w:w="1734"/>
              <w:gridCol w:w="1683"/>
              <w:gridCol w:w="1999"/>
              <w:gridCol w:w="125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89" w:hRule="atLeast"/>
              </w:trPr>
              <w:tc>
                <w:tcPr>
                  <w:tcW w:w="2126" w:type="dxa"/>
                  <w:vMerge w:val="restart"/>
                  <w:tcBorders>
                    <w:top w:val="single" w:color="auto" w:sz="12" w:space="0"/>
                    <w:left w:val="nil"/>
                    <w:bottom w:val="single" w:color="auto" w:sz="2" w:space="0"/>
                  </w:tcBorders>
                  <w:vAlign w:val="center"/>
                </w:tcPr>
                <w:p>
                  <w:pPr>
                    <w:adjustRightInd w:val="0"/>
                    <w:snapToGrid w:val="0"/>
                    <w:spacing w:line="240" w:lineRule="atLeast"/>
                    <w:jc w:val="center"/>
                    <w:rPr>
                      <w:szCs w:val="21"/>
                    </w:rPr>
                  </w:pPr>
                  <w:r>
                    <w:rPr>
                      <w:szCs w:val="21"/>
                    </w:rPr>
                    <w:t>距源中心下风向距离D（m）</w:t>
                  </w:r>
                </w:p>
              </w:tc>
              <w:tc>
                <w:tcPr>
                  <w:tcW w:w="3417" w:type="dxa"/>
                  <w:gridSpan w:val="2"/>
                  <w:tcBorders>
                    <w:top w:val="single" w:color="auto" w:sz="12" w:space="0"/>
                    <w:bottom w:val="single" w:color="auto" w:sz="2" w:space="0"/>
                    <w:right w:val="single" w:color="auto" w:sz="4" w:space="0"/>
                  </w:tcBorders>
                  <w:vAlign w:val="center"/>
                </w:tcPr>
                <w:p>
                  <w:pPr>
                    <w:adjustRightInd w:val="0"/>
                    <w:snapToGrid w:val="0"/>
                    <w:spacing w:line="240" w:lineRule="atLeast"/>
                    <w:jc w:val="center"/>
                    <w:rPr>
                      <w:szCs w:val="21"/>
                    </w:rPr>
                  </w:pPr>
                  <w:r>
                    <w:rPr>
                      <w:rFonts w:hint="eastAsia"/>
                      <w:szCs w:val="21"/>
                    </w:rPr>
                    <w:t>SO</w:t>
                  </w:r>
                  <w:r>
                    <w:rPr>
                      <w:rFonts w:hint="eastAsia"/>
                      <w:szCs w:val="21"/>
                      <w:vertAlign w:val="subscript"/>
                    </w:rPr>
                    <w:t>2</w:t>
                  </w:r>
                </w:p>
              </w:tc>
              <w:tc>
                <w:tcPr>
                  <w:tcW w:w="3253" w:type="dxa"/>
                  <w:gridSpan w:val="2"/>
                  <w:tcBorders>
                    <w:top w:val="single" w:color="auto" w:sz="12" w:space="0"/>
                    <w:left w:val="single" w:color="auto" w:sz="4" w:space="0"/>
                    <w:bottom w:val="single" w:color="auto" w:sz="2" w:space="0"/>
                    <w:right w:val="nil"/>
                  </w:tcBorders>
                  <w:vAlign w:val="center"/>
                </w:tcPr>
                <w:p>
                  <w:pPr>
                    <w:adjustRightInd w:val="0"/>
                    <w:snapToGrid w:val="0"/>
                    <w:spacing w:line="240" w:lineRule="atLeast"/>
                    <w:jc w:val="center"/>
                    <w:rPr>
                      <w:szCs w:val="21"/>
                    </w:rPr>
                  </w:pPr>
                  <w:r>
                    <w:rPr>
                      <w:rFonts w:hint="eastAsia"/>
                      <w:szCs w:val="21"/>
                    </w:rPr>
                    <w:t>NO</w:t>
                  </w:r>
                  <w:r>
                    <w:rPr>
                      <w:rFonts w:hint="eastAsia"/>
                      <w:szCs w:val="21"/>
                      <w:vertAlign w:val="subscript"/>
                    </w:rPr>
                    <w:t>X</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499" w:hRule="atLeast"/>
              </w:trPr>
              <w:tc>
                <w:tcPr>
                  <w:tcW w:w="2126" w:type="dxa"/>
                  <w:vMerge w:val="continue"/>
                  <w:tcBorders>
                    <w:top w:val="single" w:color="auto" w:sz="2" w:space="0"/>
                    <w:left w:val="nil"/>
                    <w:bottom w:val="single" w:color="auto" w:sz="2" w:space="0"/>
                  </w:tcBorders>
                  <w:vAlign w:val="center"/>
                </w:tcPr>
                <w:p>
                  <w:pPr>
                    <w:widowControl/>
                    <w:adjustRightInd w:val="0"/>
                    <w:snapToGrid w:val="0"/>
                    <w:spacing w:line="240" w:lineRule="atLeast"/>
                    <w:jc w:val="center"/>
                    <w:rPr>
                      <w:szCs w:val="21"/>
                    </w:rPr>
                  </w:pPr>
                </w:p>
              </w:tc>
              <w:tc>
                <w:tcPr>
                  <w:tcW w:w="1734" w:type="dxa"/>
                  <w:tcBorders>
                    <w:top w:val="single" w:color="auto" w:sz="2" w:space="0"/>
                    <w:bottom w:val="single" w:color="auto" w:sz="2" w:space="0"/>
                  </w:tcBorders>
                  <w:vAlign w:val="center"/>
                </w:tcPr>
                <w:p>
                  <w:pPr>
                    <w:adjustRightInd w:val="0"/>
                    <w:snapToGrid w:val="0"/>
                    <w:spacing w:line="240" w:lineRule="atLeast"/>
                    <w:jc w:val="center"/>
                    <w:rPr>
                      <w:szCs w:val="21"/>
                    </w:rPr>
                  </w:pPr>
                  <w:r>
                    <w:rPr>
                      <w:szCs w:val="21"/>
                    </w:rPr>
                    <w:t>下风向预测浓度（μg/m</w:t>
                  </w:r>
                  <w:r>
                    <w:rPr>
                      <w:szCs w:val="21"/>
                      <w:vertAlign w:val="superscript"/>
                    </w:rPr>
                    <w:t>3</w:t>
                  </w:r>
                  <w:r>
                    <w:rPr>
                      <w:szCs w:val="21"/>
                    </w:rPr>
                    <w:t>）</w:t>
                  </w:r>
                </w:p>
              </w:tc>
              <w:tc>
                <w:tcPr>
                  <w:tcW w:w="1683" w:type="dxa"/>
                  <w:tcBorders>
                    <w:top w:val="single" w:color="auto" w:sz="2" w:space="0"/>
                    <w:bottom w:val="single" w:color="auto" w:sz="2" w:space="0"/>
                    <w:right w:val="single" w:color="auto" w:sz="4" w:space="0"/>
                  </w:tcBorders>
                  <w:vAlign w:val="center"/>
                </w:tcPr>
                <w:p>
                  <w:pPr>
                    <w:adjustRightInd w:val="0"/>
                    <w:snapToGrid w:val="0"/>
                    <w:spacing w:line="240" w:lineRule="atLeast"/>
                    <w:jc w:val="center"/>
                    <w:rPr>
                      <w:szCs w:val="21"/>
                    </w:rPr>
                  </w:pPr>
                  <w:r>
                    <w:rPr>
                      <w:szCs w:val="21"/>
                    </w:rPr>
                    <w:t>占标率（%）</w:t>
                  </w:r>
                </w:p>
              </w:tc>
              <w:tc>
                <w:tcPr>
                  <w:tcW w:w="1999" w:type="dxa"/>
                  <w:tcBorders>
                    <w:top w:val="single" w:color="auto" w:sz="2" w:space="0"/>
                    <w:left w:val="single" w:color="auto" w:sz="4" w:space="0"/>
                    <w:bottom w:val="single" w:color="auto" w:sz="2" w:space="0"/>
                  </w:tcBorders>
                  <w:vAlign w:val="center"/>
                </w:tcPr>
                <w:p>
                  <w:pPr>
                    <w:adjustRightInd w:val="0"/>
                    <w:snapToGrid w:val="0"/>
                    <w:spacing w:line="240" w:lineRule="atLeast"/>
                    <w:jc w:val="center"/>
                    <w:rPr>
                      <w:szCs w:val="21"/>
                    </w:rPr>
                  </w:pPr>
                  <w:r>
                    <w:rPr>
                      <w:szCs w:val="21"/>
                    </w:rPr>
                    <w:t>下风向预测浓度</w:t>
                  </w:r>
                </w:p>
                <w:p>
                  <w:pPr>
                    <w:adjustRightInd w:val="0"/>
                    <w:snapToGrid w:val="0"/>
                    <w:spacing w:line="240" w:lineRule="atLeast"/>
                    <w:jc w:val="center"/>
                    <w:rPr>
                      <w:szCs w:val="21"/>
                    </w:rPr>
                  </w:pPr>
                  <w:r>
                    <w:rPr>
                      <w:szCs w:val="21"/>
                    </w:rPr>
                    <w:t>（μg/m</w:t>
                  </w:r>
                  <w:r>
                    <w:rPr>
                      <w:szCs w:val="21"/>
                      <w:vertAlign w:val="superscript"/>
                    </w:rPr>
                    <w:t>3</w:t>
                  </w:r>
                  <w:r>
                    <w:rPr>
                      <w:szCs w:val="21"/>
                    </w:rPr>
                    <w:t>）</w:t>
                  </w:r>
                </w:p>
              </w:tc>
              <w:tc>
                <w:tcPr>
                  <w:tcW w:w="1254" w:type="dxa"/>
                  <w:tcBorders>
                    <w:top w:val="single" w:color="auto" w:sz="2" w:space="0"/>
                    <w:left w:val="single" w:color="auto" w:sz="4" w:space="0"/>
                    <w:bottom w:val="single" w:color="auto" w:sz="2" w:space="0"/>
                    <w:right w:val="nil"/>
                  </w:tcBorders>
                  <w:vAlign w:val="center"/>
                </w:tcPr>
                <w:p>
                  <w:pPr>
                    <w:adjustRightInd w:val="0"/>
                    <w:snapToGrid w:val="0"/>
                    <w:spacing w:line="240" w:lineRule="atLeast"/>
                    <w:jc w:val="center"/>
                    <w:rPr>
                      <w:szCs w:val="21"/>
                    </w:rPr>
                  </w:pPr>
                  <w:r>
                    <w:rPr>
                      <w:szCs w:val="21"/>
                    </w:rPr>
                    <w:t>占标率（%）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szCs w:val="21"/>
                    </w:rPr>
                  </w:pPr>
                  <w:r>
                    <w:t>50.0</w:t>
                  </w:r>
                </w:p>
              </w:tc>
              <w:tc>
                <w:tcPr>
                  <w:tcW w:w="1734" w:type="dxa"/>
                  <w:tcBorders>
                    <w:top w:val="single" w:color="auto" w:sz="2" w:space="0"/>
                    <w:bottom w:val="single" w:color="auto" w:sz="2" w:space="0"/>
                  </w:tcBorders>
                  <w:vAlign w:val="center"/>
                </w:tcPr>
                <w:p>
                  <w:pPr>
                    <w:jc w:val="center"/>
                    <w:rPr>
                      <w:szCs w:val="21"/>
                    </w:rPr>
                  </w:pPr>
                  <w:r>
                    <w:t>1.03</w:t>
                  </w:r>
                </w:p>
              </w:tc>
              <w:tc>
                <w:tcPr>
                  <w:tcW w:w="1683" w:type="dxa"/>
                  <w:tcBorders>
                    <w:top w:val="single" w:color="auto" w:sz="2" w:space="0"/>
                    <w:bottom w:val="single" w:color="auto" w:sz="2" w:space="0"/>
                    <w:right w:val="single" w:color="auto" w:sz="4" w:space="0"/>
                  </w:tcBorders>
                  <w:vAlign w:val="center"/>
                </w:tcPr>
                <w:p>
                  <w:pPr>
                    <w:jc w:val="center"/>
                    <w:rPr>
                      <w:szCs w:val="21"/>
                    </w:rPr>
                  </w:pPr>
                  <w:r>
                    <w:t>0.21</w:t>
                  </w:r>
                </w:p>
              </w:tc>
              <w:tc>
                <w:tcPr>
                  <w:tcW w:w="1999" w:type="dxa"/>
                  <w:tcBorders>
                    <w:top w:val="single" w:color="auto" w:sz="2" w:space="0"/>
                    <w:left w:val="single" w:color="auto" w:sz="4" w:space="0"/>
                    <w:bottom w:val="single" w:color="auto" w:sz="2" w:space="0"/>
                  </w:tcBorders>
                  <w:vAlign w:val="center"/>
                </w:tcPr>
                <w:p>
                  <w:pPr>
                    <w:jc w:val="center"/>
                    <w:rPr>
                      <w:szCs w:val="21"/>
                    </w:rPr>
                  </w:pPr>
                  <w:r>
                    <w:t>16.86</w:t>
                  </w:r>
                </w:p>
              </w:tc>
              <w:tc>
                <w:tcPr>
                  <w:tcW w:w="1254" w:type="dxa"/>
                  <w:tcBorders>
                    <w:top w:val="single" w:color="auto" w:sz="2" w:space="0"/>
                    <w:left w:val="single" w:color="auto" w:sz="4" w:space="0"/>
                    <w:bottom w:val="single" w:color="auto" w:sz="2" w:space="0"/>
                    <w:right w:val="nil"/>
                  </w:tcBorders>
                  <w:vAlign w:val="center"/>
                </w:tcPr>
                <w:p>
                  <w:pPr>
                    <w:jc w:val="center"/>
                    <w:rPr>
                      <w:szCs w:val="21"/>
                    </w:rPr>
                  </w:pPr>
                  <w:r>
                    <w:t>6.74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szCs w:val="21"/>
                    </w:rPr>
                  </w:pPr>
                  <w:r>
                    <w:t>100.0</w:t>
                  </w:r>
                </w:p>
              </w:tc>
              <w:tc>
                <w:tcPr>
                  <w:tcW w:w="1734" w:type="dxa"/>
                  <w:tcBorders>
                    <w:top w:val="single" w:color="auto" w:sz="2" w:space="0"/>
                    <w:bottom w:val="single" w:color="auto" w:sz="2" w:space="0"/>
                  </w:tcBorders>
                  <w:vAlign w:val="center"/>
                </w:tcPr>
                <w:p>
                  <w:pPr>
                    <w:jc w:val="center"/>
                    <w:rPr>
                      <w:szCs w:val="21"/>
                    </w:rPr>
                  </w:pPr>
                  <w:r>
                    <w:t>1.44</w:t>
                  </w:r>
                </w:p>
              </w:tc>
              <w:tc>
                <w:tcPr>
                  <w:tcW w:w="1683" w:type="dxa"/>
                  <w:tcBorders>
                    <w:top w:val="single" w:color="auto" w:sz="2" w:space="0"/>
                    <w:bottom w:val="single" w:color="auto" w:sz="2" w:space="0"/>
                    <w:right w:val="single" w:color="auto" w:sz="4" w:space="0"/>
                  </w:tcBorders>
                  <w:vAlign w:val="center"/>
                </w:tcPr>
                <w:p>
                  <w:pPr>
                    <w:jc w:val="center"/>
                    <w:rPr>
                      <w:szCs w:val="21"/>
                    </w:rPr>
                  </w:pPr>
                  <w:r>
                    <w:t>0.29</w:t>
                  </w:r>
                </w:p>
              </w:tc>
              <w:tc>
                <w:tcPr>
                  <w:tcW w:w="1999" w:type="dxa"/>
                  <w:tcBorders>
                    <w:top w:val="single" w:color="auto" w:sz="2" w:space="0"/>
                    <w:left w:val="single" w:color="auto" w:sz="4" w:space="0"/>
                    <w:bottom w:val="single" w:color="auto" w:sz="2" w:space="0"/>
                  </w:tcBorders>
                  <w:vAlign w:val="center"/>
                </w:tcPr>
                <w:p>
                  <w:pPr>
                    <w:jc w:val="center"/>
                    <w:rPr>
                      <w:szCs w:val="21"/>
                    </w:rPr>
                  </w:pPr>
                  <w:r>
                    <w:t>23.46</w:t>
                  </w:r>
                </w:p>
              </w:tc>
              <w:tc>
                <w:tcPr>
                  <w:tcW w:w="1254" w:type="dxa"/>
                  <w:tcBorders>
                    <w:top w:val="single" w:color="auto" w:sz="2" w:space="0"/>
                    <w:left w:val="single" w:color="auto" w:sz="4" w:space="0"/>
                    <w:bottom w:val="single" w:color="auto" w:sz="2" w:space="0"/>
                    <w:right w:val="nil"/>
                  </w:tcBorders>
                  <w:vAlign w:val="center"/>
                </w:tcPr>
                <w:p>
                  <w:pPr>
                    <w:jc w:val="center"/>
                    <w:rPr>
                      <w:szCs w:val="21"/>
                    </w:rPr>
                  </w:pPr>
                  <w:r>
                    <w:t>9.38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szCs w:val="21"/>
                    </w:rPr>
                  </w:pPr>
                  <w:r>
                    <w:t>200.0</w:t>
                  </w:r>
                </w:p>
              </w:tc>
              <w:tc>
                <w:tcPr>
                  <w:tcW w:w="1734" w:type="dxa"/>
                  <w:tcBorders>
                    <w:top w:val="single" w:color="auto" w:sz="2" w:space="0"/>
                    <w:bottom w:val="single" w:color="auto" w:sz="2" w:space="0"/>
                  </w:tcBorders>
                  <w:vAlign w:val="center"/>
                </w:tcPr>
                <w:p>
                  <w:pPr>
                    <w:jc w:val="center"/>
                    <w:rPr>
                      <w:szCs w:val="21"/>
                    </w:rPr>
                  </w:pPr>
                  <w:r>
                    <w:t>1.27</w:t>
                  </w:r>
                </w:p>
              </w:tc>
              <w:tc>
                <w:tcPr>
                  <w:tcW w:w="1683" w:type="dxa"/>
                  <w:tcBorders>
                    <w:top w:val="single" w:color="auto" w:sz="2" w:space="0"/>
                    <w:bottom w:val="single" w:color="auto" w:sz="2" w:space="0"/>
                    <w:right w:val="single" w:color="auto" w:sz="4" w:space="0"/>
                  </w:tcBorders>
                  <w:vAlign w:val="center"/>
                </w:tcPr>
                <w:p>
                  <w:pPr>
                    <w:jc w:val="center"/>
                    <w:rPr>
                      <w:szCs w:val="21"/>
                    </w:rPr>
                  </w:pPr>
                  <w:r>
                    <w:t>0.25</w:t>
                  </w:r>
                </w:p>
              </w:tc>
              <w:tc>
                <w:tcPr>
                  <w:tcW w:w="1999" w:type="dxa"/>
                  <w:tcBorders>
                    <w:top w:val="single" w:color="auto" w:sz="2" w:space="0"/>
                    <w:left w:val="single" w:color="auto" w:sz="4" w:space="0"/>
                    <w:bottom w:val="single" w:color="auto" w:sz="2" w:space="0"/>
                  </w:tcBorders>
                  <w:vAlign w:val="center"/>
                </w:tcPr>
                <w:p>
                  <w:pPr>
                    <w:jc w:val="center"/>
                    <w:rPr>
                      <w:szCs w:val="21"/>
                    </w:rPr>
                  </w:pPr>
                  <w:r>
                    <w:t>20.67</w:t>
                  </w:r>
                </w:p>
              </w:tc>
              <w:tc>
                <w:tcPr>
                  <w:tcW w:w="1254" w:type="dxa"/>
                  <w:tcBorders>
                    <w:top w:val="single" w:color="auto" w:sz="2" w:space="0"/>
                    <w:left w:val="single" w:color="auto" w:sz="4" w:space="0"/>
                    <w:bottom w:val="single" w:color="auto" w:sz="2" w:space="0"/>
                    <w:right w:val="nil"/>
                  </w:tcBorders>
                  <w:vAlign w:val="center"/>
                </w:tcPr>
                <w:p>
                  <w:pPr>
                    <w:jc w:val="center"/>
                    <w:rPr>
                      <w:szCs w:val="21"/>
                    </w:rPr>
                  </w:pPr>
                  <w:r>
                    <w:t>8.27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szCs w:val="21"/>
                    </w:rPr>
                  </w:pPr>
                  <w:r>
                    <w:t>300.0</w:t>
                  </w:r>
                </w:p>
              </w:tc>
              <w:tc>
                <w:tcPr>
                  <w:tcW w:w="1734" w:type="dxa"/>
                  <w:tcBorders>
                    <w:top w:val="single" w:color="auto" w:sz="2" w:space="0"/>
                    <w:bottom w:val="single" w:color="auto" w:sz="2" w:space="0"/>
                  </w:tcBorders>
                  <w:vAlign w:val="center"/>
                </w:tcPr>
                <w:p>
                  <w:pPr>
                    <w:jc w:val="center"/>
                    <w:rPr>
                      <w:szCs w:val="21"/>
                    </w:rPr>
                  </w:pPr>
                  <w:r>
                    <w:t>1.22</w:t>
                  </w:r>
                </w:p>
              </w:tc>
              <w:tc>
                <w:tcPr>
                  <w:tcW w:w="1683" w:type="dxa"/>
                  <w:tcBorders>
                    <w:top w:val="single" w:color="auto" w:sz="2" w:space="0"/>
                    <w:bottom w:val="single" w:color="auto" w:sz="2" w:space="0"/>
                    <w:right w:val="single" w:color="auto" w:sz="4" w:space="0"/>
                  </w:tcBorders>
                  <w:vAlign w:val="center"/>
                </w:tcPr>
                <w:p>
                  <w:pPr>
                    <w:jc w:val="center"/>
                    <w:rPr>
                      <w:szCs w:val="21"/>
                    </w:rPr>
                  </w:pPr>
                  <w:r>
                    <w:t>0.24</w:t>
                  </w:r>
                </w:p>
              </w:tc>
              <w:tc>
                <w:tcPr>
                  <w:tcW w:w="1999" w:type="dxa"/>
                  <w:tcBorders>
                    <w:top w:val="single" w:color="auto" w:sz="2" w:space="0"/>
                    <w:left w:val="single" w:color="auto" w:sz="4" w:space="0"/>
                    <w:bottom w:val="single" w:color="auto" w:sz="2" w:space="0"/>
                  </w:tcBorders>
                  <w:vAlign w:val="center"/>
                </w:tcPr>
                <w:p>
                  <w:pPr>
                    <w:jc w:val="center"/>
                    <w:rPr>
                      <w:szCs w:val="21"/>
                    </w:rPr>
                  </w:pPr>
                  <w:r>
                    <w:t>19.96</w:t>
                  </w:r>
                </w:p>
              </w:tc>
              <w:tc>
                <w:tcPr>
                  <w:tcW w:w="1254" w:type="dxa"/>
                  <w:tcBorders>
                    <w:top w:val="single" w:color="auto" w:sz="2" w:space="0"/>
                    <w:left w:val="single" w:color="auto" w:sz="4" w:space="0"/>
                    <w:bottom w:val="single" w:color="auto" w:sz="2" w:space="0"/>
                    <w:right w:val="nil"/>
                  </w:tcBorders>
                  <w:vAlign w:val="center"/>
                </w:tcPr>
                <w:p>
                  <w:pPr>
                    <w:jc w:val="center"/>
                    <w:rPr>
                      <w:szCs w:val="21"/>
                    </w:rPr>
                  </w:pPr>
                  <w:r>
                    <w:t>7.98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b/>
                      <w:szCs w:val="21"/>
                    </w:rPr>
                  </w:pPr>
                  <w:r>
                    <w:t>400.0</w:t>
                  </w:r>
                </w:p>
              </w:tc>
              <w:tc>
                <w:tcPr>
                  <w:tcW w:w="1734" w:type="dxa"/>
                  <w:tcBorders>
                    <w:top w:val="single" w:color="auto" w:sz="2" w:space="0"/>
                    <w:bottom w:val="single" w:color="auto" w:sz="2" w:space="0"/>
                  </w:tcBorders>
                  <w:vAlign w:val="center"/>
                </w:tcPr>
                <w:p>
                  <w:pPr>
                    <w:jc w:val="center"/>
                    <w:rPr>
                      <w:b/>
                      <w:szCs w:val="21"/>
                    </w:rPr>
                  </w:pPr>
                  <w:r>
                    <w:t>1.17</w:t>
                  </w:r>
                </w:p>
              </w:tc>
              <w:tc>
                <w:tcPr>
                  <w:tcW w:w="1683" w:type="dxa"/>
                  <w:tcBorders>
                    <w:top w:val="single" w:color="auto" w:sz="2" w:space="0"/>
                    <w:bottom w:val="single" w:color="auto" w:sz="2" w:space="0"/>
                    <w:right w:val="single" w:color="auto" w:sz="4" w:space="0"/>
                  </w:tcBorders>
                  <w:vAlign w:val="center"/>
                </w:tcPr>
                <w:p>
                  <w:pPr>
                    <w:jc w:val="center"/>
                    <w:rPr>
                      <w:b/>
                      <w:szCs w:val="21"/>
                    </w:rPr>
                  </w:pPr>
                  <w:r>
                    <w:t>0.23</w:t>
                  </w:r>
                </w:p>
              </w:tc>
              <w:tc>
                <w:tcPr>
                  <w:tcW w:w="1999" w:type="dxa"/>
                  <w:tcBorders>
                    <w:top w:val="single" w:color="auto" w:sz="2" w:space="0"/>
                    <w:left w:val="single" w:color="auto" w:sz="4" w:space="0"/>
                    <w:bottom w:val="single" w:color="auto" w:sz="2" w:space="0"/>
                  </w:tcBorders>
                  <w:vAlign w:val="center"/>
                </w:tcPr>
                <w:p>
                  <w:pPr>
                    <w:jc w:val="center"/>
                    <w:rPr>
                      <w:b/>
                      <w:szCs w:val="21"/>
                    </w:rPr>
                  </w:pPr>
                  <w:r>
                    <w:t>19.03</w:t>
                  </w:r>
                </w:p>
              </w:tc>
              <w:tc>
                <w:tcPr>
                  <w:tcW w:w="1254" w:type="dxa"/>
                  <w:tcBorders>
                    <w:top w:val="single" w:color="auto" w:sz="2" w:space="0"/>
                    <w:left w:val="single" w:color="auto" w:sz="4" w:space="0"/>
                    <w:bottom w:val="single" w:color="auto" w:sz="2" w:space="0"/>
                    <w:right w:val="nil"/>
                  </w:tcBorders>
                  <w:vAlign w:val="center"/>
                </w:tcPr>
                <w:p>
                  <w:pPr>
                    <w:jc w:val="center"/>
                    <w:rPr>
                      <w:b/>
                      <w:szCs w:val="21"/>
                    </w:rPr>
                  </w:pPr>
                  <w:r>
                    <w:t>7.61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szCs w:val="21"/>
                    </w:rPr>
                  </w:pPr>
                  <w:r>
                    <w:t>500.0</w:t>
                  </w:r>
                </w:p>
              </w:tc>
              <w:tc>
                <w:tcPr>
                  <w:tcW w:w="1734" w:type="dxa"/>
                  <w:tcBorders>
                    <w:top w:val="single" w:color="auto" w:sz="2" w:space="0"/>
                    <w:bottom w:val="single" w:color="auto" w:sz="2" w:space="0"/>
                  </w:tcBorders>
                  <w:vAlign w:val="center"/>
                </w:tcPr>
                <w:p>
                  <w:pPr>
                    <w:jc w:val="center"/>
                    <w:rPr>
                      <w:szCs w:val="21"/>
                    </w:rPr>
                  </w:pPr>
                  <w:r>
                    <w:t>1.06</w:t>
                  </w:r>
                </w:p>
              </w:tc>
              <w:tc>
                <w:tcPr>
                  <w:tcW w:w="1683" w:type="dxa"/>
                  <w:tcBorders>
                    <w:top w:val="single" w:color="auto" w:sz="2" w:space="0"/>
                    <w:bottom w:val="single" w:color="auto" w:sz="2" w:space="0"/>
                    <w:right w:val="single" w:color="auto" w:sz="4" w:space="0"/>
                  </w:tcBorders>
                  <w:vAlign w:val="center"/>
                </w:tcPr>
                <w:p>
                  <w:pPr>
                    <w:jc w:val="center"/>
                    <w:rPr>
                      <w:szCs w:val="21"/>
                    </w:rPr>
                  </w:pPr>
                  <w:r>
                    <w:t>0.21</w:t>
                  </w:r>
                </w:p>
              </w:tc>
              <w:tc>
                <w:tcPr>
                  <w:tcW w:w="1999" w:type="dxa"/>
                  <w:tcBorders>
                    <w:top w:val="single" w:color="auto" w:sz="2" w:space="0"/>
                    <w:left w:val="single" w:color="auto" w:sz="4" w:space="0"/>
                    <w:bottom w:val="single" w:color="auto" w:sz="2" w:space="0"/>
                  </w:tcBorders>
                  <w:vAlign w:val="center"/>
                </w:tcPr>
                <w:p>
                  <w:pPr>
                    <w:jc w:val="center"/>
                    <w:rPr>
                      <w:szCs w:val="21"/>
                    </w:rPr>
                  </w:pPr>
                  <w:r>
                    <w:t>17.32</w:t>
                  </w:r>
                </w:p>
              </w:tc>
              <w:tc>
                <w:tcPr>
                  <w:tcW w:w="1254" w:type="dxa"/>
                  <w:tcBorders>
                    <w:top w:val="single" w:color="auto" w:sz="2" w:space="0"/>
                    <w:left w:val="single" w:color="auto" w:sz="4" w:space="0"/>
                    <w:bottom w:val="single" w:color="auto" w:sz="2" w:space="0"/>
                    <w:right w:val="nil"/>
                  </w:tcBorders>
                  <w:vAlign w:val="center"/>
                </w:tcPr>
                <w:p>
                  <w:pPr>
                    <w:jc w:val="center"/>
                    <w:rPr>
                      <w:szCs w:val="21"/>
                    </w:rPr>
                  </w:pPr>
                  <w:r>
                    <w:t>6.93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szCs w:val="21"/>
                    </w:rPr>
                  </w:pPr>
                  <w:r>
                    <w:t>600.0</w:t>
                  </w:r>
                </w:p>
              </w:tc>
              <w:tc>
                <w:tcPr>
                  <w:tcW w:w="1734" w:type="dxa"/>
                  <w:tcBorders>
                    <w:top w:val="single" w:color="auto" w:sz="2" w:space="0"/>
                    <w:bottom w:val="single" w:color="auto" w:sz="2" w:space="0"/>
                  </w:tcBorders>
                  <w:vAlign w:val="center"/>
                </w:tcPr>
                <w:p>
                  <w:pPr>
                    <w:jc w:val="center"/>
                    <w:rPr>
                      <w:szCs w:val="21"/>
                    </w:rPr>
                  </w:pPr>
                  <w:r>
                    <w:t>0.96</w:t>
                  </w:r>
                </w:p>
              </w:tc>
              <w:tc>
                <w:tcPr>
                  <w:tcW w:w="1683" w:type="dxa"/>
                  <w:tcBorders>
                    <w:top w:val="single" w:color="auto" w:sz="2" w:space="0"/>
                    <w:bottom w:val="single" w:color="auto" w:sz="2" w:space="0"/>
                    <w:right w:val="single" w:color="auto" w:sz="4" w:space="0"/>
                  </w:tcBorders>
                  <w:vAlign w:val="center"/>
                </w:tcPr>
                <w:p>
                  <w:pPr>
                    <w:jc w:val="center"/>
                    <w:rPr>
                      <w:szCs w:val="21"/>
                    </w:rPr>
                  </w:pPr>
                  <w:r>
                    <w:t>0.19</w:t>
                  </w:r>
                </w:p>
              </w:tc>
              <w:tc>
                <w:tcPr>
                  <w:tcW w:w="1999" w:type="dxa"/>
                  <w:tcBorders>
                    <w:top w:val="single" w:color="auto" w:sz="2" w:space="0"/>
                    <w:left w:val="single" w:color="auto" w:sz="4" w:space="0"/>
                    <w:bottom w:val="single" w:color="auto" w:sz="2" w:space="0"/>
                  </w:tcBorders>
                  <w:vAlign w:val="center"/>
                </w:tcPr>
                <w:p>
                  <w:pPr>
                    <w:jc w:val="center"/>
                    <w:rPr>
                      <w:szCs w:val="21"/>
                    </w:rPr>
                  </w:pPr>
                  <w:r>
                    <w:t>15.67</w:t>
                  </w:r>
                </w:p>
              </w:tc>
              <w:tc>
                <w:tcPr>
                  <w:tcW w:w="1254" w:type="dxa"/>
                  <w:tcBorders>
                    <w:top w:val="single" w:color="auto" w:sz="2" w:space="0"/>
                    <w:left w:val="single" w:color="auto" w:sz="4" w:space="0"/>
                    <w:bottom w:val="single" w:color="auto" w:sz="2" w:space="0"/>
                    <w:right w:val="nil"/>
                  </w:tcBorders>
                  <w:vAlign w:val="center"/>
                </w:tcPr>
                <w:p>
                  <w:pPr>
                    <w:jc w:val="center"/>
                    <w:rPr>
                      <w:szCs w:val="21"/>
                    </w:rPr>
                  </w:pPr>
                  <w:r>
                    <w:t>6.27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szCs w:val="21"/>
                    </w:rPr>
                  </w:pPr>
                  <w:r>
                    <w:t>700.0</w:t>
                  </w:r>
                </w:p>
              </w:tc>
              <w:tc>
                <w:tcPr>
                  <w:tcW w:w="1734" w:type="dxa"/>
                  <w:tcBorders>
                    <w:top w:val="single" w:color="auto" w:sz="2" w:space="0"/>
                    <w:bottom w:val="single" w:color="auto" w:sz="2" w:space="0"/>
                  </w:tcBorders>
                  <w:vAlign w:val="center"/>
                </w:tcPr>
                <w:p>
                  <w:pPr>
                    <w:jc w:val="center"/>
                    <w:rPr>
                      <w:szCs w:val="21"/>
                    </w:rPr>
                  </w:pPr>
                  <w:r>
                    <w:t>0.87</w:t>
                  </w:r>
                </w:p>
              </w:tc>
              <w:tc>
                <w:tcPr>
                  <w:tcW w:w="1683" w:type="dxa"/>
                  <w:tcBorders>
                    <w:top w:val="single" w:color="auto" w:sz="2" w:space="0"/>
                    <w:bottom w:val="single" w:color="auto" w:sz="2" w:space="0"/>
                    <w:right w:val="single" w:color="auto" w:sz="4" w:space="0"/>
                  </w:tcBorders>
                  <w:vAlign w:val="center"/>
                </w:tcPr>
                <w:p>
                  <w:pPr>
                    <w:jc w:val="center"/>
                    <w:rPr>
                      <w:szCs w:val="21"/>
                    </w:rPr>
                  </w:pPr>
                  <w:r>
                    <w:t>0.17</w:t>
                  </w:r>
                </w:p>
              </w:tc>
              <w:tc>
                <w:tcPr>
                  <w:tcW w:w="1999" w:type="dxa"/>
                  <w:tcBorders>
                    <w:top w:val="single" w:color="auto" w:sz="2" w:space="0"/>
                    <w:left w:val="single" w:color="auto" w:sz="4" w:space="0"/>
                    <w:bottom w:val="single" w:color="auto" w:sz="2" w:space="0"/>
                  </w:tcBorders>
                  <w:vAlign w:val="center"/>
                </w:tcPr>
                <w:p>
                  <w:pPr>
                    <w:jc w:val="center"/>
                    <w:rPr>
                      <w:szCs w:val="21"/>
                    </w:rPr>
                  </w:pPr>
                  <w:r>
                    <w:t>14.23</w:t>
                  </w:r>
                </w:p>
              </w:tc>
              <w:tc>
                <w:tcPr>
                  <w:tcW w:w="1254" w:type="dxa"/>
                  <w:tcBorders>
                    <w:top w:val="single" w:color="auto" w:sz="2" w:space="0"/>
                    <w:left w:val="single" w:color="auto" w:sz="4" w:space="0"/>
                    <w:bottom w:val="single" w:color="auto" w:sz="2" w:space="0"/>
                    <w:right w:val="nil"/>
                  </w:tcBorders>
                  <w:vAlign w:val="center"/>
                </w:tcPr>
                <w:p>
                  <w:pPr>
                    <w:jc w:val="center"/>
                    <w:rPr>
                      <w:szCs w:val="21"/>
                    </w:rPr>
                  </w:pPr>
                  <w:r>
                    <w:t>5.69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szCs w:val="21"/>
                    </w:rPr>
                  </w:pPr>
                  <w:r>
                    <w:t>800.0</w:t>
                  </w:r>
                </w:p>
              </w:tc>
              <w:tc>
                <w:tcPr>
                  <w:tcW w:w="1734" w:type="dxa"/>
                  <w:tcBorders>
                    <w:top w:val="single" w:color="auto" w:sz="2" w:space="0"/>
                    <w:bottom w:val="single" w:color="auto" w:sz="2" w:space="0"/>
                  </w:tcBorders>
                  <w:vAlign w:val="center"/>
                </w:tcPr>
                <w:p>
                  <w:pPr>
                    <w:jc w:val="center"/>
                    <w:rPr>
                      <w:szCs w:val="21"/>
                    </w:rPr>
                  </w:pPr>
                  <w:r>
                    <w:t>0.82</w:t>
                  </w:r>
                </w:p>
              </w:tc>
              <w:tc>
                <w:tcPr>
                  <w:tcW w:w="1683" w:type="dxa"/>
                  <w:tcBorders>
                    <w:top w:val="single" w:color="auto" w:sz="2" w:space="0"/>
                    <w:bottom w:val="single" w:color="auto" w:sz="2" w:space="0"/>
                    <w:right w:val="single" w:color="auto" w:sz="4" w:space="0"/>
                  </w:tcBorders>
                  <w:vAlign w:val="center"/>
                </w:tcPr>
                <w:p>
                  <w:pPr>
                    <w:jc w:val="center"/>
                    <w:rPr>
                      <w:szCs w:val="21"/>
                    </w:rPr>
                  </w:pPr>
                  <w:r>
                    <w:t>0.16</w:t>
                  </w:r>
                </w:p>
              </w:tc>
              <w:tc>
                <w:tcPr>
                  <w:tcW w:w="1999" w:type="dxa"/>
                  <w:tcBorders>
                    <w:top w:val="single" w:color="auto" w:sz="2" w:space="0"/>
                    <w:left w:val="single" w:color="auto" w:sz="4" w:space="0"/>
                    <w:bottom w:val="single" w:color="auto" w:sz="2" w:space="0"/>
                  </w:tcBorders>
                  <w:vAlign w:val="center"/>
                </w:tcPr>
                <w:p>
                  <w:pPr>
                    <w:jc w:val="center"/>
                    <w:rPr>
                      <w:szCs w:val="21"/>
                    </w:rPr>
                  </w:pPr>
                  <w:r>
                    <w:t>13.37</w:t>
                  </w:r>
                </w:p>
              </w:tc>
              <w:tc>
                <w:tcPr>
                  <w:tcW w:w="1254" w:type="dxa"/>
                  <w:tcBorders>
                    <w:top w:val="single" w:color="auto" w:sz="2" w:space="0"/>
                    <w:left w:val="single" w:color="auto" w:sz="4" w:space="0"/>
                    <w:bottom w:val="single" w:color="auto" w:sz="2" w:space="0"/>
                    <w:right w:val="nil"/>
                  </w:tcBorders>
                  <w:vAlign w:val="center"/>
                </w:tcPr>
                <w:p>
                  <w:pPr>
                    <w:jc w:val="center"/>
                    <w:rPr>
                      <w:szCs w:val="21"/>
                    </w:rPr>
                  </w:pPr>
                  <w:r>
                    <w:t>5.35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szCs w:val="21"/>
                    </w:rPr>
                  </w:pPr>
                  <w:r>
                    <w:t>900.0</w:t>
                  </w:r>
                </w:p>
              </w:tc>
              <w:tc>
                <w:tcPr>
                  <w:tcW w:w="1734" w:type="dxa"/>
                  <w:tcBorders>
                    <w:top w:val="single" w:color="auto" w:sz="2" w:space="0"/>
                    <w:bottom w:val="single" w:color="auto" w:sz="2" w:space="0"/>
                  </w:tcBorders>
                  <w:vAlign w:val="center"/>
                </w:tcPr>
                <w:p>
                  <w:pPr>
                    <w:jc w:val="center"/>
                    <w:rPr>
                      <w:szCs w:val="21"/>
                    </w:rPr>
                  </w:pPr>
                  <w:r>
                    <w:t>0.79</w:t>
                  </w:r>
                </w:p>
              </w:tc>
              <w:tc>
                <w:tcPr>
                  <w:tcW w:w="1683" w:type="dxa"/>
                  <w:tcBorders>
                    <w:top w:val="single" w:color="auto" w:sz="2" w:space="0"/>
                    <w:bottom w:val="single" w:color="auto" w:sz="2" w:space="0"/>
                    <w:right w:val="single" w:color="auto" w:sz="4" w:space="0"/>
                  </w:tcBorders>
                  <w:vAlign w:val="center"/>
                </w:tcPr>
                <w:p>
                  <w:pPr>
                    <w:jc w:val="center"/>
                    <w:rPr>
                      <w:szCs w:val="21"/>
                    </w:rPr>
                  </w:pPr>
                  <w:r>
                    <w:t>0.16</w:t>
                  </w:r>
                </w:p>
              </w:tc>
              <w:tc>
                <w:tcPr>
                  <w:tcW w:w="1999" w:type="dxa"/>
                  <w:tcBorders>
                    <w:top w:val="single" w:color="auto" w:sz="2" w:space="0"/>
                    <w:left w:val="single" w:color="auto" w:sz="4" w:space="0"/>
                    <w:bottom w:val="single" w:color="auto" w:sz="2" w:space="0"/>
                  </w:tcBorders>
                  <w:vAlign w:val="center"/>
                </w:tcPr>
                <w:p>
                  <w:pPr>
                    <w:jc w:val="center"/>
                    <w:rPr>
                      <w:szCs w:val="21"/>
                    </w:rPr>
                  </w:pPr>
                  <w:r>
                    <w:t>12.86</w:t>
                  </w:r>
                </w:p>
              </w:tc>
              <w:tc>
                <w:tcPr>
                  <w:tcW w:w="1254" w:type="dxa"/>
                  <w:tcBorders>
                    <w:top w:val="single" w:color="auto" w:sz="2" w:space="0"/>
                    <w:left w:val="single" w:color="auto" w:sz="4" w:space="0"/>
                    <w:bottom w:val="single" w:color="auto" w:sz="2" w:space="0"/>
                    <w:right w:val="nil"/>
                  </w:tcBorders>
                  <w:vAlign w:val="center"/>
                </w:tcPr>
                <w:p>
                  <w:pPr>
                    <w:jc w:val="center"/>
                    <w:rPr>
                      <w:szCs w:val="21"/>
                    </w:rPr>
                  </w:pPr>
                  <w:r>
                    <w:t>5.15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szCs w:val="21"/>
                    </w:rPr>
                  </w:pPr>
                  <w:r>
                    <w:t>1000.0</w:t>
                  </w:r>
                </w:p>
              </w:tc>
              <w:tc>
                <w:tcPr>
                  <w:tcW w:w="1734" w:type="dxa"/>
                  <w:tcBorders>
                    <w:top w:val="single" w:color="auto" w:sz="2" w:space="0"/>
                    <w:bottom w:val="single" w:color="auto" w:sz="2" w:space="0"/>
                  </w:tcBorders>
                  <w:vAlign w:val="center"/>
                </w:tcPr>
                <w:p>
                  <w:pPr>
                    <w:jc w:val="center"/>
                    <w:rPr>
                      <w:szCs w:val="21"/>
                    </w:rPr>
                  </w:pPr>
                  <w:r>
                    <w:t>0.75</w:t>
                  </w:r>
                </w:p>
              </w:tc>
              <w:tc>
                <w:tcPr>
                  <w:tcW w:w="1683" w:type="dxa"/>
                  <w:tcBorders>
                    <w:top w:val="single" w:color="auto" w:sz="2" w:space="0"/>
                    <w:bottom w:val="single" w:color="auto" w:sz="2" w:space="0"/>
                    <w:right w:val="single" w:color="auto" w:sz="4" w:space="0"/>
                  </w:tcBorders>
                  <w:vAlign w:val="center"/>
                </w:tcPr>
                <w:p>
                  <w:pPr>
                    <w:jc w:val="center"/>
                    <w:rPr>
                      <w:szCs w:val="21"/>
                    </w:rPr>
                  </w:pPr>
                  <w:r>
                    <w:t>0.15</w:t>
                  </w:r>
                </w:p>
              </w:tc>
              <w:tc>
                <w:tcPr>
                  <w:tcW w:w="1999" w:type="dxa"/>
                  <w:tcBorders>
                    <w:top w:val="single" w:color="auto" w:sz="2" w:space="0"/>
                    <w:left w:val="single" w:color="auto" w:sz="4" w:space="0"/>
                    <w:bottom w:val="single" w:color="auto" w:sz="2" w:space="0"/>
                  </w:tcBorders>
                  <w:vAlign w:val="center"/>
                </w:tcPr>
                <w:p>
                  <w:pPr>
                    <w:jc w:val="center"/>
                    <w:rPr>
                      <w:szCs w:val="21"/>
                    </w:rPr>
                  </w:pPr>
                  <w:r>
                    <w:t>12.21</w:t>
                  </w:r>
                </w:p>
              </w:tc>
              <w:tc>
                <w:tcPr>
                  <w:tcW w:w="1254" w:type="dxa"/>
                  <w:tcBorders>
                    <w:top w:val="single" w:color="auto" w:sz="2" w:space="0"/>
                    <w:left w:val="single" w:color="auto" w:sz="4" w:space="0"/>
                    <w:bottom w:val="single" w:color="auto" w:sz="2" w:space="0"/>
                    <w:right w:val="nil"/>
                  </w:tcBorders>
                  <w:vAlign w:val="center"/>
                </w:tcPr>
                <w:p>
                  <w:pPr>
                    <w:jc w:val="center"/>
                    <w:rPr>
                      <w:szCs w:val="21"/>
                    </w:rPr>
                  </w:pPr>
                  <w:r>
                    <w:t>4.88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szCs w:val="21"/>
                    </w:rPr>
                  </w:pPr>
                  <w:r>
                    <w:t>1200.0</w:t>
                  </w:r>
                </w:p>
              </w:tc>
              <w:tc>
                <w:tcPr>
                  <w:tcW w:w="1734" w:type="dxa"/>
                  <w:tcBorders>
                    <w:top w:val="single" w:color="auto" w:sz="2" w:space="0"/>
                    <w:bottom w:val="single" w:color="auto" w:sz="2" w:space="0"/>
                  </w:tcBorders>
                  <w:vAlign w:val="center"/>
                </w:tcPr>
                <w:p>
                  <w:pPr>
                    <w:jc w:val="center"/>
                    <w:rPr>
                      <w:szCs w:val="21"/>
                    </w:rPr>
                  </w:pPr>
                  <w:r>
                    <w:t>0.69</w:t>
                  </w:r>
                </w:p>
              </w:tc>
              <w:tc>
                <w:tcPr>
                  <w:tcW w:w="1683" w:type="dxa"/>
                  <w:tcBorders>
                    <w:top w:val="single" w:color="auto" w:sz="2" w:space="0"/>
                    <w:bottom w:val="single" w:color="auto" w:sz="2" w:space="0"/>
                    <w:right w:val="single" w:color="auto" w:sz="4" w:space="0"/>
                  </w:tcBorders>
                  <w:vAlign w:val="center"/>
                </w:tcPr>
                <w:p>
                  <w:pPr>
                    <w:jc w:val="center"/>
                    <w:rPr>
                      <w:szCs w:val="21"/>
                    </w:rPr>
                  </w:pPr>
                  <w:r>
                    <w:t>0.14</w:t>
                  </w:r>
                </w:p>
              </w:tc>
              <w:tc>
                <w:tcPr>
                  <w:tcW w:w="1999" w:type="dxa"/>
                  <w:tcBorders>
                    <w:top w:val="single" w:color="auto" w:sz="2" w:space="0"/>
                    <w:left w:val="single" w:color="auto" w:sz="4" w:space="0"/>
                    <w:bottom w:val="single" w:color="auto" w:sz="2" w:space="0"/>
                  </w:tcBorders>
                  <w:vAlign w:val="center"/>
                </w:tcPr>
                <w:p>
                  <w:pPr>
                    <w:jc w:val="center"/>
                    <w:rPr>
                      <w:szCs w:val="21"/>
                    </w:rPr>
                  </w:pPr>
                  <w:r>
                    <w:t>11.24</w:t>
                  </w:r>
                </w:p>
              </w:tc>
              <w:tc>
                <w:tcPr>
                  <w:tcW w:w="1254" w:type="dxa"/>
                  <w:tcBorders>
                    <w:top w:val="single" w:color="auto" w:sz="2" w:space="0"/>
                    <w:left w:val="single" w:color="auto" w:sz="4" w:space="0"/>
                    <w:bottom w:val="single" w:color="auto" w:sz="2" w:space="0"/>
                    <w:right w:val="nil"/>
                  </w:tcBorders>
                  <w:vAlign w:val="center"/>
                </w:tcPr>
                <w:p>
                  <w:pPr>
                    <w:jc w:val="center"/>
                    <w:rPr>
                      <w:szCs w:val="21"/>
                    </w:rPr>
                  </w:pPr>
                  <w:r>
                    <w:t>4.49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szCs w:val="21"/>
                    </w:rPr>
                  </w:pPr>
                  <w:r>
                    <w:t>1400.0</w:t>
                  </w:r>
                </w:p>
              </w:tc>
              <w:tc>
                <w:tcPr>
                  <w:tcW w:w="1734" w:type="dxa"/>
                  <w:tcBorders>
                    <w:top w:val="single" w:color="auto" w:sz="2" w:space="0"/>
                    <w:bottom w:val="single" w:color="auto" w:sz="2" w:space="0"/>
                  </w:tcBorders>
                  <w:vAlign w:val="center"/>
                </w:tcPr>
                <w:p>
                  <w:pPr>
                    <w:jc w:val="center"/>
                    <w:rPr>
                      <w:szCs w:val="21"/>
                    </w:rPr>
                  </w:pPr>
                  <w:r>
                    <w:t>0.66</w:t>
                  </w:r>
                </w:p>
              </w:tc>
              <w:tc>
                <w:tcPr>
                  <w:tcW w:w="1683" w:type="dxa"/>
                  <w:tcBorders>
                    <w:top w:val="single" w:color="auto" w:sz="2" w:space="0"/>
                    <w:bottom w:val="single" w:color="auto" w:sz="2" w:space="0"/>
                    <w:right w:val="single" w:color="auto" w:sz="4" w:space="0"/>
                  </w:tcBorders>
                  <w:vAlign w:val="center"/>
                </w:tcPr>
                <w:p>
                  <w:pPr>
                    <w:jc w:val="center"/>
                    <w:rPr>
                      <w:szCs w:val="21"/>
                    </w:rPr>
                  </w:pPr>
                  <w:r>
                    <w:t>0.13</w:t>
                  </w:r>
                </w:p>
              </w:tc>
              <w:tc>
                <w:tcPr>
                  <w:tcW w:w="1999" w:type="dxa"/>
                  <w:tcBorders>
                    <w:top w:val="single" w:color="auto" w:sz="2" w:space="0"/>
                    <w:left w:val="single" w:color="auto" w:sz="4" w:space="0"/>
                    <w:bottom w:val="single" w:color="auto" w:sz="2" w:space="0"/>
                  </w:tcBorders>
                  <w:vAlign w:val="center"/>
                </w:tcPr>
                <w:p>
                  <w:pPr>
                    <w:jc w:val="center"/>
                    <w:rPr>
                      <w:szCs w:val="21"/>
                    </w:rPr>
                  </w:pPr>
                  <w:r>
                    <w:t>10.73</w:t>
                  </w:r>
                </w:p>
              </w:tc>
              <w:tc>
                <w:tcPr>
                  <w:tcW w:w="1254" w:type="dxa"/>
                  <w:tcBorders>
                    <w:top w:val="single" w:color="auto" w:sz="2" w:space="0"/>
                    <w:left w:val="single" w:color="auto" w:sz="4" w:space="0"/>
                    <w:bottom w:val="single" w:color="auto" w:sz="2" w:space="0"/>
                    <w:right w:val="nil"/>
                  </w:tcBorders>
                  <w:vAlign w:val="center"/>
                </w:tcPr>
                <w:p>
                  <w:pPr>
                    <w:jc w:val="center"/>
                    <w:rPr>
                      <w:szCs w:val="21"/>
                    </w:rPr>
                  </w:pPr>
                  <w:r>
                    <w:t>4.29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szCs w:val="21"/>
                    </w:rPr>
                  </w:pPr>
                  <w:r>
                    <w:t>1600.0</w:t>
                  </w:r>
                </w:p>
              </w:tc>
              <w:tc>
                <w:tcPr>
                  <w:tcW w:w="1734" w:type="dxa"/>
                  <w:tcBorders>
                    <w:top w:val="single" w:color="auto" w:sz="2" w:space="0"/>
                    <w:bottom w:val="single" w:color="auto" w:sz="2" w:space="0"/>
                  </w:tcBorders>
                  <w:vAlign w:val="center"/>
                </w:tcPr>
                <w:p>
                  <w:pPr>
                    <w:jc w:val="center"/>
                    <w:rPr>
                      <w:szCs w:val="21"/>
                    </w:rPr>
                  </w:pPr>
                  <w:r>
                    <w:t>0.62</w:t>
                  </w:r>
                </w:p>
              </w:tc>
              <w:tc>
                <w:tcPr>
                  <w:tcW w:w="1683" w:type="dxa"/>
                  <w:tcBorders>
                    <w:top w:val="single" w:color="auto" w:sz="2" w:space="0"/>
                    <w:bottom w:val="single" w:color="auto" w:sz="2" w:space="0"/>
                    <w:right w:val="single" w:color="auto" w:sz="4" w:space="0"/>
                  </w:tcBorders>
                  <w:vAlign w:val="center"/>
                </w:tcPr>
                <w:p>
                  <w:pPr>
                    <w:jc w:val="center"/>
                    <w:rPr>
                      <w:szCs w:val="21"/>
                    </w:rPr>
                  </w:pPr>
                  <w:r>
                    <w:t>0.12</w:t>
                  </w:r>
                </w:p>
              </w:tc>
              <w:tc>
                <w:tcPr>
                  <w:tcW w:w="1999" w:type="dxa"/>
                  <w:tcBorders>
                    <w:top w:val="single" w:color="auto" w:sz="2" w:space="0"/>
                    <w:left w:val="single" w:color="auto" w:sz="4" w:space="0"/>
                    <w:bottom w:val="single" w:color="auto" w:sz="2" w:space="0"/>
                  </w:tcBorders>
                  <w:vAlign w:val="center"/>
                </w:tcPr>
                <w:p>
                  <w:pPr>
                    <w:jc w:val="center"/>
                    <w:rPr>
                      <w:szCs w:val="21"/>
                    </w:rPr>
                  </w:pPr>
                  <w:r>
                    <w:t>10.07</w:t>
                  </w:r>
                </w:p>
              </w:tc>
              <w:tc>
                <w:tcPr>
                  <w:tcW w:w="1254" w:type="dxa"/>
                  <w:tcBorders>
                    <w:top w:val="single" w:color="auto" w:sz="2" w:space="0"/>
                    <w:left w:val="single" w:color="auto" w:sz="4" w:space="0"/>
                    <w:bottom w:val="single" w:color="auto" w:sz="2" w:space="0"/>
                    <w:right w:val="nil"/>
                  </w:tcBorders>
                  <w:vAlign w:val="center"/>
                </w:tcPr>
                <w:p>
                  <w:pPr>
                    <w:jc w:val="center"/>
                    <w:rPr>
                      <w:szCs w:val="21"/>
                    </w:rPr>
                  </w:pPr>
                  <w:r>
                    <w:t>4.03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szCs w:val="21"/>
                    </w:rPr>
                  </w:pPr>
                  <w:r>
                    <w:t>1800.0</w:t>
                  </w:r>
                </w:p>
              </w:tc>
              <w:tc>
                <w:tcPr>
                  <w:tcW w:w="1734" w:type="dxa"/>
                  <w:tcBorders>
                    <w:top w:val="single" w:color="auto" w:sz="2" w:space="0"/>
                    <w:bottom w:val="single" w:color="auto" w:sz="2" w:space="0"/>
                  </w:tcBorders>
                  <w:vAlign w:val="center"/>
                </w:tcPr>
                <w:p>
                  <w:pPr>
                    <w:jc w:val="center"/>
                    <w:rPr>
                      <w:szCs w:val="21"/>
                    </w:rPr>
                  </w:pPr>
                  <w:r>
                    <w:t>0.57</w:t>
                  </w:r>
                </w:p>
              </w:tc>
              <w:tc>
                <w:tcPr>
                  <w:tcW w:w="1683" w:type="dxa"/>
                  <w:tcBorders>
                    <w:top w:val="single" w:color="auto" w:sz="2" w:space="0"/>
                    <w:bottom w:val="single" w:color="auto" w:sz="2" w:space="0"/>
                    <w:right w:val="single" w:color="auto" w:sz="4" w:space="0"/>
                  </w:tcBorders>
                  <w:vAlign w:val="center"/>
                </w:tcPr>
                <w:p>
                  <w:pPr>
                    <w:jc w:val="center"/>
                    <w:rPr>
                      <w:szCs w:val="21"/>
                    </w:rPr>
                  </w:pPr>
                  <w:r>
                    <w:t>0.11</w:t>
                  </w:r>
                </w:p>
              </w:tc>
              <w:tc>
                <w:tcPr>
                  <w:tcW w:w="1999" w:type="dxa"/>
                  <w:tcBorders>
                    <w:top w:val="single" w:color="auto" w:sz="2" w:space="0"/>
                    <w:left w:val="single" w:color="auto" w:sz="4" w:space="0"/>
                    <w:bottom w:val="single" w:color="auto" w:sz="2" w:space="0"/>
                  </w:tcBorders>
                  <w:vAlign w:val="center"/>
                </w:tcPr>
                <w:p>
                  <w:pPr>
                    <w:jc w:val="center"/>
                    <w:rPr>
                      <w:szCs w:val="21"/>
                    </w:rPr>
                  </w:pPr>
                  <w:r>
                    <w:t>9.37</w:t>
                  </w:r>
                </w:p>
              </w:tc>
              <w:tc>
                <w:tcPr>
                  <w:tcW w:w="1254" w:type="dxa"/>
                  <w:tcBorders>
                    <w:top w:val="single" w:color="auto" w:sz="2" w:space="0"/>
                    <w:left w:val="single" w:color="auto" w:sz="4" w:space="0"/>
                    <w:bottom w:val="single" w:color="auto" w:sz="2" w:space="0"/>
                    <w:right w:val="nil"/>
                  </w:tcBorders>
                  <w:vAlign w:val="center"/>
                </w:tcPr>
                <w:p>
                  <w:pPr>
                    <w:jc w:val="center"/>
                    <w:rPr>
                      <w:szCs w:val="21"/>
                    </w:rPr>
                  </w:pPr>
                  <w:r>
                    <w:t>3.75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szCs w:val="21"/>
                    </w:rPr>
                  </w:pPr>
                  <w:r>
                    <w:t>2000.0</w:t>
                  </w:r>
                </w:p>
              </w:tc>
              <w:tc>
                <w:tcPr>
                  <w:tcW w:w="1734" w:type="dxa"/>
                  <w:tcBorders>
                    <w:top w:val="single" w:color="auto" w:sz="2" w:space="0"/>
                    <w:bottom w:val="single" w:color="auto" w:sz="2" w:space="0"/>
                  </w:tcBorders>
                  <w:vAlign w:val="center"/>
                </w:tcPr>
                <w:p>
                  <w:pPr>
                    <w:jc w:val="center"/>
                    <w:rPr>
                      <w:szCs w:val="21"/>
                    </w:rPr>
                  </w:pPr>
                  <w:r>
                    <w:t>0.53</w:t>
                  </w:r>
                </w:p>
              </w:tc>
              <w:tc>
                <w:tcPr>
                  <w:tcW w:w="1683" w:type="dxa"/>
                  <w:tcBorders>
                    <w:top w:val="single" w:color="auto" w:sz="2" w:space="0"/>
                    <w:bottom w:val="single" w:color="auto" w:sz="2" w:space="0"/>
                    <w:right w:val="single" w:color="auto" w:sz="4" w:space="0"/>
                  </w:tcBorders>
                  <w:vAlign w:val="center"/>
                </w:tcPr>
                <w:p>
                  <w:pPr>
                    <w:jc w:val="center"/>
                    <w:rPr>
                      <w:szCs w:val="21"/>
                    </w:rPr>
                  </w:pPr>
                  <w:r>
                    <w:t>0.11</w:t>
                  </w:r>
                </w:p>
              </w:tc>
              <w:tc>
                <w:tcPr>
                  <w:tcW w:w="1999" w:type="dxa"/>
                  <w:tcBorders>
                    <w:top w:val="single" w:color="auto" w:sz="2" w:space="0"/>
                    <w:left w:val="single" w:color="auto" w:sz="4" w:space="0"/>
                    <w:bottom w:val="single" w:color="auto" w:sz="2" w:space="0"/>
                  </w:tcBorders>
                  <w:vAlign w:val="center"/>
                </w:tcPr>
                <w:p>
                  <w:pPr>
                    <w:jc w:val="center"/>
                    <w:rPr>
                      <w:szCs w:val="21"/>
                    </w:rPr>
                  </w:pPr>
                  <w:r>
                    <w:t>8.70</w:t>
                  </w:r>
                </w:p>
              </w:tc>
              <w:tc>
                <w:tcPr>
                  <w:tcW w:w="1254" w:type="dxa"/>
                  <w:tcBorders>
                    <w:top w:val="single" w:color="auto" w:sz="2" w:space="0"/>
                    <w:left w:val="single" w:color="auto" w:sz="4" w:space="0"/>
                    <w:bottom w:val="single" w:color="auto" w:sz="2" w:space="0"/>
                    <w:right w:val="nil"/>
                  </w:tcBorders>
                  <w:vAlign w:val="center"/>
                </w:tcPr>
                <w:p>
                  <w:pPr>
                    <w:jc w:val="center"/>
                    <w:rPr>
                      <w:szCs w:val="21"/>
                    </w:rPr>
                  </w:pPr>
                  <w:r>
                    <w:t>3.48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3" w:hRule="atLeast"/>
              </w:trPr>
              <w:tc>
                <w:tcPr>
                  <w:tcW w:w="2126" w:type="dxa"/>
                  <w:tcBorders>
                    <w:top w:val="single" w:color="auto" w:sz="2" w:space="0"/>
                    <w:left w:val="nil"/>
                    <w:bottom w:val="single" w:color="auto" w:sz="2" w:space="0"/>
                  </w:tcBorders>
                  <w:vAlign w:val="center"/>
                </w:tcPr>
                <w:p>
                  <w:pPr>
                    <w:jc w:val="center"/>
                    <w:rPr>
                      <w:szCs w:val="21"/>
                    </w:rPr>
                  </w:pPr>
                  <w:r>
                    <w:t>2500.0</w:t>
                  </w:r>
                </w:p>
              </w:tc>
              <w:tc>
                <w:tcPr>
                  <w:tcW w:w="1734" w:type="dxa"/>
                  <w:tcBorders>
                    <w:top w:val="single" w:color="auto" w:sz="2" w:space="0"/>
                    <w:bottom w:val="single" w:color="auto" w:sz="2" w:space="0"/>
                  </w:tcBorders>
                  <w:vAlign w:val="center"/>
                </w:tcPr>
                <w:p>
                  <w:pPr>
                    <w:jc w:val="center"/>
                    <w:rPr>
                      <w:szCs w:val="21"/>
                    </w:rPr>
                  </w:pPr>
                  <w:r>
                    <w:t>0.44</w:t>
                  </w:r>
                </w:p>
              </w:tc>
              <w:tc>
                <w:tcPr>
                  <w:tcW w:w="1683" w:type="dxa"/>
                  <w:tcBorders>
                    <w:top w:val="single" w:color="auto" w:sz="2" w:space="0"/>
                    <w:bottom w:val="single" w:color="auto" w:sz="2" w:space="0"/>
                    <w:right w:val="single" w:color="auto" w:sz="4" w:space="0"/>
                  </w:tcBorders>
                  <w:vAlign w:val="center"/>
                </w:tcPr>
                <w:p>
                  <w:pPr>
                    <w:jc w:val="center"/>
                    <w:rPr>
                      <w:szCs w:val="21"/>
                    </w:rPr>
                  </w:pPr>
                  <w:r>
                    <w:t>0.09</w:t>
                  </w:r>
                </w:p>
              </w:tc>
              <w:tc>
                <w:tcPr>
                  <w:tcW w:w="1999" w:type="dxa"/>
                  <w:tcBorders>
                    <w:top w:val="single" w:color="auto" w:sz="2" w:space="0"/>
                    <w:left w:val="single" w:color="auto" w:sz="4" w:space="0"/>
                    <w:bottom w:val="single" w:color="auto" w:sz="2" w:space="0"/>
                  </w:tcBorders>
                  <w:vAlign w:val="center"/>
                </w:tcPr>
                <w:p>
                  <w:pPr>
                    <w:jc w:val="center"/>
                    <w:rPr>
                      <w:szCs w:val="21"/>
                    </w:rPr>
                  </w:pPr>
                  <w:r>
                    <w:t>7.22</w:t>
                  </w:r>
                </w:p>
              </w:tc>
              <w:tc>
                <w:tcPr>
                  <w:tcW w:w="1254" w:type="dxa"/>
                  <w:tcBorders>
                    <w:top w:val="single" w:color="auto" w:sz="2" w:space="0"/>
                    <w:left w:val="single" w:color="auto" w:sz="4" w:space="0"/>
                    <w:bottom w:val="single" w:color="auto" w:sz="2" w:space="0"/>
                    <w:right w:val="nil"/>
                  </w:tcBorders>
                  <w:vAlign w:val="center"/>
                </w:tcPr>
                <w:p>
                  <w:pPr>
                    <w:jc w:val="center"/>
                    <w:rPr>
                      <w:szCs w:val="21"/>
                    </w:rPr>
                  </w:pPr>
                  <w:r>
                    <w:t>2.89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329" w:hRule="atLeast"/>
              </w:trPr>
              <w:tc>
                <w:tcPr>
                  <w:tcW w:w="2126" w:type="dxa"/>
                  <w:tcBorders>
                    <w:top w:val="single" w:color="auto" w:sz="2" w:space="0"/>
                    <w:left w:val="nil"/>
                    <w:bottom w:val="single" w:color="auto" w:sz="2" w:space="0"/>
                  </w:tcBorders>
                  <w:vAlign w:val="center"/>
                </w:tcPr>
                <w:p>
                  <w:pPr>
                    <w:widowControl/>
                    <w:adjustRightInd w:val="0"/>
                    <w:snapToGrid w:val="0"/>
                    <w:spacing w:line="240" w:lineRule="atLeast"/>
                    <w:jc w:val="center"/>
                    <w:textAlignment w:val="center"/>
                    <w:rPr>
                      <w:szCs w:val="21"/>
                    </w:rPr>
                  </w:pPr>
                  <w:r>
                    <w:rPr>
                      <w:szCs w:val="21"/>
                    </w:rPr>
                    <w:t>最大落地浓度及其占标率</w:t>
                  </w:r>
                </w:p>
              </w:tc>
              <w:tc>
                <w:tcPr>
                  <w:tcW w:w="1734" w:type="dxa"/>
                  <w:tcBorders>
                    <w:top w:val="single" w:color="auto" w:sz="2" w:space="0"/>
                    <w:bottom w:val="single" w:color="auto" w:sz="2" w:space="0"/>
                  </w:tcBorders>
                  <w:vAlign w:val="center"/>
                </w:tcPr>
                <w:p>
                  <w:pPr>
                    <w:jc w:val="center"/>
                    <w:rPr>
                      <w:b/>
                      <w:szCs w:val="21"/>
                    </w:rPr>
                  </w:pPr>
                  <w:r>
                    <w:t>1.44</w:t>
                  </w:r>
                </w:p>
              </w:tc>
              <w:tc>
                <w:tcPr>
                  <w:tcW w:w="1683" w:type="dxa"/>
                  <w:tcBorders>
                    <w:top w:val="single" w:color="auto" w:sz="2" w:space="0"/>
                    <w:bottom w:val="single" w:color="auto" w:sz="2" w:space="0"/>
                    <w:right w:val="single" w:color="auto" w:sz="4" w:space="0"/>
                  </w:tcBorders>
                  <w:vAlign w:val="center"/>
                </w:tcPr>
                <w:p>
                  <w:pPr>
                    <w:jc w:val="center"/>
                    <w:rPr>
                      <w:b/>
                      <w:szCs w:val="21"/>
                    </w:rPr>
                  </w:pPr>
                  <w:r>
                    <w:t>0.29</w:t>
                  </w:r>
                </w:p>
              </w:tc>
              <w:tc>
                <w:tcPr>
                  <w:tcW w:w="1999" w:type="dxa"/>
                  <w:tcBorders>
                    <w:top w:val="single" w:color="auto" w:sz="2" w:space="0"/>
                    <w:left w:val="single" w:color="auto" w:sz="4" w:space="0"/>
                    <w:bottom w:val="single" w:color="auto" w:sz="2" w:space="0"/>
                  </w:tcBorders>
                  <w:vAlign w:val="center"/>
                </w:tcPr>
                <w:p>
                  <w:pPr>
                    <w:jc w:val="center"/>
                    <w:rPr>
                      <w:b/>
                      <w:szCs w:val="21"/>
                    </w:rPr>
                  </w:pPr>
                  <w:r>
                    <w:t>23.46</w:t>
                  </w:r>
                </w:p>
              </w:tc>
              <w:tc>
                <w:tcPr>
                  <w:tcW w:w="1254" w:type="dxa"/>
                  <w:tcBorders>
                    <w:top w:val="single" w:color="auto" w:sz="2" w:space="0"/>
                    <w:left w:val="single" w:color="auto" w:sz="4" w:space="0"/>
                    <w:bottom w:val="single" w:color="auto" w:sz="2" w:space="0"/>
                    <w:right w:val="nil"/>
                  </w:tcBorders>
                  <w:vAlign w:val="center"/>
                </w:tcPr>
                <w:p>
                  <w:pPr>
                    <w:jc w:val="center"/>
                    <w:rPr>
                      <w:b/>
                      <w:szCs w:val="21"/>
                    </w:rPr>
                  </w:pPr>
                  <w:r>
                    <w:t>9.38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35" w:hRule="atLeast"/>
              </w:trPr>
              <w:tc>
                <w:tcPr>
                  <w:tcW w:w="2126" w:type="dxa"/>
                  <w:tcBorders>
                    <w:top w:val="single" w:color="auto" w:sz="2" w:space="0"/>
                    <w:left w:val="nil"/>
                    <w:bottom w:val="single" w:color="auto" w:sz="12" w:space="0"/>
                  </w:tcBorders>
                  <w:vAlign w:val="center"/>
                </w:tcPr>
                <w:p>
                  <w:pPr>
                    <w:widowControl/>
                    <w:adjustRightInd w:val="0"/>
                    <w:snapToGrid w:val="0"/>
                    <w:spacing w:line="240" w:lineRule="atLeast"/>
                    <w:jc w:val="center"/>
                    <w:textAlignment w:val="center"/>
                    <w:rPr>
                      <w:szCs w:val="21"/>
                    </w:rPr>
                  </w:pPr>
                  <w:r>
                    <w:rPr>
                      <w:szCs w:val="21"/>
                    </w:rPr>
                    <w:t>最大落地浓度距源中心距离</w:t>
                  </w:r>
                </w:p>
              </w:tc>
              <w:tc>
                <w:tcPr>
                  <w:tcW w:w="6670" w:type="dxa"/>
                  <w:gridSpan w:val="4"/>
                  <w:tcBorders>
                    <w:top w:val="single" w:color="auto" w:sz="2" w:space="0"/>
                    <w:bottom w:val="single" w:color="auto" w:sz="12" w:space="0"/>
                    <w:right w:val="nil"/>
                  </w:tcBorders>
                  <w:vAlign w:val="center"/>
                </w:tcPr>
                <w:p>
                  <w:pPr>
                    <w:widowControl/>
                    <w:adjustRightInd w:val="0"/>
                    <w:snapToGrid w:val="0"/>
                    <w:spacing w:line="240" w:lineRule="atLeast"/>
                    <w:jc w:val="center"/>
                    <w:textAlignment w:val="center"/>
                    <w:rPr>
                      <w:b/>
                      <w:szCs w:val="21"/>
                    </w:rPr>
                  </w:pPr>
                  <w:r>
                    <w:rPr>
                      <w:rFonts w:hint="eastAsia"/>
                      <w:b/>
                      <w:szCs w:val="21"/>
                    </w:rPr>
                    <w:t>99</w:t>
                  </w:r>
                  <w:r>
                    <w:rPr>
                      <w:b/>
                      <w:szCs w:val="21"/>
                    </w:rPr>
                    <w:t>m</w:t>
                  </w:r>
                </w:p>
              </w:tc>
            </w:tr>
          </w:tbl>
          <w:p>
            <w:pPr>
              <w:jc w:val="center"/>
              <w:rPr>
                <w:rFonts w:hAnsi="宋体"/>
                <w:b/>
              </w:rPr>
            </w:pPr>
            <w:r>
              <w:rPr>
                <w:rFonts w:hint="eastAsia" w:hAnsi="宋体"/>
                <w:b/>
              </w:rPr>
              <w:t>表41续   隧道窑污染物排放</w:t>
            </w:r>
            <w:r>
              <w:rPr>
                <w:rFonts w:hAnsi="宋体"/>
                <w:b/>
              </w:rPr>
              <w:t>影响预测结果统计</w:t>
            </w:r>
            <w:r>
              <w:rPr>
                <w:rFonts w:hint="eastAsia" w:hAnsi="宋体"/>
                <w:b/>
              </w:rPr>
              <w:t>表</w:t>
            </w:r>
          </w:p>
          <w:tbl>
            <w:tblPr>
              <w:tblStyle w:val="24"/>
              <w:tblW w:w="8793"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57" w:type="dxa"/>
                <w:left w:w="0" w:type="dxa"/>
                <w:bottom w:w="28" w:type="dxa"/>
                <w:right w:w="0" w:type="dxa"/>
              </w:tblCellMar>
            </w:tblPr>
            <w:tblGrid>
              <w:gridCol w:w="2071"/>
              <w:gridCol w:w="1689"/>
              <w:gridCol w:w="1640"/>
              <w:gridCol w:w="1975"/>
              <w:gridCol w:w="141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191" w:hRule="atLeast"/>
              </w:trPr>
              <w:tc>
                <w:tcPr>
                  <w:tcW w:w="2071" w:type="dxa"/>
                  <w:vMerge w:val="restart"/>
                  <w:tcBorders>
                    <w:top w:val="single" w:color="auto" w:sz="12" w:space="0"/>
                    <w:left w:val="nil"/>
                    <w:bottom w:val="single" w:color="auto" w:sz="2" w:space="0"/>
                  </w:tcBorders>
                  <w:vAlign w:val="center"/>
                </w:tcPr>
                <w:p>
                  <w:pPr>
                    <w:adjustRightInd w:val="0"/>
                    <w:snapToGrid w:val="0"/>
                    <w:spacing w:line="240" w:lineRule="atLeast"/>
                    <w:jc w:val="center"/>
                    <w:rPr>
                      <w:szCs w:val="21"/>
                    </w:rPr>
                  </w:pPr>
                  <w:r>
                    <w:rPr>
                      <w:szCs w:val="21"/>
                    </w:rPr>
                    <w:t>距源中心下风向距离D（m）</w:t>
                  </w:r>
                </w:p>
              </w:tc>
              <w:tc>
                <w:tcPr>
                  <w:tcW w:w="3329" w:type="dxa"/>
                  <w:gridSpan w:val="2"/>
                  <w:tcBorders>
                    <w:top w:val="single" w:color="auto" w:sz="12" w:space="0"/>
                    <w:bottom w:val="single" w:color="auto" w:sz="2" w:space="0"/>
                    <w:right w:val="single" w:color="auto" w:sz="4" w:space="0"/>
                  </w:tcBorders>
                  <w:vAlign w:val="center"/>
                </w:tcPr>
                <w:p>
                  <w:pPr>
                    <w:adjustRightInd w:val="0"/>
                    <w:snapToGrid w:val="0"/>
                    <w:spacing w:line="240" w:lineRule="atLeast"/>
                    <w:jc w:val="center"/>
                    <w:rPr>
                      <w:szCs w:val="21"/>
                    </w:rPr>
                  </w:pPr>
                  <w:r>
                    <w:rPr>
                      <w:rFonts w:hint="eastAsia"/>
                      <w:szCs w:val="21"/>
                    </w:rPr>
                    <w:t>烟尘</w:t>
                  </w:r>
                </w:p>
              </w:tc>
              <w:tc>
                <w:tcPr>
                  <w:tcW w:w="3393" w:type="dxa"/>
                  <w:gridSpan w:val="2"/>
                  <w:tcBorders>
                    <w:top w:val="single" w:color="auto" w:sz="12" w:space="0"/>
                    <w:left w:val="single" w:color="auto" w:sz="4" w:space="0"/>
                    <w:bottom w:val="single" w:color="auto" w:sz="2" w:space="0"/>
                    <w:right w:val="nil"/>
                  </w:tcBorders>
                  <w:vAlign w:val="center"/>
                </w:tcPr>
                <w:p>
                  <w:pPr>
                    <w:adjustRightInd w:val="0"/>
                    <w:snapToGrid w:val="0"/>
                    <w:spacing w:line="240" w:lineRule="atLeast"/>
                    <w:jc w:val="center"/>
                    <w:rPr>
                      <w:szCs w:val="21"/>
                    </w:rPr>
                  </w:pPr>
                  <w:r>
                    <w:rPr>
                      <w:rFonts w:hint="eastAsia"/>
                      <w:szCs w:val="21"/>
                    </w:rPr>
                    <w:t>氟化物</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504" w:hRule="atLeast"/>
              </w:trPr>
              <w:tc>
                <w:tcPr>
                  <w:tcW w:w="2071" w:type="dxa"/>
                  <w:vMerge w:val="continue"/>
                  <w:tcBorders>
                    <w:top w:val="single" w:color="auto" w:sz="2" w:space="0"/>
                    <w:left w:val="nil"/>
                    <w:bottom w:val="single" w:color="auto" w:sz="2" w:space="0"/>
                  </w:tcBorders>
                  <w:vAlign w:val="center"/>
                </w:tcPr>
                <w:p>
                  <w:pPr>
                    <w:widowControl/>
                    <w:adjustRightInd w:val="0"/>
                    <w:snapToGrid w:val="0"/>
                    <w:spacing w:line="240" w:lineRule="atLeast"/>
                    <w:jc w:val="center"/>
                    <w:rPr>
                      <w:szCs w:val="21"/>
                    </w:rPr>
                  </w:pPr>
                </w:p>
              </w:tc>
              <w:tc>
                <w:tcPr>
                  <w:tcW w:w="1689" w:type="dxa"/>
                  <w:tcBorders>
                    <w:top w:val="single" w:color="auto" w:sz="2" w:space="0"/>
                    <w:bottom w:val="single" w:color="auto" w:sz="2" w:space="0"/>
                  </w:tcBorders>
                  <w:vAlign w:val="center"/>
                </w:tcPr>
                <w:p>
                  <w:pPr>
                    <w:adjustRightInd w:val="0"/>
                    <w:snapToGrid w:val="0"/>
                    <w:spacing w:line="240" w:lineRule="atLeast"/>
                    <w:jc w:val="center"/>
                    <w:rPr>
                      <w:szCs w:val="21"/>
                    </w:rPr>
                  </w:pPr>
                  <w:r>
                    <w:rPr>
                      <w:szCs w:val="21"/>
                    </w:rPr>
                    <w:t>下风向预测浓度（μg/m</w:t>
                  </w:r>
                  <w:r>
                    <w:rPr>
                      <w:szCs w:val="21"/>
                      <w:vertAlign w:val="superscript"/>
                    </w:rPr>
                    <w:t>3</w:t>
                  </w:r>
                  <w:r>
                    <w:rPr>
                      <w:szCs w:val="21"/>
                    </w:rPr>
                    <w:t>）</w:t>
                  </w:r>
                </w:p>
              </w:tc>
              <w:tc>
                <w:tcPr>
                  <w:tcW w:w="1640" w:type="dxa"/>
                  <w:tcBorders>
                    <w:top w:val="single" w:color="auto" w:sz="2" w:space="0"/>
                    <w:bottom w:val="single" w:color="auto" w:sz="2" w:space="0"/>
                    <w:right w:val="single" w:color="auto" w:sz="4" w:space="0"/>
                  </w:tcBorders>
                  <w:vAlign w:val="center"/>
                </w:tcPr>
                <w:p>
                  <w:pPr>
                    <w:adjustRightInd w:val="0"/>
                    <w:snapToGrid w:val="0"/>
                    <w:spacing w:line="240" w:lineRule="atLeast"/>
                    <w:jc w:val="center"/>
                    <w:rPr>
                      <w:szCs w:val="21"/>
                    </w:rPr>
                  </w:pPr>
                  <w:r>
                    <w:rPr>
                      <w:szCs w:val="21"/>
                    </w:rPr>
                    <w:t>占标率（%）</w:t>
                  </w:r>
                </w:p>
              </w:tc>
              <w:tc>
                <w:tcPr>
                  <w:tcW w:w="1975" w:type="dxa"/>
                  <w:tcBorders>
                    <w:top w:val="single" w:color="auto" w:sz="2" w:space="0"/>
                    <w:left w:val="single" w:color="auto" w:sz="4" w:space="0"/>
                    <w:bottom w:val="single" w:color="auto" w:sz="2" w:space="0"/>
                  </w:tcBorders>
                  <w:vAlign w:val="center"/>
                </w:tcPr>
                <w:p>
                  <w:pPr>
                    <w:adjustRightInd w:val="0"/>
                    <w:snapToGrid w:val="0"/>
                    <w:spacing w:line="240" w:lineRule="atLeast"/>
                    <w:jc w:val="center"/>
                    <w:rPr>
                      <w:szCs w:val="21"/>
                    </w:rPr>
                  </w:pPr>
                  <w:r>
                    <w:rPr>
                      <w:szCs w:val="21"/>
                    </w:rPr>
                    <w:t>下风向预测浓度（μg/m</w:t>
                  </w:r>
                  <w:r>
                    <w:rPr>
                      <w:szCs w:val="21"/>
                      <w:vertAlign w:val="superscript"/>
                    </w:rPr>
                    <w:t>3</w:t>
                  </w:r>
                  <w:r>
                    <w:rPr>
                      <w:szCs w:val="21"/>
                    </w:rPr>
                    <w:t>）</w:t>
                  </w:r>
                </w:p>
              </w:tc>
              <w:tc>
                <w:tcPr>
                  <w:tcW w:w="1418" w:type="dxa"/>
                  <w:tcBorders>
                    <w:top w:val="single" w:color="auto" w:sz="2" w:space="0"/>
                    <w:left w:val="single" w:color="auto" w:sz="4" w:space="0"/>
                    <w:bottom w:val="single" w:color="auto" w:sz="2" w:space="0"/>
                    <w:right w:val="nil"/>
                  </w:tcBorders>
                  <w:vAlign w:val="center"/>
                </w:tcPr>
                <w:p>
                  <w:pPr>
                    <w:adjustRightInd w:val="0"/>
                    <w:snapToGrid w:val="0"/>
                    <w:spacing w:line="240" w:lineRule="atLeast"/>
                    <w:jc w:val="center"/>
                    <w:rPr>
                      <w:szCs w:val="21"/>
                    </w:rPr>
                  </w:pPr>
                  <w:r>
                    <w:rPr>
                      <w:szCs w:val="21"/>
                    </w:rPr>
                    <w:t>占标率（%）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071" w:type="dxa"/>
                  <w:tcBorders>
                    <w:top w:val="single" w:color="auto" w:sz="2" w:space="0"/>
                    <w:left w:val="nil"/>
                    <w:bottom w:val="single" w:color="auto" w:sz="2" w:space="0"/>
                  </w:tcBorders>
                  <w:vAlign w:val="center"/>
                </w:tcPr>
                <w:p>
                  <w:pPr>
                    <w:jc w:val="center"/>
                    <w:rPr>
                      <w:szCs w:val="21"/>
                    </w:rPr>
                  </w:pPr>
                  <w:r>
                    <w:t>50.0</w:t>
                  </w:r>
                </w:p>
              </w:tc>
              <w:tc>
                <w:tcPr>
                  <w:tcW w:w="1689" w:type="dxa"/>
                  <w:tcBorders>
                    <w:top w:val="single" w:color="auto" w:sz="2" w:space="0"/>
                    <w:bottom w:val="single" w:color="auto" w:sz="2" w:space="0"/>
                  </w:tcBorders>
                  <w:vAlign w:val="center"/>
                </w:tcPr>
                <w:p>
                  <w:pPr>
                    <w:jc w:val="center"/>
                    <w:rPr>
                      <w:szCs w:val="21"/>
                    </w:rPr>
                  </w:pPr>
                  <w:r>
                    <w:t>2.18</w:t>
                  </w:r>
                </w:p>
              </w:tc>
              <w:tc>
                <w:tcPr>
                  <w:tcW w:w="1640" w:type="dxa"/>
                  <w:tcBorders>
                    <w:top w:val="single" w:color="auto" w:sz="2" w:space="0"/>
                    <w:bottom w:val="single" w:color="auto" w:sz="2" w:space="0"/>
                    <w:right w:val="single" w:color="auto" w:sz="4" w:space="0"/>
                  </w:tcBorders>
                  <w:vAlign w:val="center"/>
                </w:tcPr>
                <w:p>
                  <w:pPr>
                    <w:jc w:val="center"/>
                    <w:rPr>
                      <w:szCs w:val="21"/>
                    </w:rPr>
                  </w:pPr>
                  <w:r>
                    <w:t>0.24</w:t>
                  </w:r>
                </w:p>
              </w:tc>
              <w:tc>
                <w:tcPr>
                  <w:tcW w:w="1975" w:type="dxa"/>
                  <w:tcBorders>
                    <w:top w:val="single" w:color="auto" w:sz="2" w:space="0"/>
                    <w:left w:val="single" w:color="auto" w:sz="4" w:space="0"/>
                    <w:bottom w:val="single" w:color="auto" w:sz="2" w:space="0"/>
                  </w:tcBorders>
                  <w:vAlign w:val="center"/>
                </w:tcPr>
                <w:p>
                  <w:pPr>
                    <w:jc w:val="center"/>
                    <w:rPr>
                      <w:szCs w:val="21"/>
                    </w:rPr>
                  </w:pPr>
                  <w:r>
                    <w:t>0.10</w:t>
                  </w:r>
                </w:p>
              </w:tc>
              <w:tc>
                <w:tcPr>
                  <w:tcW w:w="1418" w:type="dxa"/>
                  <w:tcBorders>
                    <w:top w:val="single" w:color="auto" w:sz="2" w:space="0"/>
                    <w:left w:val="single" w:color="auto" w:sz="4" w:space="0"/>
                    <w:bottom w:val="single" w:color="auto" w:sz="2" w:space="0"/>
                    <w:right w:val="nil"/>
                  </w:tcBorders>
                  <w:vAlign w:val="center"/>
                </w:tcPr>
                <w:p>
                  <w:pPr>
                    <w:jc w:val="center"/>
                    <w:rPr>
                      <w:szCs w:val="21"/>
                    </w:rPr>
                  </w:pPr>
                  <w:r>
                    <w:t>0.52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071" w:type="dxa"/>
                  <w:tcBorders>
                    <w:top w:val="single" w:color="auto" w:sz="2" w:space="0"/>
                    <w:left w:val="nil"/>
                    <w:bottom w:val="single" w:color="auto" w:sz="2" w:space="0"/>
                  </w:tcBorders>
                  <w:vAlign w:val="center"/>
                </w:tcPr>
                <w:p>
                  <w:pPr>
                    <w:jc w:val="center"/>
                    <w:rPr>
                      <w:szCs w:val="21"/>
                    </w:rPr>
                  </w:pPr>
                  <w:r>
                    <w:t>100.0</w:t>
                  </w:r>
                </w:p>
              </w:tc>
              <w:tc>
                <w:tcPr>
                  <w:tcW w:w="1689" w:type="dxa"/>
                  <w:tcBorders>
                    <w:top w:val="single" w:color="auto" w:sz="2" w:space="0"/>
                    <w:bottom w:val="single" w:color="auto" w:sz="2" w:space="0"/>
                  </w:tcBorders>
                  <w:vAlign w:val="center"/>
                </w:tcPr>
                <w:p>
                  <w:pPr>
                    <w:jc w:val="center"/>
                    <w:rPr>
                      <w:szCs w:val="21"/>
                    </w:rPr>
                  </w:pPr>
                  <w:r>
                    <w:t>3.03</w:t>
                  </w:r>
                </w:p>
              </w:tc>
              <w:tc>
                <w:tcPr>
                  <w:tcW w:w="1640" w:type="dxa"/>
                  <w:tcBorders>
                    <w:top w:val="single" w:color="auto" w:sz="2" w:space="0"/>
                    <w:bottom w:val="single" w:color="auto" w:sz="2" w:space="0"/>
                    <w:right w:val="single" w:color="auto" w:sz="4" w:space="0"/>
                  </w:tcBorders>
                  <w:vAlign w:val="center"/>
                </w:tcPr>
                <w:p>
                  <w:pPr>
                    <w:jc w:val="center"/>
                    <w:rPr>
                      <w:szCs w:val="21"/>
                    </w:rPr>
                  </w:pPr>
                  <w:r>
                    <w:t>0.34</w:t>
                  </w:r>
                </w:p>
              </w:tc>
              <w:tc>
                <w:tcPr>
                  <w:tcW w:w="1975" w:type="dxa"/>
                  <w:tcBorders>
                    <w:top w:val="single" w:color="auto" w:sz="2" w:space="0"/>
                    <w:left w:val="single" w:color="auto" w:sz="4" w:space="0"/>
                    <w:bottom w:val="single" w:color="auto" w:sz="2" w:space="0"/>
                  </w:tcBorders>
                  <w:vAlign w:val="center"/>
                </w:tcPr>
                <w:p>
                  <w:pPr>
                    <w:jc w:val="center"/>
                    <w:rPr>
                      <w:szCs w:val="21"/>
                    </w:rPr>
                  </w:pPr>
                  <w:r>
                    <w:t>0.14</w:t>
                  </w:r>
                </w:p>
              </w:tc>
              <w:tc>
                <w:tcPr>
                  <w:tcW w:w="1418" w:type="dxa"/>
                  <w:tcBorders>
                    <w:top w:val="single" w:color="auto" w:sz="2" w:space="0"/>
                    <w:left w:val="single" w:color="auto" w:sz="4" w:space="0"/>
                    <w:bottom w:val="single" w:color="auto" w:sz="2" w:space="0"/>
                    <w:right w:val="nil"/>
                  </w:tcBorders>
                  <w:vAlign w:val="center"/>
                </w:tcPr>
                <w:p>
                  <w:pPr>
                    <w:jc w:val="center"/>
                    <w:rPr>
                      <w:szCs w:val="21"/>
                    </w:rPr>
                  </w:pPr>
                  <w:r>
                    <w:t>0.72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175" w:hRule="atLeast"/>
              </w:trPr>
              <w:tc>
                <w:tcPr>
                  <w:tcW w:w="2071" w:type="dxa"/>
                  <w:tcBorders>
                    <w:top w:val="single" w:color="auto" w:sz="2" w:space="0"/>
                    <w:left w:val="nil"/>
                    <w:bottom w:val="single" w:color="auto" w:sz="2" w:space="0"/>
                  </w:tcBorders>
                  <w:vAlign w:val="center"/>
                </w:tcPr>
                <w:p>
                  <w:pPr>
                    <w:jc w:val="center"/>
                    <w:rPr>
                      <w:szCs w:val="21"/>
                    </w:rPr>
                  </w:pPr>
                  <w:r>
                    <w:t>200.0</w:t>
                  </w:r>
                </w:p>
              </w:tc>
              <w:tc>
                <w:tcPr>
                  <w:tcW w:w="1689" w:type="dxa"/>
                  <w:tcBorders>
                    <w:top w:val="single" w:color="auto" w:sz="2" w:space="0"/>
                    <w:bottom w:val="single" w:color="auto" w:sz="2" w:space="0"/>
                  </w:tcBorders>
                  <w:vAlign w:val="center"/>
                </w:tcPr>
                <w:p>
                  <w:pPr>
                    <w:jc w:val="center"/>
                    <w:rPr>
                      <w:szCs w:val="21"/>
                    </w:rPr>
                  </w:pPr>
                  <w:r>
                    <w:t>2.67</w:t>
                  </w:r>
                </w:p>
              </w:tc>
              <w:tc>
                <w:tcPr>
                  <w:tcW w:w="1640" w:type="dxa"/>
                  <w:tcBorders>
                    <w:top w:val="single" w:color="auto" w:sz="2" w:space="0"/>
                    <w:bottom w:val="single" w:color="auto" w:sz="2" w:space="0"/>
                    <w:right w:val="single" w:color="auto" w:sz="4" w:space="0"/>
                  </w:tcBorders>
                  <w:vAlign w:val="center"/>
                </w:tcPr>
                <w:p>
                  <w:pPr>
                    <w:jc w:val="center"/>
                    <w:rPr>
                      <w:szCs w:val="21"/>
                    </w:rPr>
                  </w:pPr>
                  <w:r>
                    <w:t>0.30</w:t>
                  </w:r>
                </w:p>
              </w:tc>
              <w:tc>
                <w:tcPr>
                  <w:tcW w:w="1975" w:type="dxa"/>
                  <w:tcBorders>
                    <w:top w:val="single" w:color="auto" w:sz="2" w:space="0"/>
                    <w:left w:val="single" w:color="auto" w:sz="4" w:space="0"/>
                    <w:bottom w:val="single" w:color="auto" w:sz="2" w:space="0"/>
                  </w:tcBorders>
                  <w:vAlign w:val="center"/>
                </w:tcPr>
                <w:p>
                  <w:pPr>
                    <w:jc w:val="center"/>
                    <w:rPr>
                      <w:szCs w:val="21"/>
                    </w:rPr>
                  </w:pPr>
                  <w:r>
                    <w:t>0.13</w:t>
                  </w:r>
                </w:p>
              </w:tc>
              <w:tc>
                <w:tcPr>
                  <w:tcW w:w="1418" w:type="dxa"/>
                  <w:tcBorders>
                    <w:top w:val="single" w:color="auto" w:sz="2" w:space="0"/>
                    <w:left w:val="single" w:color="auto" w:sz="4" w:space="0"/>
                    <w:bottom w:val="single" w:color="auto" w:sz="2" w:space="0"/>
                    <w:right w:val="nil"/>
                  </w:tcBorders>
                  <w:vAlign w:val="center"/>
                </w:tcPr>
                <w:p>
                  <w:pPr>
                    <w:jc w:val="center"/>
                    <w:rPr>
                      <w:szCs w:val="21"/>
                    </w:rPr>
                  </w:pPr>
                  <w:r>
                    <w:t>0.63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071" w:type="dxa"/>
                  <w:tcBorders>
                    <w:top w:val="single" w:color="auto" w:sz="2" w:space="0"/>
                    <w:left w:val="nil"/>
                    <w:bottom w:val="single" w:color="auto" w:sz="2" w:space="0"/>
                  </w:tcBorders>
                  <w:vAlign w:val="center"/>
                </w:tcPr>
                <w:p>
                  <w:pPr>
                    <w:jc w:val="center"/>
                    <w:rPr>
                      <w:szCs w:val="21"/>
                    </w:rPr>
                  </w:pPr>
                  <w:r>
                    <w:t>300.0</w:t>
                  </w:r>
                </w:p>
              </w:tc>
              <w:tc>
                <w:tcPr>
                  <w:tcW w:w="1689" w:type="dxa"/>
                  <w:tcBorders>
                    <w:top w:val="single" w:color="auto" w:sz="2" w:space="0"/>
                    <w:bottom w:val="single" w:color="auto" w:sz="2" w:space="0"/>
                  </w:tcBorders>
                  <w:vAlign w:val="center"/>
                </w:tcPr>
                <w:p>
                  <w:pPr>
                    <w:jc w:val="center"/>
                    <w:rPr>
                      <w:szCs w:val="21"/>
                    </w:rPr>
                  </w:pPr>
                  <w:r>
                    <w:t>2.58</w:t>
                  </w:r>
                </w:p>
              </w:tc>
              <w:tc>
                <w:tcPr>
                  <w:tcW w:w="1640" w:type="dxa"/>
                  <w:tcBorders>
                    <w:top w:val="single" w:color="auto" w:sz="2" w:space="0"/>
                    <w:bottom w:val="single" w:color="auto" w:sz="2" w:space="0"/>
                    <w:right w:val="single" w:color="auto" w:sz="4" w:space="0"/>
                  </w:tcBorders>
                  <w:vAlign w:val="center"/>
                </w:tcPr>
                <w:p>
                  <w:pPr>
                    <w:jc w:val="center"/>
                    <w:rPr>
                      <w:szCs w:val="21"/>
                    </w:rPr>
                  </w:pPr>
                  <w:r>
                    <w:t>0.29</w:t>
                  </w:r>
                </w:p>
              </w:tc>
              <w:tc>
                <w:tcPr>
                  <w:tcW w:w="1975" w:type="dxa"/>
                  <w:tcBorders>
                    <w:top w:val="single" w:color="auto" w:sz="2" w:space="0"/>
                    <w:left w:val="single" w:color="auto" w:sz="4" w:space="0"/>
                    <w:bottom w:val="single" w:color="auto" w:sz="2" w:space="0"/>
                  </w:tcBorders>
                  <w:vAlign w:val="center"/>
                </w:tcPr>
                <w:p>
                  <w:pPr>
                    <w:jc w:val="center"/>
                    <w:rPr>
                      <w:szCs w:val="21"/>
                    </w:rPr>
                  </w:pPr>
                  <w:r>
                    <w:t>0.12</w:t>
                  </w:r>
                </w:p>
              </w:tc>
              <w:tc>
                <w:tcPr>
                  <w:tcW w:w="1418" w:type="dxa"/>
                  <w:tcBorders>
                    <w:top w:val="single" w:color="auto" w:sz="2" w:space="0"/>
                    <w:left w:val="single" w:color="auto" w:sz="4" w:space="0"/>
                    <w:bottom w:val="single" w:color="auto" w:sz="2" w:space="0"/>
                    <w:right w:val="nil"/>
                  </w:tcBorders>
                  <w:vAlign w:val="center"/>
                </w:tcPr>
                <w:p>
                  <w:pPr>
                    <w:jc w:val="center"/>
                    <w:rPr>
                      <w:szCs w:val="21"/>
                    </w:rPr>
                  </w:pPr>
                  <w:r>
                    <w:t>0.61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071" w:type="dxa"/>
                  <w:tcBorders>
                    <w:top w:val="single" w:color="auto" w:sz="2" w:space="0"/>
                    <w:left w:val="nil"/>
                    <w:bottom w:val="single" w:color="auto" w:sz="2" w:space="0"/>
                  </w:tcBorders>
                  <w:vAlign w:val="center"/>
                </w:tcPr>
                <w:p>
                  <w:pPr>
                    <w:jc w:val="center"/>
                    <w:rPr>
                      <w:b/>
                      <w:szCs w:val="21"/>
                    </w:rPr>
                  </w:pPr>
                  <w:r>
                    <w:t>400.0</w:t>
                  </w:r>
                </w:p>
              </w:tc>
              <w:tc>
                <w:tcPr>
                  <w:tcW w:w="1689" w:type="dxa"/>
                  <w:tcBorders>
                    <w:top w:val="single" w:color="auto" w:sz="2" w:space="0"/>
                    <w:bottom w:val="single" w:color="auto" w:sz="2" w:space="0"/>
                  </w:tcBorders>
                  <w:vAlign w:val="center"/>
                </w:tcPr>
                <w:p>
                  <w:pPr>
                    <w:jc w:val="center"/>
                    <w:rPr>
                      <w:b/>
                      <w:szCs w:val="21"/>
                    </w:rPr>
                  </w:pPr>
                  <w:r>
                    <w:t>2.46</w:t>
                  </w:r>
                </w:p>
              </w:tc>
              <w:tc>
                <w:tcPr>
                  <w:tcW w:w="1640" w:type="dxa"/>
                  <w:tcBorders>
                    <w:top w:val="single" w:color="auto" w:sz="2" w:space="0"/>
                    <w:bottom w:val="single" w:color="auto" w:sz="2" w:space="0"/>
                    <w:right w:val="single" w:color="auto" w:sz="4" w:space="0"/>
                  </w:tcBorders>
                  <w:vAlign w:val="center"/>
                </w:tcPr>
                <w:p>
                  <w:pPr>
                    <w:jc w:val="center"/>
                    <w:rPr>
                      <w:b/>
                      <w:szCs w:val="21"/>
                    </w:rPr>
                  </w:pPr>
                  <w:r>
                    <w:t>0.27</w:t>
                  </w:r>
                </w:p>
              </w:tc>
              <w:tc>
                <w:tcPr>
                  <w:tcW w:w="1975" w:type="dxa"/>
                  <w:tcBorders>
                    <w:top w:val="single" w:color="auto" w:sz="2" w:space="0"/>
                    <w:left w:val="single" w:color="auto" w:sz="4" w:space="0"/>
                    <w:bottom w:val="single" w:color="auto" w:sz="2" w:space="0"/>
                  </w:tcBorders>
                  <w:vAlign w:val="center"/>
                </w:tcPr>
                <w:p>
                  <w:pPr>
                    <w:jc w:val="center"/>
                    <w:rPr>
                      <w:b/>
                      <w:szCs w:val="21"/>
                    </w:rPr>
                  </w:pPr>
                  <w:r>
                    <w:t>0.12</w:t>
                  </w:r>
                </w:p>
              </w:tc>
              <w:tc>
                <w:tcPr>
                  <w:tcW w:w="1418" w:type="dxa"/>
                  <w:tcBorders>
                    <w:top w:val="single" w:color="auto" w:sz="2" w:space="0"/>
                    <w:left w:val="single" w:color="auto" w:sz="4" w:space="0"/>
                    <w:bottom w:val="single" w:color="auto" w:sz="2" w:space="0"/>
                    <w:right w:val="nil"/>
                  </w:tcBorders>
                  <w:vAlign w:val="center"/>
                </w:tcPr>
                <w:p>
                  <w:pPr>
                    <w:jc w:val="center"/>
                    <w:rPr>
                      <w:b/>
                      <w:szCs w:val="21"/>
                    </w:rPr>
                  </w:pPr>
                  <w:r>
                    <w:t>0.58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175" w:hRule="atLeast"/>
              </w:trPr>
              <w:tc>
                <w:tcPr>
                  <w:tcW w:w="2071" w:type="dxa"/>
                  <w:tcBorders>
                    <w:top w:val="single" w:color="auto" w:sz="2" w:space="0"/>
                    <w:left w:val="nil"/>
                    <w:bottom w:val="single" w:color="auto" w:sz="2" w:space="0"/>
                  </w:tcBorders>
                  <w:vAlign w:val="center"/>
                </w:tcPr>
                <w:p>
                  <w:pPr>
                    <w:jc w:val="center"/>
                    <w:rPr>
                      <w:szCs w:val="21"/>
                    </w:rPr>
                  </w:pPr>
                  <w:r>
                    <w:t>500.0</w:t>
                  </w:r>
                </w:p>
              </w:tc>
              <w:tc>
                <w:tcPr>
                  <w:tcW w:w="1689" w:type="dxa"/>
                  <w:tcBorders>
                    <w:top w:val="single" w:color="auto" w:sz="2" w:space="0"/>
                    <w:bottom w:val="single" w:color="auto" w:sz="2" w:space="0"/>
                  </w:tcBorders>
                  <w:vAlign w:val="center"/>
                </w:tcPr>
                <w:p>
                  <w:pPr>
                    <w:jc w:val="center"/>
                    <w:rPr>
                      <w:szCs w:val="21"/>
                    </w:rPr>
                  </w:pPr>
                  <w:r>
                    <w:t>2.24</w:t>
                  </w:r>
                </w:p>
              </w:tc>
              <w:tc>
                <w:tcPr>
                  <w:tcW w:w="1640" w:type="dxa"/>
                  <w:tcBorders>
                    <w:top w:val="single" w:color="auto" w:sz="2" w:space="0"/>
                    <w:bottom w:val="single" w:color="auto" w:sz="2" w:space="0"/>
                    <w:right w:val="single" w:color="auto" w:sz="4" w:space="0"/>
                  </w:tcBorders>
                  <w:vAlign w:val="center"/>
                </w:tcPr>
                <w:p>
                  <w:pPr>
                    <w:jc w:val="center"/>
                    <w:rPr>
                      <w:szCs w:val="21"/>
                    </w:rPr>
                  </w:pPr>
                  <w:r>
                    <w:t>0.25</w:t>
                  </w:r>
                </w:p>
              </w:tc>
              <w:tc>
                <w:tcPr>
                  <w:tcW w:w="1975" w:type="dxa"/>
                  <w:tcBorders>
                    <w:top w:val="single" w:color="auto" w:sz="2" w:space="0"/>
                    <w:left w:val="single" w:color="auto" w:sz="4" w:space="0"/>
                    <w:bottom w:val="single" w:color="auto" w:sz="2" w:space="0"/>
                  </w:tcBorders>
                  <w:vAlign w:val="center"/>
                </w:tcPr>
                <w:p>
                  <w:pPr>
                    <w:jc w:val="center"/>
                    <w:rPr>
                      <w:szCs w:val="21"/>
                    </w:rPr>
                  </w:pPr>
                  <w:r>
                    <w:t>0.11</w:t>
                  </w:r>
                </w:p>
              </w:tc>
              <w:tc>
                <w:tcPr>
                  <w:tcW w:w="1418" w:type="dxa"/>
                  <w:tcBorders>
                    <w:top w:val="single" w:color="auto" w:sz="2" w:space="0"/>
                    <w:left w:val="single" w:color="auto" w:sz="4" w:space="0"/>
                    <w:bottom w:val="single" w:color="auto" w:sz="2" w:space="0"/>
                    <w:right w:val="nil"/>
                  </w:tcBorders>
                  <w:vAlign w:val="center"/>
                </w:tcPr>
                <w:p>
                  <w:pPr>
                    <w:jc w:val="center"/>
                    <w:rPr>
                      <w:szCs w:val="21"/>
                    </w:rPr>
                  </w:pPr>
                  <w:r>
                    <w:t>0.53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175" w:hRule="atLeast"/>
              </w:trPr>
              <w:tc>
                <w:tcPr>
                  <w:tcW w:w="2071" w:type="dxa"/>
                  <w:tcBorders>
                    <w:top w:val="single" w:color="auto" w:sz="2" w:space="0"/>
                    <w:left w:val="nil"/>
                    <w:bottom w:val="single" w:color="auto" w:sz="2" w:space="0"/>
                  </w:tcBorders>
                  <w:vAlign w:val="center"/>
                </w:tcPr>
                <w:p>
                  <w:pPr>
                    <w:jc w:val="center"/>
                    <w:rPr>
                      <w:szCs w:val="21"/>
                    </w:rPr>
                  </w:pPr>
                  <w:r>
                    <w:t>600.0</w:t>
                  </w:r>
                </w:p>
              </w:tc>
              <w:tc>
                <w:tcPr>
                  <w:tcW w:w="1689" w:type="dxa"/>
                  <w:tcBorders>
                    <w:top w:val="single" w:color="auto" w:sz="2" w:space="0"/>
                    <w:bottom w:val="single" w:color="auto" w:sz="2" w:space="0"/>
                  </w:tcBorders>
                  <w:vAlign w:val="center"/>
                </w:tcPr>
                <w:p>
                  <w:pPr>
                    <w:jc w:val="center"/>
                    <w:rPr>
                      <w:szCs w:val="21"/>
                    </w:rPr>
                  </w:pPr>
                  <w:r>
                    <w:t>2.03</w:t>
                  </w:r>
                </w:p>
              </w:tc>
              <w:tc>
                <w:tcPr>
                  <w:tcW w:w="1640" w:type="dxa"/>
                  <w:tcBorders>
                    <w:top w:val="single" w:color="auto" w:sz="2" w:space="0"/>
                    <w:bottom w:val="single" w:color="auto" w:sz="2" w:space="0"/>
                    <w:right w:val="single" w:color="auto" w:sz="4" w:space="0"/>
                  </w:tcBorders>
                  <w:vAlign w:val="center"/>
                </w:tcPr>
                <w:p>
                  <w:pPr>
                    <w:jc w:val="center"/>
                    <w:rPr>
                      <w:szCs w:val="21"/>
                    </w:rPr>
                  </w:pPr>
                  <w:r>
                    <w:t>0.23</w:t>
                  </w:r>
                </w:p>
              </w:tc>
              <w:tc>
                <w:tcPr>
                  <w:tcW w:w="1975" w:type="dxa"/>
                  <w:tcBorders>
                    <w:top w:val="single" w:color="auto" w:sz="2" w:space="0"/>
                    <w:left w:val="single" w:color="auto" w:sz="4" w:space="0"/>
                    <w:bottom w:val="single" w:color="auto" w:sz="2" w:space="0"/>
                  </w:tcBorders>
                  <w:vAlign w:val="center"/>
                </w:tcPr>
                <w:p>
                  <w:pPr>
                    <w:jc w:val="center"/>
                    <w:rPr>
                      <w:szCs w:val="21"/>
                    </w:rPr>
                  </w:pPr>
                  <w:r>
                    <w:t>0.10</w:t>
                  </w:r>
                </w:p>
              </w:tc>
              <w:tc>
                <w:tcPr>
                  <w:tcW w:w="1418" w:type="dxa"/>
                  <w:tcBorders>
                    <w:top w:val="single" w:color="auto" w:sz="2" w:space="0"/>
                    <w:left w:val="single" w:color="auto" w:sz="4" w:space="0"/>
                    <w:bottom w:val="single" w:color="auto" w:sz="2" w:space="0"/>
                    <w:right w:val="nil"/>
                  </w:tcBorders>
                  <w:vAlign w:val="center"/>
                </w:tcPr>
                <w:p>
                  <w:pPr>
                    <w:jc w:val="center"/>
                    <w:rPr>
                      <w:szCs w:val="21"/>
                    </w:rPr>
                  </w:pPr>
                  <w:r>
                    <w:t>0.48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175" w:hRule="atLeast"/>
              </w:trPr>
              <w:tc>
                <w:tcPr>
                  <w:tcW w:w="2071" w:type="dxa"/>
                  <w:tcBorders>
                    <w:top w:val="single" w:color="auto" w:sz="2" w:space="0"/>
                    <w:left w:val="nil"/>
                    <w:bottom w:val="single" w:color="auto" w:sz="2" w:space="0"/>
                  </w:tcBorders>
                  <w:vAlign w:val="center"/>
                </w:tcPr>
                <w:p>
                  <w:pPr>
                    <w:jc w:val="center"/>
                    <w:rPr>
                      <w:szCs w:val="21"/>
                    </w:rPr>
                  </w:pPr>
                  <w:r>
                    <w:t>700.0</w:t>
                  </w:r>
                </w:p>
              </w:tc>
              <w:tc>
                <w:tcPr>
                  <w:tcW w:w="1689" w:type="dxa"/>
                  <w:tcBorders>
                    <w:top w:val="single" w:color="auto" w:sz="2" w:space="0"/>
                    <w:bottom w:val="single" w:color="auto" w:sz="2" w:space="0"/>
                  </w:tcBorders>
                  <w:vAlign w:val="center"/>
                </w:tcPr>
                <w:p>
                  <w:pPr>
                    <w:jc w:val="center"/>
                    <w:rPr>
                      <w:szCs w:val="21"/>
                    </w:rPr>
                  </w:pPr>
                  <w:r>
                    <w:t>1.84</w:t>
                  </w:r>
                </w:p>
              </w:tc>
              <w:tc>
                <w:tcPr>
                  <w:tcW w:w="1640" w:type="dxa"/>
                  <w:tcBorders>
                    <w:top w:val="single" w:color="auto" w:sz="2" w:space="0"/>
                    <w:bottom w:val="single" w:color="auto" w:sz="2" w:space="0"/>
                    <w:right w:val="single" w:color="auto" w:sz="4" w:space="0"/>
                  </w:tcBorders>
                  <w:vAlign w:val="center"/>
                </w:tcPr>
                <w:p>
                  <w:pPr>
                    <w:jc w:val="center"/>
                    <w:rPr>
                      <w:szCs w:val="21"/>
                    </w:rPr>
                  </w:pPr>
                  <w:r>
                    <w:t>0.20</w:t>
                  </w:r>
                </w:p>
              </w:tc>
              <w:tc>
                <w:tcPr>
                  <w:tcW w:w="1975" w:type="dxa"/>
                  <w:tcBorders>
                    <w:top w:val="single" w:color="auto" w:sz="2" w:space="0"/>
                    <w:left w:val="single" w:color="auto" w:sz="4" w:space="0"/>
                    <w:bottom w:val="single" w:color="auto" w:sz="2" w:space="0"/>
                  </w:tcBorders>
                  <w:vAlign w:val="center"/>
                </w:tcPr>
                <w:p>
                  <w:pPr>
                    <w:jc w:val="center"/>
                    <w:rPr>
                      <w:szCs w:val="21"/>
                    </w:rPr>
                  </w:pPr>
                  <w:r>
                    <w:t>0.09</w:t>
                  </w:r>
                </w:p>
              </w:tc>
              <w:tc>
                <w:tcPr>
                  <w:tcW w:w="1418" w:type="dxa"/>
                  <w:tcBorders>
                    <w:top w:val="single" w:color="auto" w:sz="2" w:space="0"/>
                    <w:left w:val="single" w:color="auto" w:sz="4" w:space="0"/>
                    <w:bottom w:val="single" w:color="auto" w:sz="2" w:space="0"/>
                    <w:right w:val="nil"/>
                  </w:tcBorders>
                  <w:vAlign w:val="center"/>
                </w:tcPr>
                <w:p>
                  <w:pPr>
                    <w:jc w:val="center"/>
                    <w:rPr>
                      <w:szCs w:val="21"/>
                    </w:rPr>
                  </w:pPr>
                  <w:r>
                    <w:t>0.44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071" w:type="dxa"/>
                  <w:tcBorders>
                    <w:top w:val="single" w:color="auto" w:sz="2" w:space="0"/>
                    <w:left w:val="nil"/>
                    <w:bottom w:val="single" w:color="auto" w:sz="2" w:space="0"/>
                  </w:tcBorders>
                  <w:vAlign w:val="center"/>
                </w:tcPr>
                <w:p>
                  <w:pPr>
                    <w:jc w:val="center"/>
                    <w:rPr>
                      <w:szCs w:val="21"/>
                    </w:rPr>
                  </w:pPr>
                  <w:r>
                    <w:t>800.0</w:t>
                  </w:r>
                </w:p>
              </w:tc>
              <w:tc>
                <w:tcPr>
                  <w:tcW w:w="1689" w:type="dxa"/>
                  <w:tcBorders>
                    <w:top w:val="single" w:color="auto" w:sz="2" w:space="0"/>
                    <w:bottom w:val="single" w:color="auto" w:sz="2" w:space="0"/>
                  </w:tcBorders>
                  <w:vAlign w:val="center"/>
                </w:tcPr>
                <w:p>
                  <w:pPr>
                    <w:jc w:val="center"/>
                    <w:rPr>
                      <w:szCs w:val="21"/>
                    </w:rPr>
                  </w:pPr>
                  <w:r>
                    <w:t>1.73</w:t>
                  </w:r>
                </w:p>
              </w:tc>
              <w:tc>
                <w:tcPr>
                  <w:tcW w:w="1640" w:type="dxa"/>
                  <w:tcBorders>
                    <w:top w:val="single" w:color="auto" w:sz="2" w:space="0"/>
                    <w:bottom w:val="single" w:color="auto" w:sz="2" w:space="0"/>
                    <w:right w:val="single" w:color="auto" w:sz="4" w:space="0"/>
                  </w:tcBorders>
                  <w:vAlign w:val="center"/>
                </w:tcPr>
                <w:p>
                  <w:pPr>
                    <w:jc w:val="center"/>
                    <w:rPr>
                      <w:szCs w:val="21"/>
                    </w:rPr>
                  </w:pPr>
                  <w:r>
                    <w:t>0.19</w:t>
                  </w:r>
                </w:p>
              </w:tc>
              <w:tc>
                <w:tcPr>
                  <w:tcW w:w="1975" w:type="dxa"/>
                  <w:tcBorders>
                    <w:top w:val="single" w:color="auto" w:sz="2" w:space="0"/>
                    <w:left w:val="single" w:color="auto" w:sz="4" w:space="0"/>
                    <w:bottom w:val="single" w:color="auto" w:sz="2" w:space="0"/>
                  </w:tcBorders>
                  <w:vAlign w:val="center"/>
                </w:tcPr>
                <w:p>
                  <w:pPr>
                    <w:jc w:val="center"/>
                    <w:rPr>
                      <w:szCs w:val="21"/>
                    </w:rPr>
                  </w:pPr>
                  <w:r>
                    <w:t>0.08</w:t>
                  </w:r>
                </w:p>
              </w:tc>
              <w:tc>
                <w:tcPr>
                  <w:tcW w:w="1418" w:type="dxa"/>
                  <w:tcBorders>
                    <w:top w:val="single" w:color="auto" w:sz="2" w:space="0"/>
                    <w:left w:val="single" w:color="auto" w:sz="4" w:space="0"/>
                    <w:bottom w:val="single" w:color="auto" w:sz="2" w:space="0"/>
                    <w:right w:val="nil"/>
                  </w:tcBorders>
                  <w:vAlign w:val="center"/>
                </w:tcPr>
                <w:p>
                  <w:pPr>
                    <w:jc w:val="center"/>
                    <w:rPr>
                      <w:szCs w:val="21"/>
                    </w:rPr>
                  </w:pPr>
                  <w:r>
                    <w:t>0.41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175" w:hRule="atLeast"/>
              </w:trPr>
              <w:tc>
                <w:tcPr>
                  <w:tcW w:w="2071" w:type="dxa"/>
                  <w:tcBorders>
                    <w:top w:val="single" w:color="auto" w:sz="2" w:space="0"/>
                    <w:left w:val="nil"/>
                    <w:bottom w:val="single" w:color="auto" w:sz="2" w:space="0"/>
                  </w:tcBorders>
                  <w:vAlign w:val="center"/>
                </w:tcPr>
                <w:p>
                  <w:pPr>
                    <w:jc w:val="center"/>
                    <w:rPr>
                      <w:szCs w:val="21"/>
                    </w:rPr>
                  </w:pPr>
                  <w:r>
                    <w:t>900.0</w:t>
                  </w:r>
                </w:p>
              </w:tc>
              <w:tc>
                <w:tcPr>
                  <w:tcW w:w="1689" w:type="dxa"/>
                  <w:tcBorders>
                    <w:top w:val="single" w:color="auto" w:sz="2" w:space="0"/>
                    <w:bottom w:val="single" w:color="auto" w:sz="2" w:space="0"/>
                  </w:tcBorders>
                  <w:vAlign w:val="center"/>
                </w:tcPr>
                <w:p>
                  <w:pPr>
                    <w:jc w:val="center"/>
                    <w:rPr>
                      <w:szCs w:val="21"/>
                    </w:rPr>
                  </w:pPr>
                  <w:r>
                    <w:t>1.66</w:t>
                  </w:r>
                </w:p>
              </w:tc>
              <w:tc>
                <w:tcPr>
                  <w:tcW w:w="1640" w:type="dxa"/>
                  <w:tcBorders>
                    <w:top w:val="single" w:color="auto" w:sz="2" w:space="0"/>
                    <w:bottom w:val="single" w:color="auto" w:sz="2" w:space="0"/>
                    <w:right w:val="single" w:color="auto" w:sz="4" w:space="0"/>
                  </w:tcBorders>
                  <w:vAlign w:val="center"/>
                </w:tcPr>
                <w:p>
                  <w:pPr>
                    <w:jc w:val="center"/>
                    <w:rPr>
                      <w:szCs w:val="21"/>
                    </w:rPr>
                  </w:pPr>
                  <w:r>
                    <w:t>0.18</w:t>
                  </w:r>
                </w:p>
              </w:tc>
              <w:tc>
                <w:tcPr>
                  <w:tcW w:w="1975" w:type="dxa"/>
                  <w:tcBorders>
                    <w:top w:val="single" w:color="auto" w:sz="2" w:space="0"/>
                    <w:left w:val="single" w:color="auto" w:sz="4" w:space="0"/>
                    <w:bottom w:val="single" w:color="auto" w:sz="2" w:space="0"/>
                  </w:tcBorders>
                  <w:vAlign w:val="center"/>
                </w:tcPr>
                <w:p>
                  <w:pPr>
                    <w:jc w:val="center"/>
                    <w:rPr>
                      <w:szCs w:val="21"/>
                    </w:rPr>
                  </w:pPr>
                  <w:r>
                    <w:t>0.08</w:t>
                  </w:r>
                </w:p>
              </w:tc>
              <w:tc>
                <w:tcPr>
                  <w:tcW w:w="1418" w:type="dxa"/>
                  <w:tcBorders>
                    <w:top w:val="single" w:color="auto" w:sz="2" w:space="0"/>
                    <w:left w:val="single" w:color="auto" w:sz="4" w:space="0"/>
                    <w:bottom w:val="single" w:color="auto" w:sz="2" w:space="0"/>
                    <w:right w:val="nil"/>
                  </w:tcBorders>
                  <w:vAlign w:val="center"/>
                </w:tcPr>
                <w:p>
                  <w:pPr>
                    <w:jc w:val="center"/>
                    <w:rPr>
                      <w:szCs w:val="21"/>
                    </w:rPr>
                  </w:pPr>
                  <w:r>
                    <w:t>0.39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071" w:type="dxa"/>
                  <w:tcBorders>
                    <w:top w:val="single" w:color="auto" w:sz="2" w:space="0"/>
                    <w:left w:val="nil"/>
                    <w:bottom w:val="single" w:color="auto" w:sz="2" w:space="0"/>
                  </w:tcBorders>
                  <w:vAlign w:val="center"/>
                </w:tcPr>
                <w:p>
                  <w:pPr>
                    <w:jc w:val="center"/>
                    <w:rPr>
                      <w:szCs w:val="21"/>
                    </w:rPr>
                  </w:pPr>
                  <w:r>
                    <w:t>1000.0</w:t>
                  </w:r>
                </w:p>
              </w:tc>
              <w:tc>
                <w:tcPr>
                  <w:tcW w:w="1689" w:type="dxa"/>
                  <w:tcBorders>
                    <w:top w:val="single" w:color="auto" w:sz="2" w:space="0"/>
                    <w:bottom w:val="single" w:color="auto" w:sz="2" w:space="0"/>
                  </w:tcBorders>
                  <w:vAlign w:val="center"/>
                </w:tcPr>
                <w:p>
                  <w:pPr>
                    <w:jc w:val="center"/>
                    <w:rPr>
                      <w:szCs w:val="21"/>
                    </w:rPr>
                  </w:pPr>
                  <w:r>
                    <w:t>1.58</w:t>
                  </w:r>
                </w:p>
              </w:tc>
              <w:tc>
                <w:tcPr>
                  <w:tcW w:w="1640" w:type="dxa"/>
                  <w:tcBorders>
                    <w:top w:val="single" w:color="auto" w:sz="2" w:space="0"/>
                    <w:bottom w:val="single" w:color="auto" w:sz="2" w:space="0"/>
                    <w:right w:val="single" w:color="auto" w:sz="4" w:space="0"/>
                  </w:tcBorders>
                  <w:vAlign w:val="center"/>
                </w:tcPr>
                <w:p>
                  <w:pPr>
                    <w:jc w:val="center"/>
                    <w:rPr>
                      <w:szCs w:val="21"/>
                    </w:rPr>
                  </w:pPr>
                  <w:r>
                    <w:t>0.18</w:t>
                  </w:r>
                </w:p>
              </w:tc>
              <w:tc>
                <w:tcPr>
                  <w:tcW w:w="1975" w:type="dxa"/>
                  <w:tcBorders>
                    <w:top w:val="single" w:color="auto" w:sz="2" w:space="0"/>
                    <w:left w:val="single" w:color="auto" w:sz="4" w:space="0"/>
                    <w:bottom w:val="single" w:color="auto" w:sz="2" w:space="0"/>
                  </w:tcBorders>
                  <w:vAlign w:val="center"/>
                </w:tcPr>
                <w:p>
                  <w:pPr>
                    <w:jc w:val="center"/>
                    <w:rPr>
                      <w:szCs w:val="21"/>
                    </w:rPr>
                  </w:pPr>
                  <w:r>
                    <w:t>0.07</w:t>
                  </w:r>
                </w:p>
              </w:tc>
              <w:tc>
                <w:tcPr>
                  <w:tcW w:w="1418" w:type="dxa"/>
                  <w:tcBorders>
                    <w:top w:val="single" w:color="auto" w:sz="2" w:space="0"/>
                    <w:left w:val="single" w:color="auto" w:sz="4" w:space="0"/>
                    <w:bottom w:val="single" w:color="auto" w:sz="2" w:space="0"/>
                    <w:right w:val="nil"/>
                  </w:tcBorders>
                  <w:vAlign w:val="center"/>
                </w:tcPr>
                <w:p>
                  <w:pPr>
                    <w:jc w:val="center"/>
                    <w:rPr>
                      <w:szCs w:val="21"/>
                    </w:rPr>
                  </w:pPr>
                  <w:r>
                    <w:t>0.37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071" w:type="dxa"/>
                  <w:tcBorders>
                    <w:top w:val="single" w:color="auto" w:sz="2" w:space="0"/>
                    <w:left w:val="nil"/>
                    <w:bottom w:val="single" w:color="auto" w:sz="2" w:space="0"/>
                  </w:tcBorders>
                  <w:vAlign w:val="center"/>
                </w:tcPr>
                <w:p>
                  <w:pPr>
                    <w:jc w:val="center"/>
                    <w:rPr>
                      <w:szCs w:val="21"/>
                    </w:rPr>
                  </w:pPr>
                  <w:r>
                    <w:t>1200.0</w:t>
                  </w:r>
                </w:p>
              </w:tc>
              <w:tc>
                <w:tcPr>
                  <w:tcW w:w="1689" w:type="dxa"/>
                  <w:tcBorders>
                    <w:top w:val="single" w:color="auto" w:sz="2" w:space="0"/>
                    <w:bottom w:val="single" w:color="auto" w:sz="2" w:space="0"/>
                  </w:tcBorders>
                  <w:vAlign w:val="center"/>
                </w:tcPr>
                <w:p>
                  <w:pPr>
                    <w:jc w:val="center"/>
                    <w:rPr>
                      <w:szCs w:val="21"/>
                    </w:rPr>
                  </w:pPr>
                  <w:r>
                    <w:t>1.45</w:t>
                  </w:r>
                </w:p>
              </w:tc>
              <w:tc>
                <w:tcPr>
                  <w:tcW w:w="1640" w:type="dxa"/>
                  <w:tcBorders>
                    <w:top w:val="single" w:color="auto" w:sz="2" w:space="0"/>
                    <w:bottom w:val="single" w:color="auto" w:sz="2" w:space="0"/>
                    <w:right w:val="single" w:color="auto" w:sz="4" w:space="0"/>
                  </w:tcBorders>
                  <w:vAlign w:val="center"/>
                </w:tcPr>
                <w:p>
                  <w:pPr>
                    <w:jc w:val="center"/>
                    <w:rPr>
                      <w:szCs w:val="21"/>
                    </w:rPr>
                  </w:pPr>
                  <w:r>
                    <w:t>0.16</w:t>
                  </w:r>
                </w:p>
              </w:tc>
              <w:tc>
                <w:tcPr>
                  <w:tcW w:w="1975" w:type="dxa"/>
                  <w:tcBorders>
                    <w:top w:val="single" w:color="auto" w:sz="2" w:space="0"/>
                    <w:left w:val="single" w:color="auto" w:sz="4" w:space="0"/>
                    <w:bottom w:val="single" w:color="auto" w:sz="2" w:space="0"/>
                  </w:tcBorders>
                  <w:vAlign w:val="center"/>
                </w:tcPr>
                <w:p>
                  <w:pPr>
                    <w:jc w:val="center"/>
                    <w:rPr>
                      <w:szCs w:val="21"/>
                    </w:rPr>
                  </w:pPr>
                  <w:r>
                    <w:t>0.07</w:t>
                  </w:r>
                </w:p>
              </w:tc>
              <w:tc>
                <w:tcPr>
                  <w:tcW w:w="1418" w:type="dxa"/>
                  <w:tcBorders>
                    <w:top w:val="single" w:color="auto" w:sz="2" w:space="0"/>
                    <w:left w:val="single" w:color="auto" w:sz="4" w:space="0"/>
                    <w:bottom w:val="single" w:color="auto" w:sz="2" w:space="0"/>
                    <w:right w:val="nil"/>
                  </w:tcBorders>
                  <w:vAlign w:val="center"/>
                </w:tcPr>
                <w:p>
                  <w:pPr>
                    <w:jc w:val="center"/>
                    <w:rPr>
                      <w:szCs w:val="21"/>
                    </w:rPr>
                  </w:pPr>
                  <w:r>
                    <w:t>0.34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071" w:type="dxa"/>
                  <w:tcBorders>
                    <w:top w:val="single" w:color="auto" w:sz="2" w:space="0"/>
                    <w:left w:val="nil"/>
                    <w:bottom w:val="single" w:color="auto" w:sz="2" w:space="0"/>
                  </w:tcBorders>
                  <w:vAlign w:val="center"/>
                </w:tcPr>
                <w:p>
                  <w:pPr>
                    <w:jc w:val="center"/>
                    <w:rPr>
                      <w:szCs w:val="21"/>
                    </w:rPr>
                  </w:pPr>
                  <w:r>
                    <w:t>1400.0</w:t>
                  </w:r>
                </w:p>
              </w:tc>
              <w:tc>
                <w:tcPr>
                  <w:tcW w:w="1689" w:type="dxa"/>
                  <w:tcBorders>
                    <w:top w:val="single" w:color="auto" w:sz="2" w:space="0"/>
                    <w:bottom w:val="single" w:color="auto" w:sz="2" w:space="0"/>
                  </w:tcBorders>
                  <w:vAlign w:val="center"/>
                </w:tcPr>
                <w:p>
                  <w:pPr>
                    <w:jc w:val="center"/>
                    <w:rPr>
                      <w:szCs w:val="21"/>
                    </w:rPr>
                  </w:pPr>
                  <w:r>
                    <w:t>1.39</w:t>
                  </w:r>
                </w:p>
              </w:tc>
              <w:tc>
                <w:tcPr>
                  <w:tcW w:w="1640" w:type="dxa"/>
                  <w:tcBorders>
                    <w:top w:val="single" w:color="auto" w:sz="2" w:space="0"/>
                    <w:bottom w:val="single" w:color="auto" w:sz="2" w:space="0"/>
                    <w:right w:val="single" w:color="auto" w:sz="4" w:space="0"/>
                  </w:tcBorders>
                  <w:vAlign w:val="center"/>
                </w:tcPr>
                <w:p>
                  <w:pPr>
                    <w:jc w:val="center"/>
                    <w:rPr>
                      <w:szCs w:val="21"/>
                    </w:rPr>
                  </w:pPr>
                  <w:r>
                    <w:t>0.15</w:t>
                  </w:r>
                </w:p>
              </w:tc>
              <w:tc>
                <w:tcPr>
                  <w:tcW w:w="1975" w:type="dxa"/>
                  <w:tcBorders>
                    <w:top w:val="single" w:color="auto" w:sz="2" w:space="0"/>
                    <w:left w:val="single" w:color="auto" w:sz="4" w:space="0"/>
                    <w:bottom w:val="single" w:color="auto" w:sz="2" w:space="0"/>
                  </w:tcBorders>
                  <w:vAlign w:val="center"/>
                </w:tcPr>
                <w:p>
                  <w:pPr>
                    <w:jc w:val="center"/>
                    <w:rPr>
                      <w:szCs w:val="21"/>
                    </w:rPr>
                  </w:pPr>
                  <w:r>
                    <w:t>0.07</w:t>
                  </w:r>
                </w:p>
              </w:tc>
              <w:tc>
                <w:tcPr>
                  <w:tcW w:w="1418" w:type="dxa"/>
                  <w:tcBorders>
                    <w:top w:val="single" w:color="auto" w:sz="2" w:space="0"/>
                    <w:left w:val="single" w:color="auto" w:sz="4" w:space="0"/>
                    <w:bottom w:val="single" w:color="auto" w:sz="2" w:space="0"/>
                    <w:right w:val="nil"/>
                  </w:tcBorders>
                  <w:vAlign w:val="center"/>
                </w:tcPr>
                <w:p>
                  <w:pPr>
                    <w:jc w:val="center"/>
                    <w:rPr>
                      <w:szCs w:val="21"/>
                    </w:rPr>
                  </w:pPr>
                  <w:r>
                    <w:t>0.33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071" w:type="dxa"/>
                  <w:tcBorders>
                    <w:top w:val="single" w:color="auto" w:sz="2" w:space="0"/>
                    <w:left w:val="nil"/>
                    <w:bottom w:val="single" w:color="auto" w:sz="2" w:space="0"/>
                  </w:tcBorders>
                  <w:vAlign w:val="center"/>
                </w:tcPr>
                <w:p>
                  <w:pPr>
                    <w:jc w:val="center"/>
                    <w:rPr>
                      <w:szCs w:val="21"/>
                    </w:rPr>
                  </w:pPr>
                  <w:r>
                    <w:t>1600.0</w:t>
                  </w:r>
                </w:p>
              </w:tc>
              <w:tc>
                <w:tcPr>
                  <w:tcW w:w="1689" w:type="dxa"/>
                  <w:tcBorders>
                    <w:top w:val="single" w:color="auto" w:sz="2" w:space="0"/>
                    <w:bottom w:val="single" w:color="auto" w:sz="2" w:space="0"/>
                  </w:tcBorders>
                  <w:vAlign w:val="center"/>
                </w:tcPr>
                <w:p>
                  <w:pPr>
                    <w:jc w:val="center"/>
                    <w:rPr>
                      <w:szCs w:val="21"/>
                    </w:rPr>
                  </w:pPr>
                  <w:r>
                    <w:t>1.30</w:t>
                  </w:r>
                </w:p>
              </w:tc>
              <w:tc>
                <w:tcPr>
                  <w:tcW w:w="1640" w:type="dxa"/>
                  <w:tcBorders>
                    <w:top w:val="single" w:color="auto" w:sz="2" w:space="0"/>
                    <w:bottom w:val="single" w:color="auto" w:sz="2" w:space="0"/>
                    <w:right w:val="single" w:color="auto" w:sz="4" w:space="0"/>
                  </w:tcBorders>
                  <w:vAlign w:val="center"/>
                </w:tcPr>
                <w:p>
                  <w:pPr>
                    <w:jc w:val="center"/>
                    <w:rPr>
                      <w:szCs w:val="21"/>
                    </w:rPr>
                  </w:pPr>
                  <w:r>
                    <w:t>0.14</w:t>
                  </w:r>
                </w:p>
              </w:tc>
              <w:tc>
                <w:tcPr>
                  <w:tcW w:w="1975" w:type="dxa"/>
                  <w:tcBorders>
                    <w:top w:val="single" w:color="auto" w:sz="2" w:space="0"/>
                    <w:left w:val="single" w:color="auto" w:sz="4" w:space="0"/>
                    <w:bottom w:val="single" w:color="auto" w:sz="2" w:space="0"/>
                  </w:tcBorders>
                  <w:vAlign w:val="center"/>
                </w:tcPr>
                <w:p>
                  <w:pPr>
                    <w:jc w:val="center"/>
                    <w:rPr>
                      <w:szCs w:val="21"/>
                    </w:rPr>
                  </w:pPr>
                  <w:r>
                    <w:t>0.06</w:t>
                  </w:r>
                </w:p>
              </w:tc>
              <w:tc>
                <w:tcPr>
                  <w:tcW w:w="1418" w:type="dxa"/>
                  <w:tcBorders>
                    <w:top w:val="single" w:color="auto" w:sz="2" w:space="0"/>
                    <w:left w:val="single" w:color="auto" w:sz="4" w:space="0"/>
                    <w:bottom w:val="single" w:color="auto" w:sz="2" w:space="0"/>
                    <w:right w:val="nil"/>
                  </w:tcBorders>
                  <w:vAlign w:val="center"/>
                </w:tcPr>
                <w:p>
                  <w:pPr>
                    <w:jc w:val="center"/>
                    <w:rPr>
                      <w:szCs w:val="21"/>
                    </w:rPr>
                  </w:pPr>
                  <w:r>
                    <w:t>0.31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071" w:type="dxa"/>
                  <w:tcBorders>
                    <w:top w:val="single" w:color="auto" w:sz="2" w:space="0"/>
                    <w:left w:val="nil"/>
                    <w:bottom w:val="single" w:color="auto" w:sz="2" w:space="0"/>
                  </w:tcBorders>
                  <w:vAlign w:val="center"/>
                </w:tcPr>
                <w:p>
                  <w:pPr>
                    <w:jc w:val="center"/>
                    <w:rPr>
                      <w:szCs w:val="21"/>
                    </w:rPr>
                  </w:pPr>
                  <w:r>
                    <w:t>1800.0</w:t>
                  </w:r>
                </w:p>
              </w:tc>
              <w:tc>
                <w:tcPr>
                  <w:tcW w:w="1689" w:type="dxa"/>
                  <w:tcBorders>
                    <w:top w:val="single" w:color="auto" w:sz="2" w:space="0"/>
                    <w:bottom w:val="single" w:color="auto" w:sz="2" w:space="0"/>
                  </w:tcBorders>
                  <w:vAlign w:val="center"/>
                </w:tcPr>
                <w:p>
                  <w:pPr>
                    <w:jc w:val="center"/>
                    <w:rPr>
                      <w:szCs w:val="21"/>
                    </w:rPr>
                  </w:pPr>
                  <w:r>
                    <w:t>1.21</w:t>
                  </w:r>
                </w:p>
              </w:tc>
              <w:tc>
                <w:tcPr>
                  <w:tcW w:w="1640" w:type="dxa"/>
                  <w:tcBorders>
                    <w:top w:val="single" w:color="auto" w:sz="2" w:space="0"/>
                    <w:bottom w:val="single" w:color="auto" w:sz="2" w:space="0"/>
                    <w:right w:val="single" w:color="auto" w:sz="4" w:space="0"/>
                  </w:tcBorders>
                  <w:vAlign w:val="center"/>
                </w:tcPr>
                <w:p>
                  <w:pPr>
                    <w:jc w:val="center"/>
                    <w:rPr>
                      <w:szCs w:val="21"/>
                    </w:rPr>
                  </w:pPr>
                  <w:r>
                    <w:t>0.13</w:t>
                  </w:r>
                </w:p>
              </w:tc>
              <w:tc>
                <w:tcPr>
                  <w:tcW w:w="1975" w:type="dxa"/>
                  <w:tcBorders>
                    <w:top w:val="single" w:color="auto" w:sz="2" w:space="0"/>
                    <w:left w:val="single" w:color="auto" w:sz="4" w:space="0"/>
                    <w:bottom w:val="single" w:color="auto" w:sz="2" w:space="0"/>
                  </w:tcBorders>
                  <w:vAlign w:val="center"/>
                </w:tcPr>
                <w:p>
                  <w:pPr>
                    <w:jc w:val="center"/>
                    <w:rPr>
                      <w:szCs w:val="21"/>
                    </w:rPr>
                  </w:pPr>
                  <w:r>
                    <w:t>0.06</w:t>
                  </w:r>
                </w:p>
              </w:tc>
              <w:tc>
                <w:tcPr>
                  <w:tcW w:w="1418" w:type="dxa"/>
                  <w:tcBorders>
                    <w:top w:val="single" w:color="auto" w:sz="2" w:space="0"/>
                    <w:left w:val="single" w:color="auto" w:sz="4" w:space="0"/>
                    <w:bottom w:val="single" w:color="auto" w:sz="2" w:space="0"/>
                    <w:right w:val="nil"/>
                  </w:tcBorders>
                  <w:vAlign w:val="center"/>
                </w:tcPr>
                <w:p>
                  <w:pPr>
                    <w:jc w:val="center"/>
                    <w:rPr>
                      <w:szCs w:val="21"/>
                    </w:rPr>
                  </w:pPr>
                  <w:r>
                    <w:t>0.29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071" w:type="dxa"/>
                  <w:tcBorders>
                    <w:top w:val="single" w:color="auto" w:sz="2" w:space="0"/>
                    <w:left w:val="nil"/>
                    <w:bottom w:val="single" w:color="auto" w:sz="2" w:space="0"/>
                  </w:tcBorders>
                  <w:vAlign w:val="center"/>
                </w:tcPr>
                <w:p>
                  <w:pPr>
                    <w:jc w:val="center"/>
                    <w:rPr>
                      <w:szCs w:val="21"/>
                    </w:rPr>
                  </w:pPr>
                  <w:r>
                    <w:t>2000.0</w:t>
                  </w:r>
                </w:p>
              </w:tc>
              <w:tc>
                <w:tcPr>
                  <w:tcW w:w="1689" w:type="dxa"/>
                  <w:tcBorders>
                    <w:top w:val="single" w:color="auto" w:sz="2" w:space="0"/>
                    <w:bottom w:val="single" w:color="auto" w:sz="2" w:space="0"/>
                  </w:tcBorders>
                  <w:vAlign w:val="center"/>
                </w:tcPr>
                <w:p>
                  <w:pPr>
                    <w:tabs>
                      <w:tab w:val="left" w:pos="1340"/>
                    </w:tabs>
                    <w:jc w:val="center"/>
                    <w:rPr>
                      <w:szCs w:val="21"/>
                    </w:rPr>
                  </w:pPr>
                  <w:r>
                    <w:t>1.12</w:t>
                  </w:r>
                </w:p>
              </w:tc>
              <w:tc>
                <w:tcPr>
                  <w:tcW w:w="1640" w:type="dxa"/>
                  <w:tcBorders>
                    <w:top w:val="single" w:color="auto" w:sz="2" w:space="0"/>
                    <w:bottom w:val="single" w:color="auto" w:sz="2" w:space="0"/>
                    <w:right w:val="single" w:color="auto" w:sz="4" w:space="0"/>
                  </w:tcBorders>
                  <w:vAlign w:val="center"/>
                </w:tcPr>
                <w:p>
                  <w:pPr>
                    <w:jc w:val="center"/>
                    <w:rPr>
                      <w:szCs w:val="21"/>
                    </w:rPr>
                  </w:pPr>
                  <w:r>
                    <w:t>0.12</w:t>
                  </w:r>
                </w:p>
              </w:tc>
              <w:tc>
                <w:tcPr>
                  <w:tcW w:w="1975" w:type="dxa"/>
                  <w:tcBorders>
                    <w:top w:val="single" w:color="auto" w:sz="2" w:space="0"/>
                    <w:left w:val="single" w:color="auto" w:sz="4" w:space="0"/>
                    <w:bottom w:val="single" w:color="auto" w:sz="2" w:space="0"/>
                  </w:tcBorders>
                  <w:vAlign w:val="center"/>
                </w:tcPr>
                <w:p>
                  <w:pPr>
                    <w:jc w:val="center"/>
                    <w:rPr>
                      <w:szCs w:val="21"/>
                    </w:rPr>
                  </w:pPr>
                  <w:r>
                    <w:t>0.05</w:t>
                  </w:r>
                </w:p>
              </w:tc>
              <w:tc>
                <w:tcPr>
                  <w:tcW w:w="1418" w:type="dxa"/>
                  <w:tcBorders>
                    <w:top w:val="single" w:color="auto" w:sz="2" w:space="0"/>
                    <w:left w:val="single" w:color="auto" w:sz="4" w:space="0"/>
                    <w:bottom w:val="single" w:color="auto" w:sz="2" w:space="0"/>
                    <w:right w:val="nil"/>
                  </w:tcBorders>
                  <w:vAlign w:val="center"/>
                </w:tcPr>
                <w:p>
                  <w:pPr>
                    <w:jc w:val="center"/>
                    <w:rPr>
                      <w:szCs w:val="21"/>
                    </w:rPr>
                  </w:pPr>
                  <w:r>
                    <w:t>0.27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175" w:hRule="atLeast"/>
              </w:trPr>
              <w:tc>
                <w:tcPr>
                  <w:tcW w:w="2071" w:type="dxa"/>
                  <w:tcBorders>
                    <w:top w:val="single" w:color="auto" w:sz="2" w:space="0"/>
                    <w:left w:val="nil"/>
                    <w:bottom w:val="single" w:color="auto" w:sz="2" w:space="0"/>
                  </w:tcBorders>
                  <w:vAlign w:val="center"/>
                </w:tcPr>
                <w:p>
                  <w:pPr>
                    <w:jc w:val="center"/>
                    <w:rPr>
                      <w:szCs w:val="21"/>
                    </w:rPr>
                  </w:pPr>
                  <w:r>
                    <w:t>2500.0</w:t>
                  </w:r>
                </w:p>
              </w:tc>
              <w:tc>
                <w:tcPr>
                  <w:tcW w:w="1689" w:type="dxa"/>
                  <w:tcBorders>
                    <w:top w:val="single" w:color="auto" w:sz="2" w:space="0"/>
                    <w:bottom w:val="single" w:color="auto" w:sz="2" w:space="0"/>
                  </w:tcBorders>
                  <w:vAlign w:val="center"/>
                </w:tcPr>
                <w:p>
                  <w:pPr>
                    <w:jc w:val="center"/>
                    <w:rPr>
                      <w:szCs w:val="21"/>
                    </w:rPr>
                  </w:pPr>
                  <w:r>
                    <w:t>0.93</w:t>
                  </w:r>
                </w:p>
              </w:tc>
              <w:tc>
                <w:tcPr>
                  <w:tcW w:w="1640" w:type="dxa"/>
                  <w:tcBorders>
                    <w:top w:val="single" w:color="auto" w:sz="2" w:space="0"/>
                    <w:bottom w:val="single" w:color="auto" w:sz="2" w:space="0"/>
                    <w:right w:val="single" w:color="auto" w:sz="4" w:space="0"/>
                  </w:tcBorders>
                  <w:vAlign w:val="center"/>
                </w:tcPr>
                <w:p>
                  <w:pPr>
                    <w:jc w:val="center"/>
                    <w:rPr>
                      <w:szCs w:val="21"/>
                    </w:rPr>
                  </w:pPr>
                  <w:r>
                    <w:t>0.10</w:t>
                  </w:r>
                </w:p>
              </w:tc>
              <w:tc>
                <w:tcPr>
                  <w:tcW w:w="1975" w:type="dxa"/>
                  <w:tcBorders>
                    <w:top w:val="single" w:color="auto" w:sz="2" w:space="0"/>
                    <w:left w:val="single" w:color="auto" w:sz="4" w:space="0"/>
                    <w:bottom w:val="single" w:color="auto" w:sz="2" w:space="0"/>
                  </w:tcBorders>
                  <w:vAlign w:val="center"/>
                </w:tcPr>
                <w:p>
                  <w:pPr>
                    <w:jc w:val="center"/>
                    <w:rPr>
                      <w:szCs w:val="21"/>
                    </w:rPr>
                  </w:pPr>
                  <w:r>
                    <w:t>0.04</w:t>
                  </w:r>
                </w:p>
              </w:tc>
              <w:tc>
                <w:tcPr>
                  <w:tcW w:w="1418" w:type="dxa"/>
                  <w:tcBorders>
                    <w:top w:val="single" w:color="auto" w:sz="2" w:space="0"/>
                    <w:left w:val="single" w:color="auto" w:sz="4" w:space="0"/>
                    <w:bottom w:val="single" w:color="auto" w:sz="2" w:space="0"/>
                    <w:right w:val="nil"/>
                  </w:tcBorders>
                  <w:vAlign w:val="center"/>
                </w:tcPr>
                <w:p>
                  <w:pPr>
                    <w:jc w:val="center"/>
                    <w:rPr>
                      <w:szCs w:val="21"/>
                    </w:rPr>
                  </w:pPr>
                  <w:r>
                    <w:t>0.22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33" w:hRule="atLeast"/>
              </w:trPr>
              <w:tc>
                <w:tcPr>
                  <w:tcW w:w="2071" w:type="dxa"/>
                  <w:tcBorders>
                    <w:top w:val="single" w:color="auto" w:sz="2" w:space="0"/>
                    <w:left w:val="nil"/>
                    <w:bottom w:val="single" w:color="auto" w:sz="2" w:space="0"/>
                  </w:tcBorders>
                  <w:vAlign w:val="center"/>
                </w:tcPr>
                <w:p>
                  <w:pPr>
                    <w:widowControl/>
                    <w:adjustRightInd w:val="0"/>
                    <w:snapToGrid w:val="0"/>
                    <w:spacing w:line="240" w:lineRule="atLeast"/>
                    <w:jc w:val="center"/>
                    <w:textAlignment w:val="center"/>
                    <w:rPr>
                      <w:szCs w:val="21"/>
                    </w:rPr>
                  </w:pPr>
                  <w:r>
                    <w:rPr>
                      <w:szCs w:val="21"/>
                    </w:rPr>
                    <w:t>最大落地浓度及其占标率</w:t>
                  </w:r>
                </w:p>
              </w:tc>
              <w:tc>
                <w:tcPr>
                  <w:tcW w:w="1689" w:type="dxa"/>
                  <w:tcBorders>
                    <w:top w:val="single" w:color="auto" w:sz="2" w:space="0"/>
                    <w:bottom w:val="single" w:color="auto" w:sz="2" w:space="0"/>
                  </w:tcBorders>
                  <w:vAlign w:val="center"/>
                </w:tcPr>
                <w:p>
                  <w:pPr>
                    <w:jc w:val="center"/>
                    <w:rPr>
                      <w:b/>
                      <w:szCs w:val="21"/>
                    </w:rPr>
                  </w:pPr>
                  <w:r>
                    <w:t>3.03</w:t>
                  </w:r>
                </w:p>
              </w:tc>
              <w:tc>
                <w:tcPr>
                  <w:tcW w:w="1640" w:type="dxa"/>
                  <w:tcBorders>
                    <w:top w:val="single" w:color="auto" w:sz="2" w:space="0"/>
                    <w:bottom w:val="single" w:color="auto" w:sz="2" w:space="0"/>
                    <w:right w:val="single" w:color="auto" w:sz="4" w:space="0"/>
                  </w:tcBorders>
                  <w:vAlign w:val="center"/>
                </w:tcPr>
                <w:p>
                  <w:pPr>
                    <w:jc w:val="center"/>
                    <w:rPr>
                      <w:b/>
                      <w:szCs w:val="21"/>
                    </w:rPr>
                  </w:pPr>
                  <w:r>
                    <w:t>0.34</w:t>
                  </w:r>
                </w:p>
              </w:tc>
              <w:tc>
                <w:tcPr>
                  <w:tcW w:w="1975" w:type="dxa"/>
                  <w:tcBorders>
                    <w:top w:val="single" w:color="auto" w:sz="2" w:space="0"/>
                    <w:left w:val="single" w:color="auto" w:sz="4" w:space="0"/>
                    <w:bottom w:val="single" w:color="auto" w:sz="2" w:space="0"/>
                  </w:tcBorders>
                  <w:vAlign w:val="center"/>
                </w:tcPr>
                <w:p>
                  <w:pPr>
                    <w:jc w:val="center"/>
                    <w:rPr>
                      <w:b/>
                      <w:szCs w:val="21"/>
                    </w:rPr>
                  </w:pPr>
                  <w:r>
                    <w:t>0.14</w:t>
                  </w:r>
                </w:p>
              </w:tc>
              <w:tc>
                <w:tcPr>
                  <w:tcW w:w="1418" w:type="dxa"/>
                  <w:tcBorders>
                    <w:top w:val="single" w:color="auto" w:sz="2" w:space="0"/>
                    <w:left w:val="single" w:color="auto" w:sz="4" w:space="0"/>
                    <w:bottom w:val="single" w:color="auto" w:sz="2" w:space="0"/>
                    <w:right w:val="nil"/>
                  </w:tcBorders>
                  <w:vAlign w:val="center"/>
                </w:tcPr>
                <w:p>
                  <w:pPr>
                    <w:jc w:val="center"/>
                    <w:rPr>
                      <w:b/>
                      <w:szCs w:val="21"/>
                    </w:rPr>
                  </w:pPr>
                  <w:r>
                    <w:t>0.72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57" w:type="dxa"/>
                  <w:left w:w="0" w:type="dxa"/>
                  <w:bottom w:w="28" w:type="dxa"/>
                  <w:right w:w="0" w:type="dxa"/>
                </w:tblCellMar>
              </w:tblPrEx>
              <w:trPr>
                <w:trHeight w:val="339" w:hRule="atLeast"/>
              </w:trPr>
              <w:tc>
                <w:tcPr>
                  <w:tcW w:w="2071" w:type="dxa"/>
                  <w:tcBorders>
                    <w:top w:val="single" w:color="auto" w:sz="2" w:space="0"/>
                    <w:left w:val="nil"/>
                    <w:bottom w:val="single" w:color="auto" w:sz="12" w:space="0"/>
                  </w:tcBorders>
                  <w:vAlign w:val="center"/>
                </w:tcPr>
                <w:p>
                  <w:pPr>
                    <w:widowControl/>
                    <w:adjustRightInd w:val="0"/>
                    <w:snapToGrid w:val="0"/>
                    <w:spacing w:line="240" w:lineRule="atLeast"/>
                    <w:jc w:val="center"/>
                    <w:textAlignment w:val="center"/>
                    <w:rPr>
                      <w:szCs w:val="21"/>
                    </w:rPr>
                  </w:pPr>
                  <w:r>
                    <w:rPr>
                      <w:szCs w:val="21"/>
                    </w:rPr>
                    <w:t>最大落地浓度距源中心距离</w:t>
                  </w:r>
                </w:p>
              </w:tc>
              <w:tc>
                <w:tcPr>
                  <w:tcW w:w="6722" w:type="dxa"/>
                  <w:gridSpan w:val="4"/>
                  <w:tcBorders>
                    <w:top w:val="single" w:color="auto" w:sz="2" w:space="0"/>
                    <w:bottom w:val="single" w:color="auto" w:sz="12" w:space="0"/>
                    <w:right w:val="nil"/>
                  </w:tcBorders>
                  <w:vAlign w:val="center"/>
                </w:tcPr>
                <w:p>
                  <w:pPr>
                    <w:widowControl/>
                    <w:adjustRightInd w:val="0"/>
                    <w:snapToGrid w:val="0"/>
                    <w:spacing w:line="240" w:lineRule="atLeast"/>
                    <w:jc w:val="center"/>
                    <w:textAlignment w:val="center"/>
                    <w:rPr>
                      <w:b/>
                      <w:szCs w:val="21"/>
                    </w:rPr>
                  </w:pPr>
                  <w:r>
                    <w:rPr>
                      <w:rFonts w:hint="eastAsia"/>
                      <w:b/>
                      <w:szCs w:val="21"/>
                    </w:rPr>
                    <w:t>99</w:t>
                  </w:r>
                  <w:r>
                    <w:rPr>
                      <w:b/>
                      <w:szCs w:val="21"/>
                    </w:rPr>
                    <w:t>m</w:t>
                  </w:r>
                </w:p>
              </w:tc>
            </w:tr>
          </w:tbl>
          <w:p>
            <w:pPr>
              <w:jc w:val="center"/>
              <w:rPr>
                <w:rFonts w:hAnsi="宋体"/>
                <w:b/>
              </w:rPr>
            </w:pPr>
            <w:r>
              <w:rPr>
                <w:rFonts w:hint="eastAsia" w:hAnsi="宋体"/>
                <w:b/>
              </w:rPr>
              <w:t>表42   破碎废气污染物排放</w:t>
            </w:r>
            <w:r>
              <w:rPr>
                <w:rFonts w:hAnsi="宋体"/>
                <w:b/>
              </w:rPr>
              <w:t>影响预测结果统计</w:t>
            </w:r>
            <w:r>
              <w:rPr>
                <w:rFonts w:hint="eastAsia" w:hAnsi="宋体"/>
                <w:b/>
              </w:rPr>
              <w:t>表</w:t>
            </w:r>
          </w:p>
          <w:tbl>
            <w:tblPr>
              <w:tblStyle w:val="24"/>
              <w:tblW w:w="5000"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078"/>
              <w:gridCol w:w="2711"/>
              <w:gridCol w:w="303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744" w:type="pct"/>
                  <w:vMerge w:val="restart"/>
                  <w:vAlign w:val="center"/>
                </w:tcPr>
                <w:p>
                  <w:pPr>
                    <w:jc w:val="center"/>
                  </w:pPr>
                  <w:r>
                    <w:t>下方向距离(m)</w:t>
                  </w:r>
                </w:p>
              </w:tc>
              <w:tc>
                <w:tcPr>
                  <w:tcW w:w="3256" w:type="pct"/>
                  <w:gridSpan w:val="2"/>
                  <w:vAlign w:val="center"/>
                </w:tcPr>
                <w:p>
                  <w:pPr>
                    <w:jc w:val="center"/>
                  </w:pPr>
                  <w:r>
                    <w:t>破碎</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571" w:hRule="atLeast"/>
              </w:trPr>
              <w:tc>
                <w:tcPr>
                  <w:tcW w:w="1744" w:type="pct"/>
                  <w:vMerge w:val="continue"/>
                  <w:vAlign w:val="center"/>
                </w:tcPr>
                <w:p/>
              </w:tc>
              <w:tc>
                <w:tcPr>
                  <w:tcW w:w="1536" w:type="pct"/>
                  <w:vAlign w:val="center"/>
                </w:tcPr>
                <w:p>
                  <w:pPr>
                    <w:jc w:val="center"/>
                  </w:pPr>
                  <w:r>
                    <w:t>TSP浓度（ug/m3）</w:t>
                  </w:r>
                </w:p>
              </w:tc>
              <w:tc>
                <w:tcPr>
                  <w:tcW w:w="1720" w:type="pct"/>
                  <w:vAlign w:val="center"/>
                </w:tcPr>
                <w:p>
                  <w:pPr>
                    <w:jc w:val="center"/>
                  </w:pPr>
                  <w:r>
                    <w:t>TSP占标率（%）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1744" w:type="pct"/>
                  <w:vAlign w:val="center"/>
                </w:tcPr>
                <w:p>
                  <w:pPr>
                    <w:jc w:val="center"/>
                  </w:pPr>
                  <w:r>
                    <w:t>50.0</w:t>
                  </w:r>
                </w:p>
              </w:tc>
              <w:tc>
                <w:tcPr>
                  <w:tcW w:w="1536" w:type="pct"/>
                  <w:vAlign w:val="center"/>
                </w:tcPr>
                <w:p>
                  <w:pPr>
                    <w:jc w:val="center"/>
                  </w:pPr>
                  <w:r>
                    <w:t>3.65</w:t>
                  </w:r>
                </w:p>
              </w:tc>
              <w:tc>
                <w:tcPr>
                  <w:tcW w:w="1720" w:type="pct"/>
                  <w:vAlign w:val="center"/>
                </w:tcPr>
                <w:p>
                  <w:pPr>
                    <w:jc w:val="center"/>
                  </w:pPr>
                  <w:r>
                    <w:t>0.40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1744" w:type="pct"/>
                  <w:vAlign w:val="center"/>
                </w:tcPr>
                <w:p>
                  <w:pPr>
                    <w:jc w:val="center"/>
                  </w:pPr>
                  <w:r>
                    <w:t>100.0</w:t>
                  </w:r>
                </w:p>
              </w:tc>
              <w:tc>
                <w:tcPr>
                  <w:tcW w:w="1536" w:type="pct"/>
                  <w:vAlign w:val="center"/>
                </w:tcPr>
                <w:p>
                  <w:pPr>
                    <w:jc w:val="center"/>
                  </w:pPr>
                  <w:r>
                    <w:t>5.32</w:t>
                  </w:r>
                </w:p>
              </w:tc>
              <w:tc>
                <w:tcPr>
                  <w:tcW w:w="1720" w:type="pct"/>
                  <w:vAlign w:val="center"/>
                </w:tcPr>
                <w:p>
                  <w:pPr>
                    <w:jc w:val="center"/>
                  </w:pPr>
                  <w:r>
                    <w:t>0.59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1744" w:type="pct"/>
                  <w:vAlign w:val="center"/>
                </w:tcPr>
                <w:p>
                  <w:pPr>
                    <w:jc w:val="center"/>
                  </w:pPr>
                  <w:r>
                    <w:t>200.0</w:t>
                  </w:r>
                </w:p>
              </w:tc>
              <w:tc>
                <w:tcPr>
                  <w:tcW w:w="1536" w:type="pct"/>
                  <w:vAlign w:val="center"/>
                </w:tcPr>
                <w:p>
                  <w:pPr>
                    <w:jc w:val="center"/>
                  </w:pPr>
                  <w:r>
                    <w:t>5.24</w:t>
                  </w:r>
                </w:p>
              </w:tc>
              <w:tc>
                <w:tcPr>
                  <w:tcW w:w="1720" w:type="pct"/>
                  <w:vAlign w:val="center"/>
                </w:tcPr>
                <w:p>
                  <w:pPr>
                    <w:jc w:val="center"/>
                  </w:pPr>
                  <w:r>
                    <w:t>0.58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300" w:hRule="atLeast"/>
              </w:trPr>
              <w:tc>
                <w:tcPr>
                  <w:tcW w:w="1744" w:type="pct"/>
                  <w:vAlign w:val="center"/>
                </w:tcPr>
                <w:p>
                  <w:pPr>
                    <w:jc w:val="center"/>
                  </w:pPr>
                  <w:r>
                    <w:t>300.0</w:t>
                  </w:r>
                </w:p>
              </w:tc>
              <w:tc>
                <w:tcPr>
                  <w:tcW w:w="1536" w:type="pct"/>
                  <w:vAlign w:val="center"/>
                </w:tcPr>
                <w:p>
                  <w:pPr>
                    <w:jc w:val="center"/>
                  </w:pPr>
                  <w:r>
                    <w:t>4.53</w:t>
                  </w:r>
                </w:p>
              </w:tc>
              <w:tc>
                <w:tcPr>
                  <w:tcW w:w="1720" w:type="pct"/>
                  <w:vAlign w:val="center"/>
                </w:tcPr>
                <w:p>
                  <w:pPr>
                    <w:jc w:val="center"/>
                  </w:pPr>
                  <w:r>
                    <w:t>0.50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1744" w:type="pct"/>
                  <w:vAlign w:val="center"/>
                </w:tcPr>
                <w:p>
                  <w:pPr>
                    <w:jc w:val="center"/>
                  </w:pPr>
                  <w:r>
                    <w:t>400.0</w:t>
                  </w:r>
                </w:p>
              </w:tc>
              <w:tc>
                <w:tcPr>
                  <w:tcW w:w="1536" w:type="pct"/>
                  <w:vAlign w:val="center"/>
                </w:tcPr>
                <w:p>
                  <w:pPr>
                    <w:jc w:val="center"/>
                  </w:pPr>
                  <w:r>
                    <w:t>3.61</w:t>
                  </w:r>
                </w:p>
              </w:tc>
              <w:tc>
                <w:tcPr>
                  <w:tcW w:w="1720" w:type="pct"/>
                  <w:vAlign w:val="center"/>
                </w:tcPr>
                <w:p>
                  <w:pPr>
                    <w:jc w:val="center"/>
                  </w:pPr>
                  <w:r>
                    <w:t>0.40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1744" w:type="pct"/>
                  <w:vAlign w:val="center"/>
                </w:tcPr>
                <w:p>
                  <w:pPr>
                    <w:jc w:val="center"/>
                  </w:pPr>
                  <w:r>
                    <w:t>500.0</w:t>
                  </w:r>
                </w:p>
              </w:tc>
              <w:tc>
                <w:tcPr>
                  <w:tcW w:w="1536" w:type="pct"/>
                  <w:vAlign w:val="center"/>
                </w:tcPr>
                <w:p>
                  <w:pPr>
                    <w:jc w:val="center"/>
                  </w:pPr>
                  <w:r>
                    <w:t>2.89</w:t>
                  </w:r>
                </w:p>
              </w:tc>
              <w:tc>
                <w:tcPr>
                  <w:tcW w:w="1720" w:type="pct"/>
                  <w:vAlign w:val="center"/>
                </w:tcPr>
                <w:p>
                  <w:pPr>
                    <w:jc w:val="center"/>
                  </w:pPr>
                  <w:r>
                    <w:t>0.32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1744" w:type="pct"/>
                  <w:vAlign w:val="center"/>
                </w:tcPr>
                <w:p>
                  <w:pPr>
                    <w:jc w:val="center"/>
                  </w:pPr>
                  <w:r>
                    <w:t>600.0</w:t>
                  </w:r>
                </w:p>
              </w:tc>
              <w:tc>
                <w:tcPr>
                  <w:tcW w:w="1536" w:type="pct"/>
                  <w:vAlign w:val="center"/>
                </w:tcPr>
                <w:p>
                  <w:pPr>
                    <w:jc w:val="center"/>
                  </w:pPr>
                  <w:r>
                    <w:t>2.80</w:t>
                  </w:r>
                </w:p>
              </w:tc>
              <w:tc>
                <w:tcPr>
                  <w:tcW w:w="1720" w:type="pct"/>
                  <w:vAlign w:val="center"/>
                </w:tcPr>
                <w:p>
                  <w:pPr>
                    <w:jc w:val="center"/>
                  </w:pPr>
                  <w:r>
                    <w:t>0.31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1744" w:type="pct"/>
                  <w:vAlign w:val="center"/>
                </w:tcPr>
                <w:p>
                  <w:pPr>
                    <w:jc w:val="center"/>
                  </w:pPr>
                  <w:r>
                    <w:t>700.0</w:t>
                  </w:r>
                </w:p>
              </w:tc>
              <w:tc>
                <w:tcPr>
                  <w:tcW w:w="1536" w:type="pct"/>
                  <w:vAlign w:val="center"/>
                </w:tcPr>
                <w:p>
                  <w:pPr>
                    <w:jc w:val="center"/>
                  </w:pPr>
                  <w:r>
                    <w:t>2.66</w:t>
                  </w:r>
                </w:p>
              </w:tc>
              <w:tc>
                <w:tcPr>
                  <w:tcW w:w="1720" w:type="pct"/>
                  <w:vAlign w:val="center"/>
                </w:tcPr>
                <w:p>
                  <w:pPr>
                    <w:jc w:val="center"/>
                  </w:pPr>
                  <w:r>
                    <w:t>0.30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1744" w:type="pct"/>
                  <w:vAlign w:val="center"/>
                </w:tcPr>
                <w:p>
                  <w:pPr>
                    <w:jc w:val="center"/>
                  </w:pPr>
                  <w:r>
                    <w:t>800.0</w:t>
                  </w:r>
                </w:p>
              </w:tc>
              <w:tc>
                <w:tcPr>
                  <w:tcW w:w="1536" w:type="pct"/>
                  <w:vAlign w:val="center"/>
                </w:tcPr>
                <w:p>
                  <w:pPr>
                    <w:jc w:val="center"/>
                  </w:pPr>
                  <w:r>
                    <w:t>2.50</w:t>
                  </w:r>
                </w:p>
              </w:tc>
              <w:tc>
                <w:tcPr>
                  <w:tcW w:w="1720" w:type="pct"/>
                  <w:vAlign w:val="center"/>
                </w:tcPr>
                <w:p>
                  <w:pPr>
                    <w:jc w:val="center"/>
                  </w:pPr>
                  <w:r>
                    <w:t>0.28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1744" w:type="pct"/>
                  <w:vAlign w:val="center"/>
                </w:tcPr>
                <w:p>
                  <w:pPr>
                    <w:jc w:val="center"/>
                  </w:pPr>
                  <w:r>
                    <w:t>900.0</w:t>
                  </w:r>
                </w:p>
              </w:tc>
              <w:tc>
                <w:tcPr>
                  <w:tcW w:w="1536" w:type="pct"/>
                  <w:vAlign w:val="center"/>
                </w:tcPr>
                <w:p>
                  <w:pPr>
                    <w:jc w:val="center"/>
                  </w:pPr>
                  <w:r>
                    <w:t>2.32</w:t>
                  </w:r>
                </w:p>
              </w:tc>
              <w:tc>
                <w:tcPr>
                  <w:tcW w:w="1720" w:type="pct"/>
                  <w:vAlign w:val="center"/>
                </w:tcPr>
                <w:p>
                  <w:pPr>
                    <w:jc w:val="center"/>
                  </w:pPr>
                  <w:r>
                    <w:t>0.26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1744" w:type="pct"/>
                  <w:vAlign w:val="center"/>
                </w:tcPr>
                <w:p>
                  <w:pPr>
                    <w:jc w:val="center"/>
                  </w:pPr>
                  <w:r>
                    <w:t>1000.0</w:t>
                  </w:r>
                </w:p>
              </w:tc>
              <w:tc>
                <w:tcPr>
                  <w:tcW w:w="1536" w:type="pct"/>
                  <w:vAlign w:val="center"/>
                </w:tcPr>
                <w:p>
                  <w:pPr>
                    <w:jc w:val="center"/>
                  </w:pPr>
                  <w:r>
                    <w:t>2.16</w:t>
                  </w:r>
                </w:p>
              </w:tc>
              <w:tc>
                <w:tcPr>
                  <w:tcW w:w="1720" w:type="pct"/>
                  <w:vAlign w:val="center"/>
                </w:tcPr>
                <w:p>
                  <w:pPr>
                    <w:jc w:val="center"/>
                  </w:pPr>
                  <w:r>
                    <w:t>0.24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1744" w:type="pct"/>
                  <w:vAlign w:val="center"/>
                </w:tcPr>
                <w:p>
                  <w:pPr>
                    <w:jc w:val="center"/>
                  </w:pPr>
                  <w:r>
                    <w:t>1200.0</w:t>
                  </w:r>
                </w:p>
              </w:tc>
              <w:tc>
                <w:tcPr>
                  <w:tcW w:w="1536" w:type="pct"/>
                  <w:vAlign w:val="center"/>
                </w:tcPr>
                <w:p>
                  <w:pPr>
                    <w:jc w:val="center"/>
                  </w:pPr>
                  <w:r>
                    <w:t>1.96</w:t>
                  </w:r>
                </w:p>
              </w:tc>
              <w:tc>
                <w:tcPr>
                  <w:tcW w:w="1720" w:type="pct"/>
                  <w:vAlign w:val="center"/>
                </w:tcPr>
                <w:p>
                  <w:pPr>
                    <w:jc w:val="center"/>
                  </w:pPr>
                  <w:r>
                    <w:t>0.22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1744" w:type="pct"/>
                  <w:vAlign w:val="center"/>
                </w:tcPr>
                <w:p>
                  <w:pPr>
                    <w:jc w:val="center"/>
                  </w:pPr>
                  <w:r>
                    <w:t>1400.0</w:t>
                  </w:r>
                </w:p>
              </w:tc>
              <w:tc>
                <w:tcPr>
                  <w:tcW w:w="1536" w:type="pct"/>
                  <w:vAlign w:val="center"/>
                </w:tcPr>
                <w:p>
                  <w:pPr>
                    <w:jc w:val="center"/>
                  </w:pPr>
                  <w:r>
                    <w:t>1.79</w:t>
                  </w:r>
                </w:p>
              </w:tc>
              <w:tc>
                <w:tcPr>
                  <w:tcW w:w="1720" w:type="pct"/>
                  <w:vAlign w:val="center"/>
                </w:tcPr>
                <w:p>
                  <w:pPr>
                    <w:jc w:val="center"/>
                  </w:pPr>
                  <w:r>
                    <w:t>0.20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1744" w:type="pct"/>
                  <w:vAlign w:val="center"/>
                </w:tcPr>
                <w:p>
                  <w:pPr>
                    <w:jc w:val="center"/>
                  </w:pPr>
                  <w:r>
                    <w:t>1600.0</w:t>
                  </w:r>
                </w:p>
              </w:tc>
              <w:tc>
                <w:tcPr>
                  <w:tcW w:w="1536" w:type="pct"/>
                  <w:vAlign w:val="center"/>
                </w:tcPr>
                <w:p>
                  <w:pPr>
                    <w:jc w:val="center"/>
                  </w:pPr>
                  <w:r>
                    <w:t>1.62</w:t>
                  </w:r>
                </w:p>
              </w:tc>
              <w:tc>
                <w:tcPr>
                  <w:tcW w:w="1720" w:type="pct"/>
                  <w:vAlign w:val="center"/>
                </w:tcPr>
                <w:p>
                  <w:pPr>
                    <w:jc w:val="center"/>
                  </w:pPr>
                  <w:r>
                    <w:t>0.18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1744" w:type="pct"/>
                  <w:vAlign w:val="center"/>
                </w:tcPr>
                <w:p>
                  <w:pPr>
                    <w:jc w:val="center"/>
                  </w:pPr>
                  <w:r>
                    <w:t>1800.0</w:t>
                  </w:r>
                </w:p>
              </w:tc>
              <w:tc>
                <w:tcPr>
                  <w:tcW w:w="1536" w:type="pct"/>
                  <w:vAlign w:val="center"/>
                </w:tcPr>
                <w:p>
                  <w:pPr>
                    <w:jc w:val="center"/>
                  </w:pPr>
                  <w:r>
                    <w:t>1.48</w:t>
                  </w:r>
                </w:p>
              </w:tc>
              <w:tc>
                <w:tcPr>
                  <w:tcW w:w="1720" w:type="pct"/>
                  <w:vAlign w:val="center"/>
                </w:tcPr>
                <w:p>
                  <w:pPr>
                    <w:jc w:val="center"/>
                  </w:pPr>
                  <w:r>
                    <w:t>0.16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1744" w:type="pct"/>
                  <w:vAlign w:val="center"/>
                </w:tcPr>
                <w:p>
                  <w:pPr>
                    <w:jc w:val="center"/>
                  </w:pPr>
                  <w:r>
                    <w:t>2000.0</w:t>
                  </w:r>
                </w:p>
              </w:tc>
              <w:tc>
                <w:tcPr>
                  <w:tcW w:w="1536" w:type="pct"/>
                  <w:vAlign w:val="center"/>
                </w:tcPr>
                <w:p>
                  <w:pPr>
                    <w:jc w:val="center"/>
                  </w:pPr>
                  <w:r>
                    <w:t>1.35</w:t>
                  </w:r>
                </w:p>
              </w:tc>
              <w:tc>
                <w:tcPr>
                  <w:tcW w:w="1720" w:type="pct"/>
                  <w:vAlign w:val="center"/>
                </w:tcPr>
                <w:p>
                  <w:pPr>
                    <w:jc w:val="center"/>
                  </w:pPr>
                  <w:r>
                    <w:t>0.15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498" w:hRule="atLeast"/>
              </w:trPr>
              <w:tc>
                <w:tcPr>
                  <w:tcW w:w="1744" w:type="pct"/>
                  <w:vAlign w:val="center"/>
                </w:tcPr>
                <w:p>
                  <w:pPr>
                    <w:jc w:val="center"/>
                  </w:pPr>
                  <w:r>
                    <w:t>2500.0</w:t>
                  </w:r>
                </w:p>
              </w:tc>
              <w:tc>
                <w:tcPr>
                  <w:tcW w:w="1536" w:type="pct"/>
                  <w:vAlign w:val="center"/>
                </w:tcPr>
                <w:p>
                  <w:pPr>
                    <w:jc w:val="center"/>
                  </w:pPr>
                  <w:r>
                    <w:t>1.16</w:t>
                  </w:r>
                </w:p>
              </w:tc>
              <w:tc>
                <w:tcPr>
                  <w:tcW w:w="1720" w:type="pct"/>
                  <w:vAlign w:val="center"/>
                </w:tcPr>
                <w:p>
                  <w:pPr>
                    <w:jc w:val="center"/>
                  </w:pPr>
                  <w:r>
                    <w:t>0.13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98" w:hRule="atLeast"/>
              </w:trPr>
              <w:tc>
                <w:tcPr>
                  <w:tcW w:w="1744" w:type="pct"/>
                  <w:vAlign w:val="center"/>
                </w:tcPr>
                <w:p>
                  <w:pPr>
                    <w:jc w:val="center"/>
                  </w:pPr>
                  <w:r>
                    <w:rPr>
                      <w:szCs w:val="21"/>
                    </w:rPr>
                    <w:t>最大落地浓度及其占标率</w:t>
                  </w:r>
                </w:p>
              </w:tc>
              <w:tc>
                <w:tcPr>
                  <w:tcW w:w="1536" w:type="pct"/>
                  <w:vAlign w:val="center"/>
                </w:tcPr>
                <w:p>
                  <w:pPr>
                    <w:jc w:val="center"/>
                  </w:pPr>
                  <w:r>
                    <w:t>5.58</w:t>
                  </w:r>
                </w:p>
              </w:tc>
              <w:tc>
                <w:tcPr>
                  <w:tcW w:w="1720" w:type="pct"/>
                  <w:vAlign w:val="center"/>
                </w:tcPr>
                <w:p>
                  <w:pPr>
                    <w:jc w:val="center"/>
                  </w:pPr>
                  <w:r>
                    <w:t>0.62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98" w:hRule="atLeast"/>
              </w:trPr>
              <w:tc>
                <w:tcPr>
                  <w:tcW w:w="1744" w:type="pct"/>
                  <w:vAlign w:val="center"/>
                </w:tcPr>
                <w:p>
                  <w:pPr>
                    <w:jc w:val="center"/>
                  </w:pPr>
                  <w:r>
                    <w:rPr>
                      <w:szCs w:val="21"/>
                    </w:rPr>
                    <w:t>最大落地浓度距源中心距离</w:t>
                  </w:r>
                </w:p>
              </w:tc>
              <w:tc>
                <w:tcPr>
                  <w:tcW w:w="1536" w:type="pct"/>
                  <w:vAlign w:val="center"/>
                </w:tcPr>
                <w:p>
                  <w:pPr>
                    <w:jc w:val="center"/>
                  </w:pPr>
                  <w:r>
                    <w:rPr>
                      <w:rFonts w:hint="eastAsia"/>
                    </w:rPr>
                    <w:t>82</w:t>
                  </w:r>
                </w:p>
              </w:tc>
              <w:tc>
                <w:tcPr>
                  <w:tcW w:w="1720" w:type="pct"/>
                  <w:vAlign w:val="center"/>
                </w:tcPr>
                <w:p>
                  <w:pPr>
                    <w:jc w:val="center"/>
                  </w:pPr>
                  <w:r>
                    <w:rPr>
                      <w:rFonts w:hint="eastAsia"/>
                    </w:rPr>
                    <w:t>82</w:t>
                  </w:r>
                </w:p>
              </w:tc>
            </w:tr>
          </w:tbl>
          <w:p>
            <w:pPr>
              <w:spacing w:line="360" w:lineRule="auto"/>
              <w:ind w:firstLine="480" w:firstLineChars="200"/>
              <w:rPr>
                <w:rFonts w:hAnsi="宋体"/>
                <w:sz w:val="24"/>
                <w:szCs w:val="24"/>
              </w:rPr>
            </w:pPr>
          </w:p>
          <w:p>
            <w:pPr>
              <w:spacing w:line="360" w:lineRule="auto"/>
              <w:ind w:firstLine="480" w:firstLineChars="200"/>
              <w:rPr>
                <w:sz w:val="24"/>
                <w:szCs w:val="24"/>
              </w:rPr>
            </w:pPr>
            <w:r>
              <w:rPr>
                <w:rFonts w:hint="eastAsia" w:hAnsi="宋体"/>
                <w:sz w:val="24"/>
                <w:szCs w:val="24"/>
              </w:rPr>
              <w:t>由以上预测结果可知，</w:t>
            </w:r>
            <w:r>
              <w:rPr>
                <w:sz w:val="24"/>
                <w:szCs w:val="24"/>
              </w:rPr>
              <w:t>本项目</w:t>
            </w:r>
            <w:r>
              <w:rPr>
                <w:rFonts w:hint="eastAsia"/>
                <w:sz w:val="24"/>
                <w:szCs w:val="24"/>
              </w:rPr>
              <w:t>隧道窑</w:t>
            </w:r>
            <w:r>
              <w:rPr>
                <w:sz w:val="24"/>
                <w:szCs w:val="24"/>
              </w:rPr>
              <w:t>废气中SO</w:t>
            </w:r>
            <w:r>
              <w:rPr>
                <w:sz w:val="24"/>
                <w:szCs w:val="24"/>
                <w:vertAlign w:val="subscript"/>
              </w:rPr>
              <w:t>2</w:t>
            </w:r>
            <w:r>
              <w:rPr>
                <w:sz w:val="24"/>
                <w:szCs w:val="24"/>
              </w:rPr>
              <w:t>、NO</w:t>
            </w:r>
            <w:r>
              <w:rPr>
                <w:rFonts w:hint="eastAsia"/>
                <w:sz w:val="24"/>
                <w:szCs w:val="24"/>
              </w:rPr>
              <w:t>x</w:t>
            </w:r>
            <w:r>
              <w:rPr>
                <w:sz w:val="24"/>
                <w:szCs w:val="24"/>
              </w:rPr>
              <w:t>、</w:t>
            </w:r>
            <w:r>
              <w:rPr>
                <w:rFonts w:hint="eastAsia"/>
                <w:sz w:val="24"/>
                <w:szCs w:val="24"/>
              </w:rPr>
              <w:t>烟尘、氟化物</w:t>
            </w:r>
            <w:r>
              <w:rPr>
                <w:sz w:val="24"/>
                <w:szCs w:val="24"/>
              </w:rPr>
              <w:t>最大地面浓度分别为</w:t>
            </w:r>
            <w:r>
              <w:rPr>
                <w:rFonts w:hint="eastAsia"/>
                <w:sz w:val="24"/>
                <w:szCs w:val="24"/>
              </w:rPr>
              <w:t>1.44</w:t>
            </w:r>
            <w:r>
              <w:rPr>
                <w:kern w:val="0"/>
                <w:sz w:val="24"/>
                <w:szCs w:val="24"/>
              </w:rPr>
              <w:t>mg/m</w:t>
            </w:r>
            <w:r>
              <w:rPr>
                <w:kern w:val="0"/>
                <w:sz w:val="24"/>
                <w:szCs w:val="24"/>
                <w:vertAlign w:val="superscript"/>
              </w:rPr>
              <w:t>3</w:t>
            </w:r>
            <w:r>
              <w:rPr>
                <w:kern w:val="0"/>
                <w:sz w:val="24"/>
                <w:szCs w:val="24"/>
              </w:rPr>
              <w:t>、</w:t>
            </w:r>
            <w:r>
              <w:rPr>
                <w:rFonts w:hint="eastAsia"/>
                <w:kern w:val="0"/>
                <w:sz w:val="24"/>
                <w:szCs w:val="24"/>
              </w:rPr>
              <w:t>23.46</w:t>
            </w:r>
            <w:r>
              <w:rPr>
                <w:kern w:val="0"/>
                <w:sz w:val="24"/>
                <w:szCs w:val="24"/>
              </w:rPr>
              <w:t>mg/m</w:t>
            </w:r>
            <w:r>
              <w:rPr>
                <w:kern w:val="0"/>
                <w:sz w:val="24"/>
                <w:szCs w:val="24"/>
                <w:vertAlign w:val="superscript"/>
              </w:rPr>
              <w:t>3</w:t>
            </w:r>
            <w:r>
              <w:rPr>
                <w:kern w:val="0"/>
                <w:sz w:val="24"/>
                <w:szCs w:val="24"/>
              </w:rPr>
              <w:t>、</w:t>
            </w:r>
            <w:r>
              <w:rPr>
                <w:rFonts w:hint="eastAsia"/>
                <w:kern w:val="0"/>
                <w:sz w:val="24"/>
                <w:szCs w:val="24"/>
              </w:rPr>
              <w:t>3.03</w:t>
            </w:r>
            <w:r>
              <w:rPr>
                <w:kern w:val="0"/>
                <w:sz w:val="24"/>
                <w:szCs w:val="24"/>
              </w:rPr>
              <w:t>mg/m</w:t>
            </w:r>
            <w:r>
              <w:rPr>
                <w:kern w:val="0"/>
                <w:sz w:val="24"/>
                <w:szCs w:val="24"/>
                <w:vertAlign w:val="superscript"/>
              </w:rPr>
              <w:t>3</w:t>
            </w:r>
            <w:r>
              <w:rPr>
                <w:rFonts w:hint="eastAsia"/>
                <w:kern w:val="0"/>
                <w:sz w:val="24"/>
                <w:szCs w:val="24"/>
              </w:rPr>
              <w:t>、0.14</w:t>
            </w:r>
            <w:r>
              <w:rPr>
                <w:kern w:val="0"/>
                <w:sz w:val="24"/>
                <w:szCs w:val="24"/>
              </w:rPr>
              <w:t>mg/m</w:t>
            </w:r>
            <w:r>
              <w:rPr>
                <w:kern w:val="0"/>
                <w:sz w:val="24"/>
                <w:szCs w:val="24"/>
                <w:vertAlign w:val="superscript"/>
              </w:rPr>
              <w:t>3</w:t>
            </w:r>
            <w:r>
              <w:rPr>
                <w:kern w:val="0"/>
                <w:sz w:val="24"/>
                <w:szCs w:val="24"/>
              </w:rPr>
              <w:t>，最大浓度占标率分别为</w:t>
            </w:r>
            <w:r>
              <w:rPr>
                <w:rFonts w:hint="eastAsia"/>
                <w:kern w:val="0"/>
                <w:sz w:val="24"/>
                <w:szCs w:val="24"/>
              </w:rPr>
              <w:t>0.29</w:t>
            </w:r>
            <w:r>
              <w:rPr>
                <w:kern w:val="0"/>
                <w:sz w:val="24"/>
                <w:szCs w:val="24"/>
              </w:rPr>
              <w:t>%、</w:t>
            </w:r>
            <w:r>
              <w:rPr>
                <w:rFonts w:hint="eastAsia"/>
                <w:kern w:val="0"/>
                <w:sz w:val="24"/>
                <w:szCs w:val="24"/>
              </w:rPr>
              <w:t>9.38</w:t>
            </w:r>
            <w:r>
              <w:rPr>
                <w:sz w:val="24"/>
                <w:szCs w:val="24"/>
              </w:rPr>
              <w:t>%、</w:t>
            </w:r>
            <w:r>
              <w:rPr>
                <w:b/>
                <w:sz w:val="24"/>
                <w:szCs w:val="24"/>
              </w:rPr>
              <w:t>0.</w:t>
            </w:r>
            <w:r>
              <w:rPr>
                <w:rFonts w:hint="eastAsia"/>
                <w:b/>
                <w:sz w:val="24"/>
                <w:szCs w:val="24"/>
              </w:rPr>
              <w:t>34</w:t>
            </w:r>
            <w:r>
              <w:rPr>
                <w:sz w:val="24"/>
                <w:szCs w:val="24"/>
              </w:rPr>
              <w:t>%</w:t>
            </w:r>
            <w:r>
              <w:rPr>
                <w:rFonts w:hint="eastAsia"/>
                <w:sz w:val="24"/>
                <w:szCs w:val="24"/>
              </w:rPr>
              <w:t>、0.72</w:t>
            </w:r>
            <w:r>
              <w:rPr>
                <w:sz w:val="24"/>
                <w:szCs w:val="24"/>
              </w:rPr>
              <w:t>%</w:t>
            </w:r>
            <w:r>
              <w:rPr>
                <w:rFonts w:hint="eastAsia"/>
                <w:kern w:val="0"/>
                <w:sz w:val="24"/>
                <w:szCs w:val="24"/>
              </w:rPr>
              <w:t>，</w:t>
            </w:r>
            <w:r>
              <w:rPr>
                <w:sz w:val="24"/>
                <w:szCs w:val="24"/>
              </w:rPr>
              <w:t>最大落地浓度距源中心距</w:t>
            </w:r>
            <w:r>
              <w:rPr>
                <w:rFonts w:hint="eastAsia"/>
                <w:sz w:val="24"/>
                <w:szCs w:val="24"/>
              </w:rPr>
              <w:t>99</w:t>
            </w:r>
            <w:r>
              <w:rPr>
                <w:sz w:val="24"/>
                <w:szCs w:val="24"/>
              </w:rPr>
              <w:t>m处</w:t>
            </w:r>
            <w:r>
              <w:rPr>
                <w:rFonts w:hint="eastAsia"/>
                <w:sz w:val="24"/>
                <w:szCs w:val="24"/>
              </w:rPr>
              <w:t>；破碎废气最大地面浓度为5.58mg/m</w:t>
            </w:r>
            <w:r>
              <w:rPr>
                <w:rFonts w:hint="eastAsia"/>
                <w:sz w:val="24"/>
                <w:szCs w:val="24"/>
                <w:vertAlign w:val="superscript"/>
              </w:rPr>
              <w:t>3</w:t>
            </w:r>
            <w:r>
              <w:rPr>
                <w:rFonts w:hint="eastAsia"/>
                <w:sz w:val="24"/>
                <w:szCs w:val="24"/>
              </w:rPr>
              <w:t>，最大浓度占标率为0.62%。</w:t>
            </w:r>
          </w:p>
          <w:p>
            <w:pPr>
              <w:jc w:val="center"/>
              <w:rPr>
                <w:rFonts w:hAnsi="宋体"/>
                <w:b/>
                <w:color w:val="00B050"/>
              </w:rPr>
            </w:pPr>
            <w:r>
              <w:rPr>
                <w:rFonts w:hint="eastAsia" w:hAnsi="宋体"/>
                <w:b/>
                <w:color w:val="00B050"/>
              </w:rPr>
              <w:t>表43  无组织排放</w:t>
            </w:r>
            <w:r>
              <w:rPr>
                <w:rFonts w:hAnsi="宋体"/>
                <w:b/>
                <w:color w:val="00B050"/>
              </w:rPr>
              <w:t>影响预测结果统计</w:t>
            </w:r>
            <w:r>
              <w:rPr>
                <w:rFonts w:hint="eastAsia" w:hAnsi="宋体"/>
                <w:b/>
                <w:color w:val="00B050"/>
              </w:rPr>
              <w:t>表</w:t>
            </w:r>
          </w:p>
          <w:tbl>
            <w:tblPr>
              <w:tblStyle w:val="24"/>
              <w:tblW w:w="8794"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57" w:type="dxa"/>
                <w:left w:w="0" w:type="dxa"/>
                <w:bottom w:w="28" w:type="dxa"/>
                <w:right w:w="0" w:type="dxa"/>
              </w:tblCellMar>
            </w:tblPr>
            <w:tblGrid>
              <w:gridCol w:w="2698"/>
              <w:gridCol w:w="2977"/>
              <w:gridCol w:w="3119"/>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91" w:hRule="atLeast"/>
              </w:trPr>
              <w:tc>
                <w:tcPr>
                  <w:tcW w:w="2698" w:type="dxa"/>
                  <w:vMerge w:val="restart"/>
                  <w:vAlign w:val="center"/>
                </w:tcPr>
                <w:p>
                  <w:pPr>
                    <w:adjustRightInd w:val="0"/>
                    <w:snapToGrid w:val="0"/>
                    <w:spacing w:line="240" w:lineRule="atLeast"/>
                    <w:jc w:val="center"/>
                    <w:rPr>
                      <w:color w:val="00B050"/>
                      <w:szCs w:val="21"/>
                    </w:rPr>
                  </w:pPr>
                  <w:r>
                    <w:rPr>
                      <w:color w:val="00B050"/>
                      <w:szCs w:val="21"/>
                    </w:rPr>
                    <w:t>距源中心下风向距离D（m）</w:t>
                  </w:r>
                </w:p>
              </w:tc>
              <w:tc>
                <w:tcPr>
                  <w:tcW w:w="6096" w:type="dxa"/>
                  <w:gridSpan w:val="2"/>
                  <w:vAlign w:val="center"/>
                </w:tcPr>
                <w:p>
                  <w:pPr>
                    <w:adjustRightInd w:val="0"/>
                    <w:snapToGrid w:val="0"/>
                    <w:spacing w:line="240" w:lineRule="atLeast"/>
                    <w:jc w:val="center"/>
                    <w:rPr>
                      <w:color w:val="00B050"/>
                      <w:szCs w:val="21"/>
                    </w:rPr>
                  </w:pPr>
                  <w:r>
                    <w:rPr>
                      <w:rFonts w:hint="eastAsia"/>
                      <w:color w:val="00B050"/>
                      <w:szCs w:val="21"/>
                    </w:rPr>
                    <w:t>开采扬尘</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504" w:hRule="atLeast"/>
              </w:trPr>
              <w:tc>
                <w:tcPr>
                  <w:tcW w:w="2698" w:type="dxa"/>
                  <w:vMerge w:val="continue"/>
                  <w:vAlign w:val="center"/>
                </w:tcPr>
                <w:p>
                  <w:pPr>
                    <w:widowControl/>
                    <w:adjustRightInd w:val="0"/>
                    <w:snapToGrid w:val="0"/>
                    <w:spacing w:line="240" w:lineRule="atLeast"/>
                    <w:jc w:val="center"/>
                    <w:rPr>
                      <w:color w:val="00B050"/>
                      <w:szCs w:val="21"/>
                    </w:rPr>
                  </w:pPr>
                </w:p>
              </w:tc>
              <w:tc>
                <w:tcPr>
                  <w:tcW w:w="2977" w:type="dxa"/>
                  <w:vAlign w:val="center"/>
                </w:tcPr>
                <w:p>
                  <w:pPr>
                    <w:adjustRightInd w:val="0"/>
                    <w:snapToGrid w:val="0"/>
                    <w:spacing w:line="240" w:lineRule="atLeast"/>
                    <w:jc w:val="center"/>
                    <w:rPr>
                      <w:color w:val="00B050"/>
                      <w:szCs w:val="21"/>
                    </w:rPr>
                  </w:pPr>
                  <w:r>
                    <w:rPr>
                      <w:color w:val="00B050"/>
                      <w:szCs w:val="21"/>
                    </w:rPr>
                    <w:t>下风向预测浓度（μg/m</w:t>
                  </w:r>
                  <w:r>
                    <w:rPr>
                      <w:color w:val="00B050"/>
                      <w:szCs w:val="21"/>
                      <w:vertAlign w:val="superscript"/>
                    </w:rPr>
                    <w:t>3</w:t>
                  </w:r>
                  <w:r>
                    <w:rPr>
                      <w:color w:val="00B050"/>
                      <w:szCs w:val="21"/>
                    </w:rPr>
                    <w:t>）</w:t>
                  </w:r>
                </w:p>
              </w:tc>
              <w:tc>
                <w:tcPr>
                  <w:tcW w:w="3119" w:type="dxa"/>
                  <w:vAlign w:val="center"/>
                </w:tcPr>
                <w:p>
                  <w:pPr>
                    <w:adjustRightInd w:val="0"/>
                    <w:snapToGrid w:val="0"/>
                    <w:spacing w:line="240" w:lineRule="atLeast"/>
                    <w:jc w:val="center"/>
                    <w:rPr>
                      <w:color w:val="00B050"/>
                      <w:szCs w:val="21"/>
                    </w:rPr>
                  </w:pPr>
                  <w:r>
                    <w:rPr>
                      <w:color w:val="00B050"/>
                      <w:szCs w:val="21"/>
                    </w:rPr>
                    <w:t>占标率（%）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color w:val="00B050"/>
                      <w:szCs w:val="21"/>
                    </w:rPr>
                  </w:pPr>
                  <w:r>
                    <w:rPr>
                      <w:color w:val="00B050"/>
                    </w:rPr>
                    <w:t>50.0</w:t>
                  </w:r>
                </w:p>
              </w:tc>
              <w:tc>
                <w:tcPr>
                  <w:tcW w:w="2977" w:type="dxa"/>
                  <w:vAlign w:val="center"/>
                </w:tcPr>
                <w:p>
                  <w:pPr>
                    <w:jc w:val="center"/>
                    <w:rPr>
                      <w:color w:val="00B050"/>
                      <w:szCs w:val="21"/>
                    </w:rPr>
                  </w:pPr>
                  <w:r>
                    <w:rPr>
                      <w:color w:val="00B050"/>
                    </w:rPr>
                    <w:t>36.28</w:t>
                  </w:r>
                </w:p>
              </w:tc>
              <w:tc>
                <w:tcPr>
                  <w:tcW w:w="3119" w:type="dxa"/>
                  <w:vAlign w:val="center"/>
                </w:tcPr>
                <w:p>
                  <w:pPr>
                    <w:jc w:val="center"/>
                    <w:rPr>
                      <w:color w:val="00B050"/>
                      <w:szCs w:val="21"/>
                    </w:rPr>
                  </w:pPr>
                  <w:r>
                    <w:rPr>
                      <w:color w:val="00B050"/>
                    </w:rPr>
                    <w:t>4.03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color w:val="00B050"/>
                      <w:szCs w:val="21"/>
                    </w:rPr>
                  </w:pPr>
                  <w:r>
                    <w:rPr>
                      <w:color w:val="00B050"/>
                    </w:rPr>
                    <w:t>100.0</w:t>
                  </w:r>
                </w:p>
              </w:tc>
              <w:tc>
                <w:tcPr>
                  <w:tcW w:w="2977" w:type="dxa"/>
                  <w:vAlign w:val="center"/>
                </w:tcPr>
                <w:p>
                  <w:pPr>
                    <w:jc w:val="center"/>
                    <w:rPr>
                      <w:color w:val="00B050"/>
                      <w:szCs w:val="21"/>
                    </w:rPr>
                  </w:pPr>
                  <w:r>
                    <w:rPr>
                      <w:color w:val="00B050"/>
                    </w:rPr>
                    <w:t>43.57</w:t>
                  </w:r>
                </w:p>
              </w:tc>
              <w:tc>
                <w:tcPr>
                  <w:tcW w:w="3119" w:type="dxa"/>
                  <w:vAlign w:val="center"/>
                </w:tcPr>
                <w:p>
                  <w:pPr>
                    <w:jc w:val="center"/>
                    <w:rPr>
                      <w:color w:val="00B050"/>
                      <w:szCs w:val="21"/>
                    </w:rPr>
                  </w:pPr>
                  <w:r>
                    <w:rPr>
                      <w:color w:val="00B050"/>
                    </w:rPr>
                    <w:t>4.84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color w:val="00B050"/>
                      <w:szCs w:val="21"/>
                    </w:rPr>
                  </w:pPr>
                  <w:r>
                    <w:rPr>
                      <w:color w:val="00B050"/>
                    </w:rPr>
                    <w:t>200.0</w:t>
                  </w:r>
                </w:p>
              </w:tc>
              <w:tc>
                <w:tcPr>
                  <w:tcW w:w="2977" w:type="dxa"/>
                  <w:vAlign w:val="center"/>
                </w:tcPr>
                <w:p>
                  <w:pPr>
                    <w:jc w:val="center"/>
                    <w:rPr>
                      <w:color w:val="00B050"/>
                      <w:szCs w:val="21"/>
                    </w:rPr>
                  </w:pPr>
                  <w:r>
                    <w:rPr>
                      <w:color w:val="00B050"/>
                    </w:rPr>
                    <w:t>57.59</w:t>
                  </w:r>
                </w:p>
              </w:tc>
              <w:tc>
                <w:tcPr>
                  <w:tcW w:w="3119" w:type="dxa"/>
                  <w:vAlign w:val="center"/>
                </w:tcPr>
                <w:p>
                  <w:pPr>
                    <w:jc w:val="center"/>
                    <w:rPr>
                      <w:color w:val="00B050"/>
                      <w:szCs w:val="21"/>
                    </w:rPr>
                  </w:pPr>
                  <w:r>
                    <w:rPr>
                      <w:color w:val="00B050"/>
                    </w:rPr>
                    <w:t>6.40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color w:val="00B050"/>
                      <w:szCs w:val="21"/>
                    </w:rPr>
                  </w:pPr>
                  <w:r>
                    <w:rPr>
                      <w:color w:val="00B050"/>
                    </w:rPr>
                    <w:t>300.0</w:t>
                  </w:r>
                </w:p>
              </w:tc>
              <w:tc>
                <w:tcPr>
                  <w:tcW w:w="2977" w:type="dxa"/>
                  <w:vAlign w:val="center"/>
                </w:tcPr>
                <w:p>
                  <w:pPr>
                    <w:jc w:val="center"/>
                    <w:rPr>
                      <w:color w:val="00B050"/>
                      <w:szCs w:val="21"/>
                    </w:rPr>
                  </w:pPr>
                  <w:r>
                    <w:rPr>
                      <w:color w:val="00B050"/>
                    </w:rPr>
                    <w:t>62.20</w:t>
                  </w:r>
                </w:p>
              </w:tc>
              <w:tc>
                <w:tcPr>
                  <w:tcW w:w="3119" w:type="dxa"/>
                  <w:vAlign w:val="center"/>
                </w:tcPr>
                <w:p>
                  <w:pPr>
                    <w:jc w:val="center"/>
                    <w:rPr>
                      <w:color w:val="00B050"/>
                      <w:szCs w:val="21"/>
                    </w:rPr>
                  </w:pPr>
                  <w:r>
                    <w:rPr>
                      <w:color w:val="00B050"/>
                    </w:rPr>
                    <w:t>6.91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b/>
                      <w:color w:val="00B050"/>
                      <w:szCs w:val="21"/>
                    </w:rPr>
                  </w:pPr>
                  <w:r>
                    <w:rPr>
                      <w:color w:val="00B050"/>
                    </w:rPr>
                    <w:t>400.0</w:t>
                  </w:r>
                </w:p>
              </w:tc>
              <w:tc>
                <w:tcPr>
                  <w:tcW w:w="2977" w:type="dxa"/>
                  <w:vAlign w:val="center"/>
                </w:tcPr>
                <w:p>
                  <w:pPr>
                    <w:jc w:val="center"/>
                    <w:rPr>
                      <w:b/>
                      <w:color w:val="00B050"/>
                      <w:szCs w:val="21"/>
                    </w:rPr>
                  </w:pPr>
                  <w:r>
                    <w:rPr>
                      <w:color w:val="00B050"/>
                    </w:rPr>
                    <w:t>64.23</w:t>
                  </w:r>
                </w:p>
              </w:tc>
              <w:tc>
                <w:tcPr>
                  <w:tcW w:w="3119" w:type="dxa"/>
                  <w:vAlign w:val="center"/>
                </w:tcPr>
                <w:p>
                  <w:pPr>
                    <w:jc w:val="center"/>
                    <w:rPr>
                      <w:b/>
                      <w:color w:val="00B050"/>
                      <w:szCs w:val="21"/>
                    </w:rPr>
                  </w:pPr>
                  <w:r>
                    <w:rPr>
                      <w:color w:val="00B050"/>
                    </w:rPr>
                    <w:t>7.14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color w:val="00B050"/>
                      <w:szCs w:val="21"/>
                    </w:rPr>
                  </w:pPr>
                  <w:r>
                    <w:rPr>
                      <w:color w:val="00B050"/>
                    </w:rPr>
                    <w:t>500.0</w:t>
                  </w:r>
                </w:p>
              </w:tc>
              <w:tc>
                <w:tcPr>
                  <w:tcW w:w="2977" w:type="dxa"/>
                  <w:vAlign w:val="center"/>
                </w:tcPr>
                <w:p>
                  <w:pPr>
                    <w:jc w:val="center"/>
                    <w:rPr>
                      <w:color w:val="00B050"/>
                      <w:szCs w:val="21"/>
                    </w:rPr>
                  </w:pPr>
                  <w:r>
                    <w:rPr>
                      <w:color w:val="00B050"/>
                    </w:rPr>
                    <w:t>64.66</w:t>
                  </w:r>
                </w:p>
              </w:tc>
              <w:tc>
                <w:tcPr>
                  <w:tcW w:w="3119" w:type="dxa"/>
                  <w:vAlign w:val="center"/>
                </w:tcPr>
                <w:p>
                  <w:pPr>
                    <w:jc w:val="center"/>
                    <w:rPr>
                      <w:color w:val="00B050"/>
                      <w:szCs w:val="21"/>
                    </w:rPr>
                  </w:pPr>
                  <w:r>
                    <w:rPr>
                      <w:color w:val="00B050"/>
                    </w:rPr>
                    <w:t>7.18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color w:val="00B050"/>
                      <w:szCs w:val="21"/>
                    </w:rPr>
                  </w:pPr>
                  <w:r>
                    <w:rPr>
                      <w:color w:val="00B050"/>
                    </w:rPr>
                    <w:t>600.0</w:t>
                  </w:r>
                </w:p>
              </w:tc>
              <w:tc>
                <w:tcPr>
                  <w:tcW w:w="2977" w:type="dxa"/>
                  <w:vAlign w:val="center"/>
                </w:tcPr>
                <w:p>
                  <w:pPr>
                    <w:jc w:val="center"/>
                    <w:rPr>
                      <w:color w:val="00B050"/>
                      <w:szCs w:val="21"/>
                    </w:rPr>
                  </w:pPr>
                  <w:r>
                    <w:rPr>
                      <w:color w:val="00B050"/>
                    </w:rPr>
                    <w:t>64.46</w:t>
                  </w:r>
                </w:p>
              </w:tc>
              <w:tc>
                <w:tcPr>
                  <w:tcW w:w="3119" w:type="dxa"/>
                  <w:vAlign w:val="center"/>
                </w:tcPr>
                <w:p>
                  <w:pPr>
                    <w:jc w:val="center"/>
                    <w:rPr>
                      <w:color w:val="00B050"/>
                      <w:szCs w:val="21"/>
                    </w:rPr>
                  </w:pPr>
                  <w:r>
                    <w:rPr>
                      <w:color w:val="00B050"/>
                    </w:rPr>
                    <w:t>7.16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color w:val="00B050"/>
                      <w:szCs w:val="21"/>
                    </w:rPr>
                  </w:pPr>
                  <w:r>
                    <w:rPr>
                      <w:color w:val="00B050"/>
                    </w:rPr>
                    <w:t>700.0</w:t>
                  </w:r>
                </w:p>
              </w:tc>
              <w:tc>
                <w:tcPr>
                  <w:tcW w:w="2977" w:type="dxa"/>
                  <w:vAlign w:val="center"/>
                </w:tcPr>
                <w:p>
                  <w:pPr>
                    <w:jc w:val="center"/>
                    <w:rPr>
                      <w:color w:val="00B050"/>
                      <w:szCs w:val="21"/>
                    </w:rPr>
                  </w:pPr>
                  <w:r>
                    <w:rPr>
                      <w:color w:val="00B050"/>
                    </w:rPr>
                    <w:t>63.90</w:t>
                  </w:r>
                </w:p>
              </w:tc>
              <w:tc>
                <w:tcPr>
                  <w:tcW w:w="3119" w:type="dxa"/>
                  <w:vAlign w:val="center"/>
                </w:tcPr>
                <w:p>
                  <w:pPr>
                    <w:jc w:val="center"/>
                    <w:rPr>
                      <w:color w:val="00B050"/>
                      <w:szCs w:val="21"/>
                    </w:rPr>
                  </w:pPr>
                  <w:r>
                    <w:rPr>
                      <w:color w:val="00B050"/>
                    </w:rPr>
                    <w:t>7.10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color w:val="00B050"/>
                      <w:szCs w:val="21"/>
                    </w:rPr>
                  </w:pPr>
                  <w:r>
                    <w:rPr>
                      <w:color w:val="00B050"/>
                    </w:rPr>
                    <w:t>800.0</w:t>
                  </w:r>
                </w:p>
              </w:tc>
              <w:tc>
                <w:tcPr>
                  <w:tcW w:w="2977" w:type="dxa"/>
                  <w:vAlign w:val="center"/>
                </w:tcPr>
                <w:p>
                  <w:pPr>
                    <w:jc w:val="center"/>
                    <w:rPr>
                      <w:color w:val="00B050"/>
                      <w:szCs w:val="21"/>
                    </w:rPr>
                  </w:pPr>
                  <w:r>
                    <w:rPr>
                      <w:color w:val="00B050"/>
                    </w:rPr>
                    <w:t>62.99</w:t>
                  </w:r>
                </w:p>
              </w:tc>
              <w:tc>
                <w:tcPr>
                  <w:tcW w:w="3119" w:type="dxa"/>
                  <w:vAlign w:val="center"/>
                </w:tcPr>
                <w:p>
                  <w:pPr>
                    <w:jc w:val="center"/>
                    <w:rPr>
                      <w:color w:val="00B050"/>
                      <w:szCs w:val="21"/>
                    </w:rPr>
                  </w:pPr>
                  <w:r>
                    <w:rPr>
                      <w:color w:val="00B050"/>
                    </w:rPr>
                    <w:t>7.00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color w:val="00B050"/>
                      <w:szCs w:val="21"/>
                    </w:rPr>
                  </w:pPr>
                  <w:r>
                    <w:rPr>
                      <w:color w:val="00B050"/>
                    </w:rPr>
                    <w:t>900.0</w:t>
                  </w:r>
                </w:p>
              </w:tc>
              <w:tc>
                <w:tcPr>
                  <w:tcW w:w="2977" w:type="dxa"/>
                  <w:vAlign w:val="center"/>
                </w:tcPr>
                <w:p>
                  <w:pPr>
                    <w:jc w:val="center"/>
                    <w:rPr>
                      <w:color w:val="00B050"/>
                      <w:szCs w:val="21"/>
                    </w:rPr>
                  </w:pPr>
                  <w:r>
                    <w:rPr>
                      <w:color w:val="00B050"/>
                    </w:rPr>
                    <w:t>61.75</w:t>
                  </w:r>
                </w:p>
              </w:tc>
              <w:tc>
                <w:tcPr>
                  <w:tcW w:w="3119" w:type="dxa"/>
                  <w:vAlign w:val="center"/>
                </w:tcPr>
                <w:p>
                  <w:pPr>
                    <w:jc w:val="center"/>
                    <w:rPr>
                      <w:color w:val="00B050"/>
                      <w:szCs w:val="21"/>
                    </w:rPr>
                  </w:pPr>
                  <w:r>
                    <w:rPr>
                      <w:color w:val="00B050"/>
                    </w:rPr>
                    <w:t>6.86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color w:val="00B050"/>
                      <w:szCs w:val="21"/>
                    </w:rPr>
                  </w:pPr>
                  <w:r>
                    <w:rPr>
                      <w:color w:val="00B050"/>
                    </w:rPr>
                    <w:t>1000.0</w:t>
                  </w:r>
                </w:p>
              </w:tc>
              <w:tc>
                <w:tcPr>
                  <w:tcW w:w="2977" w:type="dxa"/>
                  <w:vAlign w:val="center"/>
                </w:tcPr>
                <w:p>
                  <w:pPr>
                    <w:jc w:val="center"/>
                    <w:rPr>
                      <w:color w:val="00B050"/>
                      <w:szCs w:val="21"/>
                    </w:rPr>
                  </w:pPr>
                  <w:r>
                    <w:rPr>
                      <w:color w:val="00B050"/>
                    </w:rPr>
                    <w:t>60.28</w:t>
                  </w:r>
                </w:p>
              </w:tc>
              <w:tc>
                <w:tcPr>
                  <w:tcW w:w="3119" w:type="dxa"/>
                  <w:vAlign w:val="center"/>
                </w:tcPr>
                <w:p>
                  <w:pPr>
                    <w:jc w:val="center"/>
                    <w:rPr>
                      <w:color w:val="00B050"/>
                      <w:szCs w:val="21"/>
                    </w:rPr>
                  </w:pPr>
                  <w:r>
                    <w:rPr>
                      <w:color w:val="00B050"/>
                    </w:rPr>
                    <w:t>6.70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color w:val="00B050"/>
                      <w:szCs w:val="21"/>
                    </w:rPr>
                  </w:pPr>
                  <w:r>
                    <w:rPr>
                      <w:color w:val="00B050"/>
                    </w:rPr>
                    <w:t>1200.0</w:t>
                  </w:r>
                </w:p>
              </w:tc>
              <w:tc>
                <w:tcPr>
                  <w:tcW w:w="2977" w:type="dxa"/>
                  <w:vAlign w:val="center"/>
                </w:tcPr>
                <w:p>
                  <w:pPr>
                    <w:jc w:val="center"/>
                    <w:rPr>
                      <w:color w:val="00B050"/>
                      <w:szCs w:val="21"/>
                    </w:rPr>
                  </w:pPr>
                  <w:r>
                    <w:rPr>
                      <w:color w:val="00B050"/>
                    </w:rPr>
                    <w:t>57.12</w:t>
                  </w:r>
                </w:p>
              </w:tc>
              <w:tc>
                <w:tcPr>
                  <w:tcW w:w="3119" w:type="dxa"/>
                  <w:vAlign w:val="center"/>
                </w:tcPr>
                <w:p>
                  <w:pPr>
                    <w:jc w:val="center"/>
                    <w:rPr>
                      <w:color w:val="00B050"/>
                      <w:szCs w:val="21"/>
                    </w:rPr>
                  </w:pPr>
                  <w:r>
                    <w:rPr>
                      <w:color w:val="00B050"/>
                    </w:rPr>
                    <w:t>6.35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color w:val="00B050"/>
                      <w:szCs w:val="21"/>
                    </w:rPr>
                  </w:pPr>
                  <w:r>
                    <w:rPr>
                      <w:color w:val="00B050"/>
                    </w:rPr>
                    <w:t>1400.0</w:t>
                  </w:r>
                </w:p>
              </w:tc>
              <w:tc>
                <w:tcPr>
                  <w:tcW w:w="2977" w:type="dxa"/>
                  <w:vAlign w:val="center"/>
                </w:tcPr>
                <w:p>
                  <w:pPr>
                    <w:jc w:val="center"/>
                    <w:rPr>
                      <w:color w:val="00B050"/>
                      <w:szCs w:val="21"/>
                    </w:rPr>
                  </w:pPr>
                  <w:r>
                    <w:rPr>
                      <w:color w:val="00B050"/>
                    </w:rPr>
                    <w:t>53.93</w:t>
                  </w:r>
                </w:p>
              </w:tc>
              <w:tc>
                <w:tcPr>
                  <w:tcW w:w="3119" w:type="dxa"/>
                  <w:vAlign w:val="center"/>
                </w:tcPr>
                <w:p>
                  <w:pPr>
                    <w:jc w:val="center"/>
                    <w:rPr>
                      <w:color w:val="00B050"/>
                      <w:szCs w:val="21"/>
                    </w:rPr>
                  </w:pPr>
                  <w:r>
                    <w:rPr>
                      <w:color w:val="00B050"/>
                    </w:rPr>
                    <w:t>5.99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color w:val="00B050"/>
                      <w:szCs w:val="21"/>
                    </w:rPr>
                  </w:pPr>
                  <w:r>
                    <w:rPr>
                      <w:color w:val="00B050"/>
                    </w:rPr>
                    <w:t>1600.0</w:t>
                  </w:r>
                </w:p>
              </w:tc>
              <w:tc>
                <w:tcPr>
                  <w:tcW w:w="2977" w:type="dxa"/>
                  <w:vAlign w:val="center"/>
                </w:tcPr>
                <w:p>
                  <w:pPr>
                    <w:jc w:val="center"/>
                    <w:rPr>
                      <w:color w:val="00B050"/>
                      <w:szCs w:val="21"/>
                    </w:rPr>
                  </w:pPr>
                  <w:r>
                    <w:rPr>
                      <w:color w:val="00B050"/>
                    </w:rPr>
                    <w:t>50.74</w:t>
                  </w:r>
                </w:p>
              </w:tc>
              <w:tc>
                <w:tcPr>
                  <w:tcW w:w="3119" w:type="dxa"/>
                  <w:vAlign w:val="center"/>
                </w:tcPr>
                <w:p>
                  <w:pPr>
                    <w:jc w:val="center"/>
                    <w:rPr>
                      <w:color w:val="00B050"/>
                      <w:szCs w:val="21"/>
                    </w:rPr>
                  </w:pPr>
                  <w:r>
                    <w:rPr>
                      <w:color w:val="00B050"/>
                    </w:rPr>
                    <w:t>5.64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color w:val="00B050"/>
                      <w:szCs w:val="21"/>
                    </w:rPr>
                  </w:pPr>
                  <w:r>
                    <w:rPr>
                      <w:color w:val="00B050"/>
                    </w:rPr>
                    <w:t>1800.0</w:t>
                  </w:r>
                </w:p>
              </w:tc>
              <w:tc>
                <w:tcPr>
                  <w:tcW w:w="2977" w:type="dxa"/>
                  <w:vAlign w:val="center"/>
                </w:tcPr>
                <w:p>
                  <w:pPr>
                    <w:jc w:val="center"/>
                    <w:rPr>
                      <w:color w:val="00B050"/>
                      <w:szCs w:val="21"/>
                    </w:rPr>
                  </w:pPr>
                  <w:r>
                    <w:rPr>
                      <w:color w:val="00B050"/>
                    </w:rPr>
                    <w:t>47.67</w:t>
                  </w:r>
                </w:p>
              </w:tc>
              <w:tc>
                <w:tcPr>
                  <w:tcW w:w="3119" w:type="dxa"/>
                  <w:vAlign w:val="center"/>
                </w:tcPr>
                <w:p>
                  <w:pPr>
                    <w:jc w:val="center"/>
                    <w:rPr>
                      <w:color w:val="00B050"/>
                      <w:szCs w:val="21"/>
                    </w:rPr>
                  </w:pPr>
                  <w:r>
                    <w:rPr>
                      <w:color w:val="00B050"/>
                    </w:rPr>
                    <w:t>5.30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color w:val="00B050"/>
                      <w:szCs w:val="21"/>
                    </w:rPr>
                  </w:pPr>
                  <w:r>
                    <w:rPr>
                      <w:color w:val="00B050"/>
                    </w:rPr>
                    <w:t>2000.0</w:t>
                  </w:r>
                </w:p>
              </w:tc>
              <w:tc>
                <w:tcPr>
                  <w:tcW w:w="2977" w:type="dxa"/>
                  <w:vAlign w:val="center"/>
                </w:tcPr>
                <w:p>
                  <w:pPr>
                    <w:tabs>
                      <w:tab w:val="left" w:pos="1340"/>
                    </w:tabs>
                    <w:jc w:val="center"/>
                    <w:rPr>
                      <w:color w:val="00B050"/>
                      <w:szCs w:val="21"/>
                    </w:rPr>
                  </w:pPr>
                  <w:r>
                    <w:rPr>
                      <w:color w:val="00B050"/>
                    </w:rPr>
                    <w:t>44.80</w:t>
                  </w:r>
                </w:p>
              </w:tc>
              <w:tc>
                <w:tcPr>
                  <w:tcW w:w="3119" w:type="dxa"/>
                  <w:vAlign w:val="center"/>
                </w:tcPr>
                <w:p>
                  <w:pPr>
                    <w:jc w:val="center"/>
                    <w:rPr>
                      <w:color w:val="00B050"/>
                      <w:szCs w:val="21"/>
                    </w:rPr>
                  </w:pPr>
                  <w:r>
                    <w:rPr>
                      <w:color w:val="00B050"/>
                    </w:rPr>
                    <w:t>4.98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175" w:hRule="atLeast"/>
              </w:trPr>
              <w:tc>
                <w:tcPr>
                  <w:tcW w:w="2698" w:type="dxa"/>
                  <w:vAlign w:val="center"/>
                </w:tcPr>
                <w:p>
                  <w:pPr>
                    <w:jc w:val="center"/>
                    <w:rPr>
                      <w:color w:val="00B050"/>
                      <w:szCs w:val="21"/>
                    </w:rPr>
                  </w:pPr>
                  <w:r>
                    <w:rPr>
                      <w:color w:val="00B050"/>
                    </w:rPr>
                    <w:t>2500.0</w:t>
                  </w:r>
                </w:p>
              </w:tc>
              <w:tc>
                <w:tcPr>
                  <w:tcW w:w="2977" w:type="dxa"/>
                  <w:vAlign w:val="center"/>
                </w:tcPr>
                <w:p>
                  <w:pPr>
                    <w:jc w:val="center"/>
                    <w:rPr>
                      <w:color w:val="00B050"/>
                      <w:szCs w:val="21"/>
                    </w:rPr>
                  </w:pPr>
                  <w:r>
                    <w:rPr>
                      <w:color w:val="00B050"/>
                    </w:rPr>
                    <w:t>39.15</w:t>
                  </w:r>
                </w:p>
              </w:tc>
              <w:tc>
                <w:tcPr>
                  <w:tcW w:w="3119" w:type="dxa"/>
                  <w:vAlign w:val="center"/>
                </w:tcPr>
                <w:p>
                  <w:pPr>
                    <w:jc w:val="center"/>
                    <w:rPr>
                      <w:color w:val="00B050"/>
                      <w:szCs w:val="21"/>
                    </w:rPr>
                  </w:pPr>
                  <w:r>
                    <w:rPr>
                      <w:color w:val="00B050"/>
                    </w:rPr>
                    <w:t>4.35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333" w:hRule="atLeast"/>
              </w:trPr>
              <w:tc>
                <w:tcPr>
                  <w:tcW w:w="2698" w:type="dxa"/>
                  <w:vAlign w:val="center"/>
                </w:tcPr>
                <w:p>
                  <w:pPr>
                    <w:widowControl/>
                    <w:adjustRightInd w:val="0"/>
                    <w:snapToGrid w:val="0"/>
                    <w:spacing w:line="240" w:lineRule="atLeast"/>
                    <w:jc w:val="center"/>
                    <w:textAlignment w:val="center"/>
                    <w:rPr>
                      <w:color w:val="00B050"/>
                      <w:szCs w:val="21"/>
                    </w:rPr>
                  </w:pPr>
                  <w:r>
                    <w:rPr>
                      <w:color w:val="00B050"/>
                      <w:szCs w:val="21"/>
                    </w:rPr>
                    <w:t>最大落地浓度及其占标率</w:t>
                  </w:r>
                </w:p>
              </w:tc>
              <w:tc>
                <w:tcPr>
                  <w:tcW w:w="2977" w:type="dxa"/>
                  <w:vAlign w:val="center"/>
                </w:tcPr>
                <w:p>
                  <w:pPr>
                    <w:jc w:val="center"/>
                    <w:rPr>
                      <w:b/>
                      <w:color w:val="00B050"/>
                      <w:szCs w:val="21"/>
                    </w:rPr>
                  </w:pPr>
                  <w:r>
                    <w:rPr>
                      <w:color w:val="00B050"/>
                    </w:rPr>
                    <w:t>64.70</w:t>
                  </w:r>
                </w:p>
              </w:tc>
              <w:tc>
                <w:tcPr>
                  <w:tcW w:w="3119" w:type="dxa"/>
                  <w:vAlign w:val="center"/>
                </w:tcPr>
                <w:p>
                  <w:pPr>
                    <w:jc w:val="center"/>
                    <w:rPr>
                      <w:b/>
                      <w:color w:val="00B050"/>
                      <w:szCs w:val="21"/>
                    </w:rPr>
                  </w:pPr>
                  <w:r>
                    <w:rPr>
                      <w:color w:val="00B050"/>
                    </w:rPr>
                    <w:t>7.19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0" w:type="dxa"/>
                  <w:bottom w:w="28" w:type="dxa"/>
                  <w:right w:w="0" w:type="dxa"/>
                </w:tblCellMar>
              </w:tblPrEx>
              <w:trPr>
                <w:trHeight w:val="339" w:hRule="atLeast"/>
              </w:trPr>
              <w:tc>
                <w:tcPr>
                  <w:tcW w:w="2698" w:type="dxa"/>
                  <w:vAlign w:val="center"/>
                </w:tcPr>
                <w:p>
                  <w:pPr>
                    <w:widowControl/>
                    <w:adjustRightInd w:val="0"/>
                    <w:snapToGrid w:val="0"/>
                    <w:spacing w:line="240" w:lineRule="atLeast"/>
                    <w:jc w:val="center"/>
                    <w:textAlignment w:val="center"/>
                    <w:rPr>
                      <w:color w:val="00B050"/>
                      <w:szCs w:val="21"/>
                    </w:rPr>
                  </w:pPr>
                  <w:r>
                    <w:rPr>
                      <w:color w:val="00B050"/>
                      <w:szCs w:val="21"/>
                    </w:rPr>
                    <w:t>最大落地浓度距源中心距离</w:t>
                  </w:r>
                </w:p>
              </w:tc>
              <w:tc>
                <w:tcPr>
                  <w:tcW w:w="6096" w:type="dxa"/>
                  <w:gridSpan w:val="2"/>
                  <w:vAlign w:val="center"/>
                </w:tcPr>
                <w:p>
                  <w:pPr>
                    <w:widowControl/>
                    <w:adjustRightInd w:val="0"/>
                    <w:snapToGrid w:val="0"/>
                    <w:spacing w:line="240" w:lineRule="atLeast"/>
                    <w:jc w:val="center"/>
                    <w:textAlignment w:val="center"/>
                    <w:rPr>
                      <w:b/>
                      <w:color w:val="00B050"/>
                      <w:szCs w:val="21"/>
                    </w:rPr>
                  </w:pPr>
                  <w:r>
                    <w:rPr>
                      <w:b/>
                      <w:color w:val="00B050"/>
                      <w:szCs w:val="21"/>
                    </w:rPr>
                    <w:t>527m</w:t>
                  </w:r>
                </w:p>
              </w:tc>
            </w:tr>
          </w:tbl>
          <w:p>
            <w:pPr>
              <w:spacing w:line="360" w:lineRule="auto"/>
              <w:ind w:firstLine="480" w:firstLineChars="200"/>
              <w:rPr>
                <w:sz w:val="24"/>
                <w:szCs w:val="24"/>
              </w:rPr>
            </w:pPr>
            <w:r>
              <w:rPr>
                <w:rFonts w:hint="eastAsia"/>
                <w:sz w:val="24"/>
                <w:szCs w:val="24"/>
              </w:rPr>
              <w:t>2、废气排放达标分析</w:t>
            </w:r>
          </w:p>
          <w:p>
            <w:pPr>
              <w:spacing w:line="360" w:lineRule="auto"/>
              <w:ind w:firstLine="480" w:firstLineChars="200"/>
              <w:rPr>
                <w:snapToGrid w:val="0"/>
                <w:kern w:val="0"/>
                <w:sz w:val="24"/>
                <w:szCs w:val="24"/>
              </w:rPr>
            </w:pPr>
            <w:r>
              <w:rPr>
                <w:rFonts w:hint="eastAsia"/>
                <w:sz w:val="24"/>
                <w:szCs w:val="24"/>
              </w:rPr>
              <w:t>隧道窑</w:t>
            </w:r>
            <w:r>
              <w:rPr>
                <w:rFonts w:hint="eastAsia"/>
                <w:bCs/>
                <w:snapToGrid w:val="0"/>
                <w:kern w:val="0"/>
                <w:sz w:val="24"/>
                <w:szCs w:val="24"/>
              </w:rPr>
              <w:t>废气</w:t>
            </w:r>
            <w:r>
              <w:rPr>
                <w:rFonts w:hint="eastAsia"/>
                <w:sz w:val="24"/>
                <w:szCs w:val="24"/>
              </w:rPr>
              <w:t>中</w:t>
            </w:r>
            <w:r>
              <w:rPr>
                <w:sz w:val="24"/>
                <w:szCs w:val="24"/>
              </w:rPr>
              <w:t>SO</w:t>
            </w:r>
            <w:r>
              <w:rPr>
                <w:sz w:val="24"/>
                <w:szCs w:val="24"/>
                <w:vertAlign w:val="subscript"/>
              </w:rPr>
              <w:t>2</w:t>
            </w:r>
            <w:r>
              <w:rPr>
                <w:rFonts w:hint="eastAsia"/>
                <w:sz w:val="24"/>
                <w:szCs w:val="24"/>
              </w:rPr>
              <w:t>、NO</w:t>
            </w:r>
            <w:r>
              <w:rPr>
                <w:rFonts w:hint="eastAsia"/>
                <w:sz w:val="24"/>
                <w:szCs w:val="24"/>
                <w:vertAlign w:val="subscript"/>
              </w:rPr>
              <w:t>X</w:t>
            </w:r>
            <w:r>
              <w:rPr>
                <w:rFonts w:hint="eastAsia"/>
                <w:sz w:val="24"/>
                <w:szCs w:val="24"/>
              </w:rPr>
              <w:t>、烟尘及氟化物污染物的排放量分别为0.680t/a、10.609t/a、1.361t/a、0.070t/a，排放浓度分别为8.8</w:t>
            </w:r>
            <w:r>
              <w:rPr>
                <w:rFonts w:hint="eastAsia"/>
                <w:snapToGrid w:val="0"/>
                <w:kern w:val="0"/>
                <w:sz w:val="24"/>
                <w:szCs w:val="24"/>
              </w:rPr>
              <w:t>mg/m</w:t>
            </w:r>
            <w:r>
              <w:rPr>
                <w:rFonts w:hint="eastAsia"/>
                <w:snapToGrid w:val="0"/>
                <w:kern w:val="0"/>
                <w:sz w:val="24"/>
                <w:szCs w:val="24"/>
                <w:vertAlign w:val="superscript"/>
              </w:rPr>
              <w:t>3</w:t>
            </w:r>
            <w:r>
              <w:rPr>
                <w:rFonts w:hint="eastAsia"/>
                <w:snapToGrid w:val="0"/>
                <w:kern w:val="0"/>
                <w:sz w:val="24"/>
                <w:szCs w:val="24"/>
              </w:rPr>
              <w:t>、137.3mg/m</w:t>
            </w:r>
            <w:r>
              <w:rPr>
                <w:rFonts w:hint="eastAsia"/>
                <w:snapToGrid w:val="0"/>
                <w:kern w:val="0"/>
                <w:sz w:val="24"/>
                <w:szCs w:val="24"/>
                <w:vertAlign w:val="superscript"/>
              </w:rPr>
              <w:t>3</w:t>
            </w:r>
            <w:r>
              <w:rPr>
                <w:rFonts w:hint="eastAsia"/>
                <w:snapToGrid w:val="0"/>
                <w:kern w:val="0"/>
                <w:sz w:val="24"/>
                <w:szCs w:val="24"/>
              </w:rPr>
              <w:t>、17.6mg/m</w:t>
            </w:r>
            <w:r>
              <w:rPr>
                <w:rFonts w:hint="eastAsia"/>
                <w:snapToGrid w:val="0"/>
                <w:kern w:val="0"/>
                <w:sz w:val="24"/>
                <w:szCs w:val="24"/>
                <w:vertAlign w:val="superscript"/>
              </w:rPr>
              <w:t>3</w:t>
            </w:r>
            <w:r>
              <w:rPr>
                <w:rFonts w:hint="eastAsia"/>
                <w:snapToGrid w:val="0"/>
                <w:kern w:val="0"/>
                <w:sz w:val="24"/>
                <w:szCs w:val="24"/>
              </w:rPr>
              <w:t>、0.91 mg/m</w:t>
            </w:r>
            <w:r>
              <w:rPr>
                <w:rFonts w:hint="eastAsia"/>
                <w:snapToGrid w:val="0"/>
                <w:kern w:val="0"/>
                <w:sz w:val="24"/>
                <w:szCs w:val="24"/>
                <w:vertAlign w:val="superscript"/>
              </w:rPr>
              <w:t>3</w:t>
            </w:r>
            <w:r>
              <w:rPr>
                <w:rFonts w:hint="eastAsia"/>
                <w:snapToGrid w:val="0"/>
                <w:kern w:val="0"/>
                <w:sz w:val="24"/>
                <w:szCs w:val="24"/>
              </w:rPr>
              <w:t>，满足</w:t>
            </w:r>
            <w:r>
              <w:rPr>
                <w:rFonts w:hint="eastAsia" w:hAnsi="宋体"/>
                <w:bCs/>
                <w:sz w:val="24"/>
                <w:szCs w:val="24"/>
              </w:rPr>
              <w:t>《关中地区重点行业大气污染物排放标准》（GB61 1226-2018）中的表7砖瓦工业大气污染物排放浓度限值表（人工干燥及焙烧）：</w:t>
            </w:r>
            <w:r>
              <w:rPr>
                <w:sz w:val="24"/>
                <w:szCs w:val="24"/>
              </w:rPr>
              <w:t>SO</w:t>
            </w:r>
            <w:r>
              <w:rPr>
                <w:sz w:val="24"/>
                <w:szCs w:val="24"/>
                <w:vertAlign w:val="subscript"/>
              </w:rPr>
              <w:t>2</w:t>
            </w:r>
            <w:r>
              <w:rPr>
                <w:rFonts w:hint="eastAsia"/>
                <w:sz w:val="24"/>
                <w:szCs w:val="24"/>
              </w:rPr>
              <w:t>、NO</w:t>
            </w:r>
            <w:r>
              <w:rPr>
                <w:rFonts w:hint="eastAsia"/>
                <w:sz w:val="24"/>
                <w:szCs w:val="24"/>
                <w:vertAlign w:val="subscript"/>
              </w:rPr>
              <w:t>X</w:t>
            </w:r>
            <w:r>
              <w:rPr>
                <w:rFonts w:hint="eastAsia"/>
                <w:sz w:val="24"/>
                <w:szCs w:val="24"/>
              </w:rPr>
              <w:t>、颗粒物及氟化物分别为1</w:t>
            </w:r>
            <w:r>
              <w:rPr>
                <w:rFonts w:hint="eastAsia"/>
                <w:snapToGrid w:val="0"/>
                <w:kern w:val="0"/>
                <w:sz w:val="24"/>
                <w:szCs w:val="24"/>
              </w:rPr>
              <w:t>00mg/m</w:t>
            </w:r>
            <w:r>
              <w:rPr>
                <w:rFonts w:hint="eastAsia"/>
                <w:snapToGrid w:val="0"/>
                <w:kern w:val="0"/>
                <w:sz w:val="24"/>
                <w:szCs w:val="24"/>
                <w:vertAlign w:val="superscript"/>
              </w:rPr>
              <w:t>3</w:t>
            </w:r>
            <w:r>
              <w:rPr>
                <w:rFonts w:hint="eastAsia"/>
                <w:snapToGrid w:val="0"/>
                <w:kern w:val="0"/>
                <w:sz w:val="24"/>
                <w:szCs w:val="24"/>
              </w:rPr>
              <w:t>、150mg/m</w:t>
            </w:r>
            <w:r>
              <w:rPr>
                <w:rFonts w:hint="eastAsia"/>
                <w:snapToGrid w:val="0"/>
                <w:kern w:val="0"/>
                <w:sz w:val="24"/>
                <w:szCs w:val="24"/>
                <w:vertAlign w:val="superscript"/>
              </w:rPr>
              <w:t>3</w:t>
            </w:r>
            <w:r>
              <w:rPr>
                <w:rFonts w:hint="eastAsia"/>
                <w:snapToGrid w:val="0"/>
                <w:kern w:val="0"/>
                <w:sz w:val="24"/>
                <w:szCs w:val="24"/>
              </w:rPr>
              <w:t>、20mg/m</w:t>
            </w:r>
            <w:r>
              <w:rPr>
                <w:rFonts w:hint="eastAsia"/>
                <w:snapToGrid w:val="0"/>
                <w:kern w:val="0"/>
                <w:sz w:val="24"/>
                <w:szCs w:val="24"/>
                <w:vertAlign w:val="superscript"/>
              </w:rPr>
              <w:t>3</w:t>
            </w:r>
            <w:r>
              <w:rPr>
                <w:rFonts w:hint="eastAsia"/>
                <w:snapToGrid w:val="0"/>
                <w:kern w:val="0"/>
                <w:sz w:val="24"/>
                <w:szCs w:val="24"/>
              </w:rPr>
              <w:t>、3mg/m</w:t>
            </w:r>
            <w:r>
              <w:rPr>
                <w:rFonts w:hint="eastAsia"/>
                <w:snapToGrid w:val="0"/>
                <w:kern w:val="0"/>
                <w:sz w:val="24"/>
                <w:szCs w:val="24"/>
                <w:vertAlign w:val="superscript"/>
              </w:rPr>
              <w:t>3</w:t>
            </w:r>
            <w:r>
              <w:rPr>
                <w:rFonts w:hint="eastAsia"/>
                <w:snapToGrid w:val="0"/>
                <w:kern w:val="0"/>
                <w:sz w:val="24"/>
                <w:szCs w:val="24"/>
              </w:rPr>
              <w:t>。项目有组织废气可达标排放。</w:t>
            </w:r>
          </w:p>
          <w:p>
            <w:pPr>
              <w:spacing w:line="360" w:lineRule="auto"/>
              <w:ind w:firstLine="480" w:firstLineChars="200"/>
              <w:rPr>
                <w:color w:val="00B050"/>
                <w:sz w:val="24"/>
                <w:szCs w:val="24"/>
              </w:rPr>
            </w:pPr>
            <w:r>
              <w:rPr>
                <w:rFonts w:hint="eastAsia"/>
                <w:color w:val="00B050"/>
                <w:sz w:val="24"/>
                <w:szCs w:val="24"/>
              </w:rPr>
              <w:t>经预测，项目开采产生的无组织粉尘最大落地浓度分别为34.70</w:t>
            </w:r>
            <w:r>
              <w:rPr>
                <w:color w:val="00B050"/>
                <w:sz w:val="24"/>
                <w:szCs w:val="24"/>
              </w:rPr>
              <w:t>μg</w:t>
            </w:r>
            <w:r>
              <w:rPr>
                <w:rFonts w:hint="eastAsia"/>
                <w:color w:val="00B050"/>
                <w:sz w:val="24"/>
                <w:szCs w:val="24"/>
              </w:rPr>
              <w:t>/m</w:t>
            </w:r>
            <w:r>
              <w:rPr>
                <w:rFonts w:hint="eastAsia"/>
                <w:color w:val="00B050"/>
                <w:sz w:val="24"/>
                <w:szCs w:val="24"/>
                <w:vertAlign w:val="superscript"/>
              </w:rPr>
              <w:t>3</w:t>
            </w:r>
            <w:r>
              <w:rPr>
                <w:rFonts w:hint="eastAsia"/>
                <w:color w:val="00B050"/>
                <w:sz w:val="24"/>
                <w:szCs w:val="24"/>
              </w:rPr>
              <w:t>，无组织粉尘可满足《大气污染物综合排放标准》（GB16297-1996）中颗粒物周界外浓度最高点1.0mg/m</w:t>
            </w:r>
            <w:r>
              <w:rPr>
                <w:rFonts w:hint="eastAsia"/>
                <w:color w:val="00B050"/>
                <w:sz w:val="24"/>
                <w:szCs w:val="24"/>
                <w:vertAlign w:val="superscript"/>
              </w:rPr>
              <w:t>3</w:t>
            </w:r>
            <w:r>
              <w:rPr>
                <w:rFonts w:hint="eastAsia"/>
                <w:color w:val="00B050"/>
                <w:sz w:val="24"/>
                <w:szCs w:val="24"/>
              </w:rPr>
              <w:t>要求。</w:t>
            </w:r>
          </w:p>
          <w:p>
            <w:pPr>
              <w:spacing w:line="360" w:lineRule="auto"/>
              <w:ind w:firstLine="480" w:firstLineChars="200"/>
              <w:rPr>
                <w:sz w:val="24"/>
                <w:szCs w:val="24"/>
              </w:rPr>
            </w:pPr>
            <w:r>
              <w:rPr>
                <w:rFonts w:hint="eastAsia"/>
                <w:sz w:val="24"/>
                <w:szCs w:val="24"/>
              </w:rPr>
              <w:t>3、污染物排放量核算</w:t>
            </w:r>
          </w:p>
          <w:p>
            <w:pPr>
              <w:spacing w:line="360" w:lineRule="auto"/>
              <w:ind w:firstLine="480" w:firstLineChars="200"/>
              <w:rPr>
                <w:kern w:val="0"/>
                <w:sz w:val="24"/>
                <w:szCs w:val="24"/>
              </w:rPr>
            </w:pPr>
            <w:r>
              <w:rPr>
                <w:sz w:val="24"/>
                <w:szCs w:val="24"/>
              </w:rPr>
              <w:t>大气污染物排放量核算情况见下表。</w:t>
            </w:r>
          </w:p>
          <w:p>
            <w:pPr>
              <w:pStyle w:val="7"/>
              <w:spacing w:before="62" w:beforeLines="20"/>
              <w:jc w:val="center"/>
              <w:rPr>
                <w:b/>
                <w:szCs w:val="21"/>
              </w:rPr>
            </w:pPr>
            <w:r>
              <w:rPr>
                <w:b/>
                <w:szCs w:val="21"/>
              </w:rPr>
              <w:t>表</w:t>
            </w:r>
            <w:r>
              <w:rPr>
                <w:rFonts w:hint="eastAsia"/>
                <w:b/>
                <w:szCs w:val="21"/>
              </w:rPr>
              <w:t>44</w:t>
            </w:r>
            <w:r>
              <w:rPr>
                <w:b/>
                <w:szCs w:val="21"/>
              </w:rPr>
              <w:t xml:space="preserve"> 项目大气污染物有组织排放核算表</w:t>
            </w:r>
          </w:p>
          <w:tbl>
            <w:tblPr>
              <w:tblStyle w:val="25"/>
              <w:tblW w:w="877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611"/>
              <w:gridCol w:w="2159"/>
              <w:gridCol w:w="1883"/>
              <w:gridCol w:w="14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662" w:type="dxa"/>
                  <w:vAlign w:val="center"/>
                </w:tcPr>
                <w:p>
                  <w:pPr>
                    <w:spacing w:line="240" w:lineRule="auto"/>
                    <w:jc w:val="center"/>
                    <w:rPr>
                      <w:szCs w:val="21"/>
                    </w:rPr>
                  </w:pPr>
                  <w:r>
                    <w:rPr>
                      <w:szCs w:val="21"/>
                    </w:rPr>
                    <w:t>排放口编号</w:t>
                  </w:r>
                </w:p>
              </w:tc>
              <w:tc>
                <w:tcPr>
                  <w:tcW w:w="1611" w:type="dxa"/>
                  <w:vAlign w:val="center"/>
                </w:tcPr>
                <w:p>
                  <w:pPr>
                    <w:spacing w:line="240" w:lineRule="auto"/>
                    <w:jc w:val="center"/>
                    <w:rPr>
                      <w:szCs w:val="21"/>
                    </w:rPr>
                  </w:pPr>
                  <w:r>
                    <w:rPr>
                      <w:szCs w:val="21"/>
                    </w:rPr>
                    <w:t>污染物</w:t>
                  </w:r>
                </w:p>
              </w:tc>
              <w:tc>
                <w:tcPr>
                  <w:tcW w:w="2159" w:type="dxa"/>
                  <w:vAlign w:val="center"/>
                </w:tcPr>
                <w:p>
                  <w:pPr>
                    <w:spacing w:line="240" w:lineRule="auto"/>
                    <w:jc w:val="center"/>
                    <w:rPr>
                      <w:szCs w:val="21"/>
                    </w:rPr>
                  </w:pPr>
                  <w:r>
                    <w:rPr>
                      <w:szCs w:val="21"/>
                    </w:rPr>
                    <w:t>核算排放浓度（mg/m</w:t>
                  </w:r>
                  <w:r>
                    <w:rPr>
                      <w:szCs w:val="21"/>
                      <w:vertAlign w:val="superscript"/>
                    </w:rPr>
                    <w:t>3</w:t>
                  </w:r>
                  <w:r>
                    <w:rPr>
                      <w:szCs w:val="21"/>
                    </w:rPr>
                    <w:t>）</w:t>
                  </w:r>
                </w:p>
              </w:tc>
              <w:tc>
                <w:tcPr>
                  <w:tcW w:w="1883" w:type="dxa"/>
                  <w:vAlign w:val="center"/>
                </w:tcPr>
                <w:p>
                  <w:pPr>
                    <w:spacing w:line="240" w:lineRule="auto"/>
                    <w:jc w:val="center"/>
                    <w:rPr>
                      <w:szCs w:val="21"/>
                    </w:rPr>
                  </w:pPr>
                  <w:r>
                    <w:rPr>
                      <w:szCs w:val="21"/>
                    </w:rPr>
                    <w:t>核算排放速率（kg/h）</w:t>
                  </w:r>
                </w:p>
              </w:tc>
              <w:tc>
                <w:tcPr>
                  <w:tcW w:w="1460" w:type="dxa"/>
                  <w:vAlign w:val="center"/>
                </w:tcPr>
                <w:p>
                  <w:pPr>
                    <w:spacing w:line="240" w:lineRule="auto"/>
                    <w:jc w:val="center"/>
                    <w:rPr>
                      <w:szCs w:val="21"/>
                    </w:rPr>
                  </w:pPr>
                  <w:r>
                    <w:rPr>
                      <w:szCs w:val="21"/>
                    </w:rPr>
                    <w:t>核算年排放量（t/a）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662" w:type="dxa"/>
                  <w:vMerge w:val="restart"/>
                  <w:vAlign w:val="center"/>
                </w:tcPr>
                <w:p>
                  <w:pPr>
                    <w:spacing w:line="240" w:lineRule="auto"/>
                    <w:jc w:val="center"/>
                    <w:rPr>
                      <w:szCs w:val="21"/>
                    </w:rPr>
                  </w:pPr>
                  <w:r>
                    <w:rPr>
                      <w:szCs w:val="21"/>
                    </w:rPr>
                    <w:t>1#排气筒</w:t>
                  </w:r>
                </w:p>
              </w:tc>
              <w:tc>
                <w:tcPr>
                  <w:tcW w:w="1611" w:type="dxa"/>
                  <w:vAlign w:val="center"/>
                </w:tcPr>
                <w:p>
                  <w:pPr>
                    <w:spacing w:line="240" w:lineRule="auto"/>
                    <w:jc w:val="center"/>
                    <w:rPr>
                      <w:szCs w:val="21"/>
                    </w:rPr>
                  </w:pPr>
                  <w:r>
                    <w:rPr>
                      <w:szCs w:val="21"/>
                    </w:rPr>
                    <w:t>SO</w:t>
                  </w:r>
                  <w:r>
                    <w:rPr>
                      <w:szCs w:val="21"/>
                      <w:vertAlign w:val="subscript"/>
                    </w:rPr>
                    <w:t>2</w:t>
                  </w:r>
                </w:p>
              </w:tc>
              <w:tc>
                <w:tcPr>
                  <w:tcW w:w="2159" w:type="dxa"/>
                  <w:vAlign w:val="center"/>
                </w:tcPr>
                <w:p>
                  <w:pPr>
                    <w:spacing w:line="240" w:lineRule="auto"/>
                    <w:jc w:val="center"/>
                    <w:rPr>
                      <w:szCs w:val="21"/>
                    </w:rPr>
                  </w:pPr>
                  <w:r>
                    <w:rPr>
                      <w:rFonts w:hint="eastAsia"/>
                      <w:szCs w:val="21"/>
                    </w:rPr>
                    <w:t>8.8</w:t>
                  </w:r>
                </w:p>
              </w:tc>
              <w:tc>
                <w:tcPr>
                  <w:tcW w:w="1883" w:type="dxa"/>
                  <w:vAlign w:val="center"/>
                </w:tcPr>
                <w:p>
                  <w:pPr>
                    <w:spacing w:line="240" w:lineRule="auto"/>
                    <w:jc w:val="center"/>
                    <w:rPr>
                      <w:szCs w:val="21"/>
                    </w:rPr>
                  </w:pPr>
                  <w:r>
                    <w:rPr>
                      <w:szCs w:val="21"/>
                    </w:rPr>
                    <w:t>0.1</w:t>
                  </w:r>
                  <w:r>
                    <w:rPr>
                      <w:rFonts w:hint="eastAsia"/>
                      <w:szCs w:val="21"/>
                    </w:rPr>
                    <w:t>4</w:t>
                  </w:r>
                </w:p>
              </w:tc>
              <w:tc>
                <w:tcPr>
                  <w:tcW w:w="1460" w:type="dxa"/>
                  <w:vAlign w:val="center"/>
                </w:tcPr>
                <w:p>
                  <w:pPr>
                    <w:spacing w:line="240" w:lineRule="auto"/>
                    <w:jc w:val="center"/>
                    <w:rPr>
                      <w:szCs w:val="21"/>
                    </w:rPr>
                  </w:pPr>
                  <w:r>
                    <w:rPr>
                      <w:rFonts w:hint="eastAsia"/>
                      <w:szCs w:val="21"/>
                    </w:rPr>
                    <w:t>0.680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662" w:type="dxa"/>
                  <w:vMerge w:val="continue"/>
                  <w:vAlign w:val="center"/>
                </w:tcPr>
                <w:p>
                  <w:pPr>
                    <w:spacing w:line="240" w:lineRule="auto"/>
                    <w:jc w:val="center"/>
                    <w:rPr>
                      <w:szCs w:val="21"/>
                    </w:rPr>
                  </w:pPr>
                </w:p>
              </w:tc>
              <w:tc>
                <w:tcPr>
                  <w:tcW w:w="1611" w:type="dxa"/>
                  <w:vAlign w:val="center"/>
                </w:tcPr>
                <w:p>
                  <w:pPr>
                    <w:spacing w:line="240" w:lineRule="auto"/>
                    <w:jc w:val="center"/>
                    <w:rPr>
                      <w:szCs w:val="21"/>
                    </w:rPr>
                  </w:pPr>
                  <w:r>
                    <w:rPr>
                      <w:rFonts w:hint="eastAsia"/>
                      <w:szCs w:val="21"/>
                    </w:rPr>
                    <w:t>NO</w:t>
                  </w:r>
                  <w:r>
                    <w:rPr>
                      <w:rFonts w:hint="eastAsia"/>
                      <w:szCs w:val="21"/>
                      <w:vertAlign w:val="subscript"/>
                    </w:rPr>
                    <w:t>X</w:t>
                  </w:r>
                </w:p>
              </w:tc>
              <w:tc>
                <w:tcPr>
                  <w:tcW w:w="2159" w:type="dxa"/>
                  <w:vAlign w:val="center"/>
                </w:tcPr>
                <w:p>
                  <w:pPr>
                    <w:spacing w:line="240" w:lineRule="auto"/>
                    <w:jc w:val="center"/>
                    <w:rPr>
                      <w:szCs w:val="21"/>
                    </w:rPr>
                  </w:pPr>
                  <w:r>
                    <w:rPr>
                      <w:rFonts w:hint="eastAsia"/>
                      <w:szCs w:val="21"/>
                    </w:rPr>
                    <w:t>137.3</w:t>
                  </w:r>
                </w:p>
              </w:tc>
              <w:tc>
                <w:tcPr>
                  <w:tcW w:w="1883" w:type="dxa"/>
                  <w:vAlign w:val="center"/>
                </w:tcPr>
                <w:p>
                  <w:pPr>
                    <w:spacing w:line="240" w:lineRule="auto"/>
                    <w:jc w:val="center"/>
                    <w:rPr>
                      <w:szCs w:val="21"/>
                    </w:rPr>
                  </w:pPr>
                  <w:r>
                    <w:rPr>
                      <w:rFonts w:hint="eastAsia"/>
                      <w:szCs w:val="21"/>
                    </w:rPr>
                    <w:t>1.47</w:t>
                  </w:r>
                </w:p>
              </w:tc>
              <w:tc>
                <w:tcPr>
                  <w:tcW w:w="1460" w:type="dxa"/>
                  <w:vAlign w:val="center"/>
                </w:tcPr>
                <w:p>
                  <w:pPr>
                    <w:spacing w:line="240" w:lineRule="auto"/>
                    <w:jc w:val="center"/>
                    <w:rPr>
                      <w:szCs w:val="21"/>
                    </w:rPr>
                  </w:pPr>
                  <w:r>
                    <w:rPr>
                      <w:rFonts w:hint="eastAsia"/>
                      <w:szCs w:val="21"/>
                    </w:rPr>
                    <w:t>10.609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662" w:type="dxa"/>
                  <w:vMerge w:val="continue"/>
                  <w:vAlign w:val="center"/>
                </w:tcPr>
                <w:p>
                  <w:pPr>
                    <w:spacing w:line="240" w:lineRule="auto"/>
                    <w:jc w:val="center"/>
                    <w:rPr>
                      <w:szCs w:val="21"/>
                    </w:rPr>
                  </w:pPr>
                </w:p>
              </w:tc>
              <w:tc>
                <w:tcPr>
                  <w:tcW w:w="1611" w:type="dxa"/>
                  <w:vAlign w:val="center"/>
                </w:tcPr>
                <w:p>
                  <w:pPr>
                    <w:spacing w:line="240" w:lineRule="auto"/>
                    <w:jc w:val="center"/>
                    <w:rPr>
                      <w:szCs w:val="21"/>
                    </w:rPr>
                  </w:pPr>
                  <w:r>
                    <w:rPr>
                      <w:rFonts w:hint="eastAsia"/>
                      <w:snapToGrid w:val="0"/>
                      <w:kern w:val="0"/>
                      <w:szCs w:val="21"/>
                    </w:rPr>
                    <w:t>烟尘</w:t>
                  </w:r>
                </w:p>
              </w:tc>
              <w:tc>
                <w:tcPr>
                  <w:tcW w:w="2159" w:type="dxa"/>
                  <w:vAlign w:val="center"/>
                </w:tcPr>
                <w:p>
                  <w:pPr>
                    <w:spacing w:line="240" w:lineRule="auto"/>
                    <w:jc w:val="center"/>
                    <w:rPr>
                      <w:szCs w:val="21"/>
                    </w:rPr>
                  </w:pPr>
                  <w:r>
                    <w:rPr>
                      <w:rFonts w:hint="eastAsia"/>
                      <w:snapToGrid w:val="0"/>
                      <w:kern w:val="0"/>
                      <w:szCs w:val="21"/>
                    </w:rPr>
                    <w:t>17.6</w:t>
                  </w:r>
                </w:p>
              </w:tc>
              <w:tc>
                <w:tcPr>
                  <w:tcW w:w="1883" w:type="dxa"/>
                  <w:vAlign w:val="center"/>
                </w:tcPr>
                <w:p>
                  <w:pPr>
                    <w:spacing w:line="240" w:lineRule="auto"/>
                    <w:jc w:val="center"/>
                    <w:rPr>
                      <w:szCs w:val="21"/>
                    </w:rPr>
                  </w:pPr>
                  <w:r>
                    <w:rPr>
                      <w:rFonts w:hint="eastAsia"/>
                      <w:szCs w:val="21"/>
                    </w:rPr>
                    <w:t>0.19</w:t>
                  </w:r>
                </w:p>
              </w:tc>
              <w:tc>
                <w:tcPr>
                  <w:tcW w:w="1460" w:type="dxa"/>
                  <w:vAlign w:val="center"/>
                </w:tcPr>
                <w:p>
                  <w:pPr>
                    <w:spacing w:line="240" w:lineRule="auto"/>
                    <w:jc w:val="center"/>
                    <w:rPr>
                      <w:szCs w:val="21"/>
                    </w:rPr>
                  </w:pPr>
                  <w:r>
                    <w:rPr>
                      <w:rFonts w:hint="eastAsia"/>
                      <w:szCs w:val="21"/>
                    </w:rPr>
                    <w:t>1.361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662" w:type="dxa"/>
                  <w:vMerge w:val="continue"/>
                  <w:vAlign w:val="center"/>
                </w:tcPr>
                <w:p>
                  <w:pPr>
                    <w:spacing w:line="240" w:lineRule="auto"/>
                    <w:jc w:val="center"/>
                    <w:rPr>
                      <w:szCs w:val="21"/>
                    </w:rPr>
                  </w:pPr>
                </w:p>
              </w:tc>
              <w:tc>
                <w:tcPr>
                  <w:tcW w:w="1611" w:type="dxa"/>
                  <w:vAlign w:val="center"/>
                </w:tcPr>
                <w:p>
                  <w:pPr>
                    <w:spacing w:line="240" w:lineRule="auto"/>
                    <w:jc w:val="center"/>
                    <w:rPr>
                      <w:szCs w:val="21"/>
                    </w:rPr>
                  </w:pPr>
                  <w:r>
                    <w:rPr>
                      <w:rFonts w:hint="eastAsia"/>
                      <w:snapToGrid w:val="0"/>
                      <w:kern w:val="0"/>
                      <w:szCs w:val="21"/>
                    </w:rPr>
                    <w:t>氟化物</w:t>
                  </w:r>
                </w:p>
              </w:tc>
              <w:tc>
                <w:tcPr>
                  <w:tcW w:w="2159" w:type="dxa"/>
                  <w:vAlign w:val="center"/>
                </w:tcPr>
                <w:p>
                  <w:pPr>
                    <w:spacing w:line="240" w:lineRule="auto"/>
                    <w:jc w:val="center"/>
                    <w:rPr>
                      <w:szCs w:val="21"/>
                    </w:rPr>
                  </w:pPr>
                  <w:r>
                    <w:rPr>
                      <w:rFonts w:hint="eastAsia"/>
                      <w:szCs w:val="21"/>
                    </w:rPr>
                    <w:t>0.91</w:t>
                  </w:r>
                </w:p>
              </w:tc>
              <w:tc>
                <w:tcPr>
                  <w:tcW w:w="1883" w:type="dxa"/>
                  <w:vAlign w:val="center"/>
                </w:tcPr>
                <w:p>
                  <w:pPr>
                    <w:spacing w:line="240" w:lineRule="auto"/>
                    <w:jc w:val="center"/>
                    <w:rPr>
                      <w:szCs w:val="21"/>
                    </w:rPr>
                  </w:pPr>
                  <w:r>
                    <w:rPr>
                      <w:rFonts w:hint="eastAsia"/>
                      <w:szCs w:val="21"/>
                    </w:rPr>
                    <w:t>0.009</w:t>
                  </w:r>
                </w:p>
              </w:tc>
              <w:tc>
                <w:tcPr>
                  <w:tcW w:w="1460" w:type="dxa"/>
                  <w:vAlign w:val="center"/>
                </w:tcPr>
                <w:p>
                  <w:pPr>
                    <w:spacing w:line="240" w:lineRule="auto"/>
                    <w:jc w:val="center"/>
                    <w:rPr>
                      <w:szCs w:val="21"/>
                    </w:rPr>
                  </w:pPr>
                  <w:r>
                    <w:rPr>
                      <w:rFonts w:hint="eastAsia"/>
                      <w:snapToGrid w:val="0"/>
                      <w:kern w:val="0"/>
                      <w:szCs w:val="21"/>
                    </w:rPr>
                    <w:t>0.070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662" w:type="dxa"/>
                  <w:vAlign w:val="center"/>
                </w:tcPr>
                <w:p>
                  <w:pPr>
                    <w:spacing w:line="400" w:lineRule="exact"/>
                    <w:jc w:val="center"/>
                    <w:rPr>
                      <w:szCs w:val="21"/>
                    </w:rPr>
                  </w:pPr>
                  <w:r>
                    <w:rPr>
                      <w:rFonts w:hint="eastAsia"/>
                      <w:szCs w:val="21"/>
                    </w:rPr>
                    <w:t>2#排气筒</w:t>
                  </w:r>
                </w:p>
              </w:tc>
              <w:tc>
                <w:tcPr>
                  <w:tcW w:w="1611" w:type="dxa"/>
                  <w:vAlign w:val="center"/>
                </w:tcPr>
                <w:p>
                  <w:pPr>
                    <w:spacing w:line="400" w:lineRule="exact"/>
                    <w:jc w:val="center"/>
                    <w:rPr>
                      <w:snapToGrid w:val="0"/>
                      <w:kern w:val="0"/>
                      <w:szCs w:val="21"/>
                    </w:rPr>
                  </w:pPr>
                  <w:r>
                    <w:rPr>
                      <w:rFonts w:hint="eastAsia"/>
                      <w:snapToGrid w:val="0"/>
                      <w:kern w:val="0"/>
                      <w:szCs w:val="21"/>
                    </w:rPr>
                    <w:t>颗粒物</w:t>
                  </w:r>
                </w:p>
              </w:tc>
              <w:tc>
                <w:tcPr>
                  <w:tcW w:w="2159" w:type="dxa"/>
                  <w:vAlign w:val="center"/>
                </w:tcPr>
                <w:p>
                  <w:pPr>
                    <w:spacing w:line="400" w:lineRule="exact"/>
                    <w:jc w:val="center"/>
                    <w:rPr>
                      <w:szCs w:val="21"/>
                    </w:rPr>
                  </w:pPr>
                  <w:r>
                    <w:rPr>
                      <w:rFonts w:hint="eastAsia"/>
                      <w:szCs w:val="21"/>
                    </w:rPr>
                    <w:t>11.3</w:t>
                  </w:r>
                </w:p>
              </w:tc>
              <w:tc>
                <w:tcPr>
                  <w:tcW w:w="1883" w:type="dxa"/>
                  <w:vAlign w:val="center"/>
                </w:tcPr>
                <w:p>
                  <w:pPr>
                    <w:spacing w:line="400" w:lineRule="exact"/>
                    <w:jc w:val="center"/>
                    <w:rPr>
                      <w:szCs w:val="21"/>
                    </w:rPr>
                  </w:pPr>
                  <w:r>
                    <w:rPr>
                      <w:rFonts w:hint="eastAsia"/>
                      <w:szCs w:val="21"/>
                    </w:rPr>
                    <w:t>0.057</w:t>
                  </w:r>
                </w:p>
              </w:tc>
              <w:tc>
                <w:tcPr>
                  <w:tcW w:w="1460" w:type="dxa"/>
                  <w:vAlign w:val="center"/>
                </w:tcPr>
                <w:p>
                  <w:pPr>
                    <w:spacing w:line="400" w:lineRule="exact"/>
                    <w:jc w:val="center"/>
                    <w:rPr>
                      <w:snapToGrid w:val="0"/>
                      <w:kern w:val="0"/>
                      <w:szCs w:val="21"/>
                    </w:rPr>
                  </w:pPr>
                  <w:r>
                    <w:rPr>
                      <w:rFonts w:hint="eastAsia"/>
                      <w:snapToGrid w:val="0"/>
                      <w:kern w:val="0"/>
                      <w:szCs w:val="21"/>
                    </w:rPr>
                    <w:t>0.034</w:t>
                  </w:r>
                </w:p>
              </w:tc>
            </w:tr>
          </w:tbl>
          <w:p>
            <w:pPr>
              <w:pStyle w:val="7"/>
              <w:spacing w:before="62" w:beforeLines="20"/>
              <w:jc w:val="center"/>
              <w:rPr>
                <w:b/>
                <w:szCs w:val="21"/>
                <w:lang w:val="en-US"/>
              </w:rPr>
            </w:pPr>
            <w:r>
              <w:rPr>
                <w:b/>
                <w:szCs w:val="21"/>
              </w:rPr>
              <w:t>表</w:t>
            </w:r>
            <w:r>
              <w:rPr>
                <w:rFonts w:hint="eastAsia"/>
                <w:b/>
                <w:szCs w:val="21"/>
              </w:rPr>
              <w:t>45</w:t>
            </w:r>
            <w:r>
              <w:rPr>
                <w:b/>
                <w:szCs w:val="21"/>
                <w:lang w:val="en-US"/>
              </w:rPr>
              <w:t xml:space="preserve"> </w:t>
            </w:r>
            <w:r>
              <w:rPr>
                <w:b/>
                <w:szCs w:val="21"/>
              </w:rPr>
              <w:t>项目大气污染物无组织排放核算表</w:t>
            </w:r>
          </w:p>
          <w:tbl>
            <w:tblPr>
              <w:tblStyle w:val="25"/>
              <w:tblW w:w="863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92"/>
              <w:gridCol w:w="1087"/>
              <w:gridCol w:w="855"/>
              <w:gridCol w:w="2241"/>
              <w:gridCol w:w="1860"/>
              <w:gridCol w:w="1128"/>
              <w:gridCol w:w="9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492" w:type="dxa"/>
                  <w:vMerge w:val="restart"/>
                  <w:vAlign w:val="center"/>
                </w:tcPr>
                <w:p>
                  <w:pPr>
                    <w:spacing w:line="240" w:lineRule="auto"/>
                    <w:jc w:val="center"/>
                    <w:rPr>
                      <w:szCs w:val="21"/>
                    </w:rPr>
                  </w:pPr>
                  <w:r>
                    <w:rPr>
                      <w:szCs w:val="21"/>
                    </w:rPr>
                    <w:t>序号</w:t>
                  </w:r>
                </w:p>
              </w:tc>
              <w:tc>
                <w:tcPr>
                  <w:tcW w:w="1087" w:type="dxa"/>
                  <w:vMerge w:val="restart"/>
                  <w:vAlign w:val="center"/>
                </w:tcPr>
                <w:p>
                  <w:pPr>
                    <w:spacing w:line="240" w:lineRule="auto"/>
                    <w:jc w:val="center"/>
                    <w:rPr>
                      <w:szCs w:val="21"/>
                    </w:rPr>
                  </w:pPr>
                  <w:r>
                    <w:rPr>
                      <w:szCs w:val="21"/>
                    </w:rPr>
                    <w:t>排放</w:t>
                  </w:r>
                  <w:r>
                    <w:rPr>
                      <w:rFonts w:hint="eastAsia"/>
                      <w:szCs w:val="21"/>
                    </w:rPr>
                    <w:t>源</w:t>
                  </w:r>
                  <w:r>
                    <w:rPr>
                      <w:szCs w:val="21"/>
                    </w:rPr>
                    <w:t>编号</w:t>
                  </w:r>
                </w:p>
              </w:tc>
              <w:tc>
                <w:tcPr>
                  <w:tcW w:w="855" w:type="dxa"/>
                  <w:vMerge w:val="restart"/>
                  <w:vAlign w:val="center"/>
                </w:tcPr>
                <w:p>
                  <w:pPr>
                    <w:spacing w:line="240" w:lineRule="auto"/>
                    <w:jc w:val="center"/>
                    <w:rPr>
                      <w:szCs w:val="21"/>
                    </w:rPr>
                  </w:pPr>
                  <w:r>
                    <w:rPr>
                      <w:szCs w:val="21"/>
                    </w:rPr>
                    <w:t>污染物</w:t>
                  </w:r>
                </w:p>
              </w:tc>
              <w:tc>
                <w:tcPr>
                  <w:tcW w:w="2241" w:type="dxa"/>
                  <w:vMerge w:val="restart"/>
                  <w:vAlign w:val="center"/>
                </w:tcPr>
                <w:p>
                  <w:pPr>
                    <w:spacing w:line="240" w:lineRule="auto"/>
                    <w:jc w:val="center"/>
                    <w:rPr>
                      <w:szCs w:val="21"/>
                    </w:rPr>
                  </w:pPr>
                  <w:r>
                    <w:rPr>
                      <w:szCs w:val="21"/>
                    </w:rPr>
                    <w:t>主要污染防治措施</w:t>
                  </w:r>
                </w:p>
              </w:tc>
              <w:tc>
                <w:tcPr>
                  <w:tcW w:w="2988" w:type="dxa"/>
                  <w:gridSpan w:val="2"/>
                  <w:vAlign w:val="center"/>
                </w:tcPr>
                <w:p>
                  <w:pPr>
                    <w:spacing w:line="240" w:lineRule="auto"/>
                    <w:jc w:val="center"/>
                    <w:rPr>
                      <w:szCs w:val="21"/>
                    </w:rPr>
                  </w:pPr>
                  <w:r>
                    <w:rPr>
                      <w:szCs w:val="21"/>
                    </w:rPr>
                    <w:t>国家或地方污染物排放标准</w:t>
                  </w:r>
                </w:p>
              </w:tc>
              <w:tc>
                <w:tcPr>
                  <w:tcW w:w="975" w:type="dxa"/>
                  <w:vMerge w:val="restart"/>
                  <w:vAlign w:val="center"/>
                </w:tcPr>
                <w:p>
                  <w:pPr>
                    <w:spacing w:line="240" w:lineRule="auto"/>
                    <w:jc w:val="center"/>
                    <w:rPr>
                      <w:szCs w:val="21"/>
                    </w:rPr>
                  </w:pPr>
                  <w:r>
                    <w:rPr>
                      <w:szCs w:val="21"/>
                    </w:rPr>
                    <w:t>核算年排放量（t/a）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492" w:type="dxa"/>
                  <w:vMerge w:val="continue"/>
                  <w:vAlign w:val="center"/>
                </w:tcPr>
                <w:p>
                  <w:pPr>
                    <w:spacing w:line="240" w:lineRule="auto"/>
                    <w:jc w:val="center"/>
                    <w:rPr>
                      <w:szCs w:val="21"/>
                    </w:rPr>
                  </w:pPr>
                </w:p>
              </w:tc>
              <w:tc>
                <w:tcPr>
                  <w:tcW w:w="1087" w:type="dxa"/>
                  <w:vMerge w:val="continue"/>
                  <w:vAlign w:val="center"/>
                </w:tcPr>
                <w:p>
                  <w:pPr>
                    <w:spacing w:line="240" w:lineRule="auto"/>
                    <w:jc w:val="center"/>
                    <w:rPr>
                      <w:szCs w:val="21"/>
                    </w:rPr>
                  </w:pPr>
                </w:p>
              </w:tc>
              <w:tc>
                <w:tcPr>
                  <w:tcW w:w="855" w:type="dxa"/>
                  <w:vMerge w:val="continue"/>
                  <w:vAlign w:val="center"/>
                </w:tcPr>
                <w:p>
                  <w:pPr>
                    <w:spacing w:line="240" w:lineRule="auto"/>
                    <w:jc w:val="center"/>
                    <w:rPr>
                      <w:szCs w:val="21"/>
                    </w:rPr>
                  </w:pPr>
                </w:p>
              </w:tc>
              <w:tc>
                <w:tcPr>
                  <w:tcW w:w="2241" w:type="dxa"/>
                  <w:vMerge w:val="continue"/>
                  <w:vAlign w:val="center"/>
                </w:tcPr>
                <w:p>
                  <w:pPr>
                    <w:spacing w:line="240" w:lineRule="auto"/>
                    <w:jc w:val="center"/>
                    <w:rPr>
                      <w:szCs w:val="21"/>
                    </w:rPr>
                  </w:pPr>
                </w:p>
              </w:tc>
              <w:tc>
                <w:tcPr>
                  <w:tcW w:w="1860" w:type="dxa"/>
                  <w:vAlign w:val="center"/>
                </w:tcPr>
                <w:p>
                  <w:pPr>
                    <w:spacing w:line="240" w:lineRule="auto"/>
                    <w:jc w:val="center"/>
                    <w:rPr>
                      <w:szCs w:val="21"/>
                    </w:rPr>
                  </w:pPr>
                  <w:r>
                    <w:rPr>
                      <w:szCs w:val="21"/>
                    </w:rPr>
                    <w:t>标准名称</w:t>
                  </w:r>
                </w:p>
              </w:tc>
              <w:tc>
                <w:tcPr>
                  <w:tcW w:w="1128" w:type="dxa"/>
                  <w:vAlign w:val="center"/>
                </w:tcPr>
                <w:p>
                  <w:pPr>
                    <w:spacing w:line="240" w:lineRule="auto"/>
                    <w:jc w:val="center"/>
                    <w:rPr>
                      <w:szCs w:val="21"/>
                    </w:rPr>
                  </w:pPr>
                  <w:r>
                    <w:rPr>
                      <w:szCs w:val="21"/>
                    </w:rPr>
                    <w:t>浓度限值</w:t>
                  </w:r>
                </w:p>
                <w:p>
                  <w:pPr>
                    <w:spacing w:line="240" w:lineRule="auto"/>
                    <w:jc w:val="center"/>
                    <w:rPr>
                      <w:szCs w:val="21"/>
                    </w:rPr>
                  </w:pPr>
                  <w:r>
                    <w:rPr>
                      <w:szCs w:val="21"/>
                    </w:rPr>
                    <w:t>（μg/m</w:t>
                  </w:r>
                  <w:r>
                    <w:rPr>
                      <w:szCs w:val="21"/>
                      <w:vertAlign w:val="superscript"/>
                    </w:rPr>
                    <w:t>3</w:t>
                  </w:r>
                  <w:r>
                    <w:rPr>
                      <w:szCs w:val="21"/>
                    </w:rPr>
                    <w:t>）</w:t>
                  </w:r>
                </w:p>
              </w:tc>
              <w:tc>
                <w:tcPr>
                  <w:tcW w:w="975" w:type="dxa"/>
                  <w:vMerge w:val="continue"/>
                  <w:vAlign w:val="center"/>
                </w:tcPr>
                <w:p>
                  <w:pPr>
                    <w:spacing w:line="240" w:lineRule="auto"/>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492" w:type="dxa"/>
                  <w:vAlign w:val="center"/>
                </w:tcPr>
                <w:p>
                  <w:pPr>
                    <w:spacing w:line="240" w:lineRule="auto"/>
                    <w:jc w:val="center"/>
                    <w:rPr>
                      <w:szCs w:val="21"/>
                    </w:rPr>
                  </w:pPr>
                  <w:r>
                    <w:rPr>
                      <w:szCs w:val="21"/>
                    </w:rPr>
                    <w:t>1</w:t>
                  </w:r>
                </w:p>
              </w:tc>
              <w:tc>
                <w:tcPr>
                  <w:tcW w:w="1087" w:type="dxa"/>
                  <w:vAlign w:val="center"/>
                </w:tcPr>
                <w:p>
                  <w:pPr>
                    <w:spacing w:line="240" w:lineRule="auto"/>
                    <w:jc w:val="center"/>
                    <w:rPr>
                      <w:szCs w:val="21"/>
                    </w:rPr>
                  </w:pPr>
                  <w:r>
                    <w:rPr>
                      <w:rFonts w:hint="eastAsia"/>
                      <w:szCs w:val="21"/>
                    </w:rPr>
                    <w:t>粘土开采</w:t>
                  </w:r>
                </w:p>
              </w:tc>
              <w:tc>
                <w:tcPr>
                  <w:tcW w:w="855" w:type="dxa"/>
                  <w:vAlign w:val="center"/>
                </w:tcPr>
                <w:p>
                  <w:pPr>
                    <w:spacing w:line="240" w:lineRule="auto"/>
                    <w:jc w:val="center"/>
                    <w:rPr>
                      <w:szCs w:val="21"/>
                    </w:rPr>
                  </w:pPr>
                  <w:r>
                    <w:rPr>
                      <w:rFonts w:hint="eastAsia"/>
                      <w:szCs w:val="21"/>
                    </w:rPr>
                    <w:t>粉尘</w:t>
                  </w:r>
                </w:p>
              </w:tc>
              <w:tc>
                <w:tcPr>
                  <w:tcW w:w="2241" w:type="dxa"/>
                  <w:vAlign w:val="center"/>
                </w:tcPr>
                <w:p>
                  <w:pPr>
                    <w:spacing w:line="240" w:lineRule="auto"/>
                    <w:jc w:val="center"/>
                    <w:rPr>
                      <w:szCs w:val="21"/>
                    </w:rPr>
                  </w:pPr>
                  <w:r>
                    <w:rPr>
                      <w:rFonts w:hint="eastAsia" w:hAnsi="宋体"/>
                      <w:szCs w:val="21"/>
                    </w:rPr>
                    <w:t>采用洒水车定期洒水，强取土区环境管理</w:t>
                  </w:r>
                </w:p>
              </w:tc>
              <w:tc>
                <w:tcPr>
                  <w:tcW w:w="1860" w:type="dxa"/>
                  <w:vMerge w:val="restart"/>
                  <w:vAlign w:val="center"/>
                </w:tcPr>
                <w:p>
                  <w:pPr>
                    <w:spacing w:line="240" w:lineRule="auto"/>
                    <w:jc w:val="center"/>
                    <w:rPr>
                      <w:szCs w:val="21"/>
                    </w:rPr>
                  </w:pPr>
                  <w:r>
                    <w:rPr>
                      <w:rFonts w:hint="eastAsia"/>
                      <w:bCs/>
                      <w:szCs w:val="21"/>
                    </w:rPr>
                    <w:t>《砖瓦工业大气污染排放标准》（GB29620-2013）表3</w:t>
                  </w:r>
                  <w:r>
                    <w:rPr>
                      <w:rFonts w:hint="eastAsia"/>
                      <w:szCs w:val="21"/>
                    </w:rPr>
                    <w:t>中厂界排放标准</w:t>
                  </w:r>
                </w:p>
              </w:tc>
              <w:tc>
                <w:tcPr>
                  <w:tcW w:w="1128" w:type="dxa"/>
                  <w:vMerge w:val="restart"/>
                  <w:vAlign w:val="center"/>
                </w:tcPr>
                <w:p>
                  <w:pPr>
                    <w:spacing w:line="240" w:lineRule="auto"/>
                    <w:jc w:val="center"/>
                    <w:rPr>
                      <w:szCs w:val="21"/>
                    </w:rPr>
                  </w:pPr>
                  <w:r>
                    <w:rPr>
                      <w:szCs w:val="21"/>
                    </w:rPr>
                    <w:t>1.0</w:t>
                  </w:r>
                </w:p>
              </w:tc>
              <w:tc>
                <w:tcPr>
                  <w:tcW w:w="975" w:type="dxa"/>
                  <w:vAlign w:val="center"/>
                </w:tcPr>
                <w:p>
                  <w:pPr>
                    <w:spacing w:line="240" w:lineRule="auto"/>
                    <w:jc w:val="center"/>
                    <w:rPr>
                      <w:szCs w:val="21"/>
                    </w:rPr>
                  </w:pPr>
                  <w:r>
                    <w:rPr>
                      <w:rFonts w:hint="eastAsia"/>
                      <w:szCs w:val="21"/>
                    </w:rPr>
                    <w:t>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92" w:type="dxa"/>
                  <w:vAlign w:val="center"/>
                </w:tcPr>
                <w:p>
                  <w:pPr>
                    <w:spacing w:line="240" w:lineRule="auto"/>
                    <w:jc w:val="center"/>
                    <w:rPr>
                      <w:szCs w:val="21"/>
                    </w:rPr>
                  </w:pPr>
                  <w:r>
                    <w:rPr>
                      <w:rFonts w:hint="eastAsia"/>
                      <w:szCs w:val="21"/>
                    </w:rPr>
                    <w:t>2</w:t>
                  </w:r>
                </w:p>
              </w:tc>
              <w:tc>
                <w:tcPr>
                  <w:tcW w:w="1087" w:type="dxa"/>
                  <w:vAlign w:val="center"/>
                </w:tcPr>
                <w:p>
                  <w:pPr>
                    <w:spacing w:line="240" w:lineRule="auto"/>
                    <w:jc w:val="center"/>
                    <w:rPr>
                      <w:szCs w:val="21"/>
                    </w:rPr>
                  </w:pPr>
                  <w:r>
                    <w:rPr>
                      <w:rFonts w:hint="eastAsia"/>
                      <w:szCs w:val="21"/>
                    </w:rPr>
                    <w:t>物料装卸作业</w:t>
                  </w:r>
                </w:p>
              </w:tc>
              <w:tc>
                <w:tcPr>
                  <w:tcW w:w="855" w:type="dxa"/>
                  <w:vAlign w:val="center"/>
                </w:tcPr>
                <w:p>
                  <w:pPr>
                    <w:spacing w:line="240" w:lineRule="auto"/>
                    <w:jc w:val="center"/>
                    <w:rPr>
                      <w:szCs w:val="21"/>
                    </w:rPr>
                  </w:pPr>
                  <w:r>
                    <w:rPr>
                      <w:rFonts w:hint="eastAsia"/>
                      <w:szCs w:val="21"/>
                    </w:rPr>
                    <w:t>粉尘</w:t>
                  </w:r>
                </w:p>
              </w:tc>
              <w:tc>
                <w:tcPr>
                  <w:tcW w:w="2241" w:type="dxa"/>
                  <w:vAlign w:val="center"/>
                </w:tcPr>
                <w:p>
                  <w:pPr>
                    <w:spacing w:line="240" w:lineRule="auto"/>
                    <w:jc w:val="center"/>
                    <w:rPr>
                      <w:szCs w:val="21"/>
                    </w:rPr>
                  </w:pPr>
                  <w:r>
                    <w:rPr>
                      <w:rFonts w:hint="eastAsia"/>
                      <w:szCs w:val="21"/>
                    </w:rPr>
                    <w:t>洒水降尘</w:t>
                  </w:r>
                </w:p>
              </w:tc>
              <w:tc>
                <w:tcPr>
                  <w:tcW w:w="1860" w:type="dxa"/>
                  <w:vMerge w:val="continue"/>
                  <w:vAlign w:val="center"/>
                </w:tcPr>
                <w:p>
                  <w:pPr>
                    <w:spacing w:line="240" w:lineRule="auto"/>
                    <w:jc w:val="center"/>
                    <w:rPr>
                      <w:szCs w:val="21"/>
                    </w:rPr>
                  </w:pPr>
                </w:p>
              </w:tc>
              <w:tc>
                <w:tcPr>
                  <w:tcW w:w="1128" w:type="dxa"/>
                  <w:vMerge w:val="continue"/>
                  <w:vAlign w:val="center"/>
                </w:tcPr>
                <w:p>
                  <w:pPr>
                    <w:spacing w:line="240" w:lineRule="auto"/>
                    <w:jc w:val="center"/>
                    <w:rPr>
                      <w:szCs w:val="21"/>
                    </w:rPr>
                  </w:pPr>
                </w:p>
              </w:tc>
              <w:tc>
                <w:tcPr>
                  <w:tcW w:w="975" w:type="dxa"/>
                  <w:vAlign w:val="center"/>
                </w:tcPr>
                <w:p>
                  <w:pPr>
                    <w:spacing w:line="240" w:lineRule="auto"/>
                    <w:jc w:val="center"/>
                    <w:rPr>
                      <w:kern w:val="0"/>
                      <w:szCs w:val="21"/>
                    </w:rPr>
                  </w:pPr>
                  <w:r>
                    <w:rPr>
                      <w:rFonts w:hint="eastAsia"/>
                      <w:szCs w:val="21"/>
                    </w:rPr>
                    <w:t>31.1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92" w:type="dxa"/>
                  <w:vAlign w:val="center"/>
                </w:tcPr>
                <w:p>
                  <w:pPr>
                    <w:spacing w:line="240" w:lineRule="auto"/>
                    <w:jc w:val="center"/>
                    <w:rPr>
                      <w:szCs w:val="21"/>
                    </w:rPr>
                  </w:pPr>
                  <w:r>
                    <w:rPr>
                      <w:rFonts w:hint="eastAsia"/>
                      <w:szCs w:val="21"/>
                    </w:rPr>
                    <w:t>3</w:t>
                  </w:r>
                </w:p>
              </w:tc>
              <w:tc>
                <w:tcPr>
                  <w:tcW w:w="1087" w:type="dxa"/>
                  <w:vAlign w:val="center"/>
                </w:tcPr>
                <w:p>
                  <w:pPr>
                    <w:spacing w:line="240" w:lineRule="auto"/>
                    <w:jc w:val="center"/>
                    <w:rPr>
                      <w:szCs w:val="21"/>
                    </w:rPr>
                  </w:pPr>
                  <w:r>
                    <w:rPr>
                      <w:bCs/>
                      <w:szCs w:val="21"/>
                    </w:rPr>
                    <w:t>运输</w:t>
                  </w:r>
                  <w:r>
                    <w:rPr>
                      <w:rFonts w:hint="eastAsia"/>
                      <w:bCs/>
                      <w:szCs w:val="21"/>
                    </w:rPr>
                    <w:t>车辆</w:t>
                  </w:r>
                </w:p>
              </w:tc>
              <w:tc>
                <w:tcPr>
                  <w:tcW w:w="855" w:type="dxa"/>
                  <w:vAlign w:val="center"/>
                </w:tcPr>
                <w:p>
                  <w:pPr>
                    <w:spacing w:line="240" w:lineRule="auto"/>
                    <w:jc w:val="center"/>
                    <w:rPr>
                      <w:szCs w:val="21"/>
                    </w:rPr>
                  </w:pPr>
                  <w:r>
                    <w:rPr>
                      <w:rFonts w:hint="eastAsia"/>
                      <w:szCs w:val="21"/>
                    </w:rPr>
                    <w:t>粉尘</w:t>
                  </w:r>
                </w:p>
              </w:tc>
              <w:tc>
                <w:tcPr>
                  <w:tcW w:w="2241" w:type="dxa"/>
                  <w:vAlign w:val="center"/>
                </w:tcPr>
                <w:p>
                  <w:pPr>
                    <w:spacing w:line="240" w:lineRule="auto"/>
                    <w:jc w:val="center"/>
                    <w:rPr>
                      <w:szCs w:val="21"/>
                    </w:rPr>
                  </w:pPr>
                  <w:r>
                    <w:rPr>
                      <w:rFonts w:hint="eastAsia"/>
                      <w:szCs w:val="21"/>
                    </w:rPr>
                    <w:t>密闭运输、车辆全部冲洗</w:t>
                  </w:r>
                </w:p>
              </w:tc>
              <w:tc>
                <w:tcPr>
                  <w:tcW w:w="1860" w:type="dxa"/>
                  <w:vMerge w:val="continue"/>
                  <w:vAlign w:val="center"/>
                </w:tcPr>
                <w:p>
                  <w:pPr>
                    <w:spacing w:line="240" w:lineRule="auto"/>
                    <w:jc w:val="center"/>
                    <w:rPr>
                      <w:szCs w:val="21"/>
                    </w:rPr>
                  </w:pPr>
                </w:p>
              </w:tc>
              <w:tc>
                <w:tcPr>
                  <w:tcW w:w="1128" w:type="dxa"/>
                  <w:vMerge w:val="continue"/>
                  <w:vAlign w:val="center"/>
                </w:tcPr>
                <w:p>
                  <w:pPr>
                    <w:spacing w:line="240" w:lineRule="auto"/>
                    <w:jc w:val="center"/>
                    <w:rPr>
                      <w:szCs w:val="21"/>
                    </w:rPr>
                  </w:pPr>
                </w:p>
              </w:tc>
              <w:tc>
                <w:tcPr>
                  <w:tcW w:w="975" w:type="dxa"/>
                  <w:vAlign w:val="center"/>
                </w:tcPr>
                <w:p>
                  <w:pPr>
                    <w:spacing w:line="240" w:lineRule="auto"/>
                    <w:jc w:val="center"/>
                    <w:rPr>
                      <w:kern w:val="0"/>
                      <w:szCs w:val="21"/>
                    </w:rPr>
                  </w:pPr>
                  <w:r>
                    <w:rPr>
                      <w:rFonts w:hint="eastAsia"/>
                      <w:szCs w:val="21"/>
                    </w:rPr>
                    <w:t>1.48</w:t>
                  </w:r>
                </w:p>
              </w:tc>
            </w:tr>
          </w:tbl>
          <w:p>
            <w:pPr>
              <w:spacing w:line="360" w:lineRule="auto"/>
              <w:ind w:firstLine="480" w:firstLineChars="200"/>
              <w:rPr>
                <w:kern w:val="0"/>
                <w:sz w:val="24"/>
              </w:rPr>
            </w:pPr>
            <w:r>
              <w:rPr>
                <w:rFonts w:hint="eastAsia"/>
                <w:kern w:val="0"/>
                <w:sz w:val="24"/>
              </w:rPr>
              <w:t>4、无组织排放治理措施</w:t>
            </w:r>
          </w:p>
          <w:p>
            <w:pPr>
              <w:spacing w:line="360" w:lineRule="auto"/>
              <w:ind w:firstLine="480" w:firstLineChars="200"/>
              <w:rPr>
                <w:kern w:val="0"/>
                <w:sz w:val="24"/>
              </w:rPr>
            </w:pPr>
            <w:r>
              <w:rPr>
                <w:rFonts w:hint="eastAsia"/>
                <w:kern w:val="0"/>
                <w:sz w:val="24"/>
              </w:rPr>
              <w:t>参照《陕西省矿产资源开发“保生态治污染”行动方案（2016-2020年）》的通知（陕环发〔2016〕42号），项目拟采取的如下：</w:t>
            </w:r>
          </w:p>
          <w:p>
            <w:pPr>
              <w:spacing w:line="360" w:lineRule="auto"/>
              <w:ind w:firstLine="480" w:firstLineChars="200"/>
              <w:rPr>
                <w:rFonts w:hAnsi="宋体"/>
                <w:sz w:val="24"/>
              </w:rPr>
            </w:pPr>
            <w:r>
              <w:rPr>
                <w:rFonts w:hint="eastAsia" w:hAnsi="宋体"/>
                <w:bCs/>
                <w:sz w:val="24"/>
                <w:szCs w:val="24"/>
              </w:rPr>
              <w:t>①</w:t>
            </w:r>
            <w:r>
              <w:rPr>
                <w:rFonts w:hint="eastAsia" w:hAnsi="宋体"/>
                <w:sz w:val="24"/>
              </w:rPr>
              <w:t>粘土取土区扬尘措施</w:t>
            </w:r>
          </w:p>
          <w:p>
            <w:pPr>
              <w:spacing w:line="360" w:lineRule="auto"/>
              <w:ind w:firstLine="480" w:firstLineChars="200"/>
              <w:rPr>
                <w:rFonts w:hAnsi="宋体"/>
                <w:sz w:val="24"/>
              </w:rPr>
            </w:pPr>
            <w:r>
              <w:rPr>
                <w:rFonts w:hint="eastAsia" w:hAnsi="宋体"/>
                <w:sz w:val="24"/>
              </w:rPr>
              <w:t>取土区扬尘主要来源为粘土</w:t>
            </w:r>
            <w:r>
              <w:rPr>
                <w:rFonts w:hAnsi="宋体"/>
                <w:sz w:val="24"/>
              </w:rPr>
              <w:t>在</w:t>
            </w:r>
            <w:r>
              <w:rPr>
                <w:rFonts w:hint="eastAsia" w:hAnsi="宋体"/>
                <w:sz w:val="24"/>
              </w:rPr>
              <w:t>挖掘及粘土铲装</w:t>
            </w:r>
            <w:r>
              <w:rPr>
                <w:rFonts w:hAnsi="宋体"/>
                <w:sz w:val="24"/>
              </w:rPr>
              <w:t>过程中</w:t>
            </w:r>
            <w:r>
              <w:rPr>
                <w:rFonts w:hint="eastAsia" w:hAnsi="宋体"/>
                <w:sz w:val="24"/>
              </w:rPr>
              <w:t>产生</w:t>
            </w:r>
            <w:r>
              <w:rPr>
                <w:rFonts w:hAnsi="宋体"/>
                <w:sz w:val="24"/>
              </w:rPr>
              <w:t>的粉尘</w:t>
            </w:r>
            <w:r>
              <w:rPr>
                <w:rFonts w:hint="eastAsia" w:hAnsi="宋体"/>
                <w:sz w:val="24"/>
              </w:rPr>
              <w:t>，对取土作业扬尘点采用洒水车定期洒水，以增加物料表面含水率的措施来降低区域粉尘，同时，加强取土区环境管理，大风天气禁止粘土开挖等，铲装粘土时一边装载一边喷水降尘，装卸原料时尽量降低物料落差，以减少扬尘产生。</w:t>
            </w:r>
          </w:p>
          <w:p>
            <w:pPr>
              <w:spacing w:line="480" w:lineRule="exact"/>
              <w:ind w:firstLine="480" w:firstLineChars="200"/>
              <w:rPr>
                <w:rFonts w:hAnsi="宋体"/>
                <w:sz w:val="24"/>
              </w:rPr>
            </w:pPr>
            <w:r>
              <w:rPr>
                <w:rFonts w:hint="eastAsia" w:hAnsi="宋体"/>
                <w:bCs/>
                <w:sz w:val="24"/>
                <w:szCs w:val="24"/>
              </w:rPr>
              <w:t>②</w:t>
            </w:r>
            <w:r>
              <w:rPr>
                <w:rFonts w:hint="eastAsia" w:hAnsi="宋体"/>
                <w:sz w:val="24"/>
              </w:rPr>
              <w:t>物料装卸作业扬尘措施</w:t>
            </w:r>
          </w:p>
          <w:p>
            <w:pPr>
              <w:adjustRightInd w:val="0"/>
              <w:snapToGrid w:val="0"/>
              <w:spacing w:line="480" w:lineRule="exact"/>
              <w:ind w:firstLine="480" w:firstLineChars="200"/>
              <w:rPr>
                <w:sz w:val="24"/>
              </w:rPr>
            </w:pPr>
            <w:r>
              <w:rPr>
                <w:rFonts w:hint="eastAsia"/>
                <w:sz w:val="24"/>
              </w:rPr>
              <w:t>装卸区</w:t>
            </w:r>
            <w:r>
              <w:rPr>
                <w:sz w:val="24"/>
              </w:rPr>
              <w:t>地面应进行水泥硬化</w:t>
            </w:r>
            <w:r>
              <w:rPr>
                <w:rFonts w:hint="eastAsia"/>
                <w:sz w:val="24"/>
              </w:rPr>
              <w:t>，且进行密闭，一边卸载一边洒水降尘；</w:t>
            </w:r>
            <w:r>
              <w:rPr>
                <w:sz w:val="24"/>
              </w:rPr>
              <w:t>装卸原料时尽量降低物料落差，以减少扬尘产生</w:t>
            </w:r>
            <w:r>
              <w:rPr>
                <w:rFonts w:hint="eastAsia"/>
                <w:sz w:val="24"/>
              </w:rPr>
              <w:t>。</w:t>
            </w:r>
          </w:p>
          <w:p>
            <w:pPr>
              <w:pStyle w:val="83"/>
            </w:pPr>
            <w:r>
              <w:rPr>
                <w:rFonts w:hint="eastAsia" w:ascii="Times New Roman"/>
                <w:bCs/>
              </w:rPr>
              <w:t>③</w:t>
            </w:r>
            <w:r>
              <w:rPr>
                <w:rFonts w:ascii="Times New Roman"/>
              </w:rPr>
              <w:t>车辆</w:t>
            </w:r>
            <w:r>
              <w:rPr>
                <w:rFonts w:ascii="Times New Roman"/>
                <w:bCs/>
              </w:rPr>
              <w:t>运</w:t>
            </w:r>
            <w:r>
              <w:rPr>
                <w:bCs/>
              </w:rPr>
              <w:t>输扬尘</w:t>
            </w:r>
            <w:r>
              <w:rPr>
                <w:rFonts w:hint="eastAsia"/>
                <w:bCs/>
              </w:rPr>
              <w:t>措施</w:t>
            </w:r>
          </w:p>
          <w:p>
            <w:pPr>
              <w:pStyle w:val="83"/>
            </w:pPr>
            <w:r>
              <w:rPr>
                <w:rFonts w:hint="eastAsia"/>
              </w:rPr>
              <w:t>本项目原料粘土及产品输送全部由汽车运输，运输过程会产生二次扬尘污染，环评要求项目采取以下措施减少运输扬尘，具体措施如下：</w:t>
            </w:r>
          </w:p>
          <w:p>
            <w:pPr>
              <w:pStyle w:val="83"/>
            </w:pPr>
            <w:r>
              <w:rPr>
                <w:rFonts w:hint="eastAsia"/>
              </w:rPr>
              <w:t>a、强化矿区运输车辆管理，固定运输车辆，采取密闭运输，严格控制运输车辆超载超限抛洒行为，有效治理矿区道路扬尘。</w:t>
            </w:r>
          </w:p>
          <w:p>
            <w:pPr>
              <w:pStyle w:val="83"/>
            </w:pPr>
            <w:r>
              <w:rPr>
                <w:rFonts w:hint="eastAsia"/>
              </w:rPr>
              <w:t>b、保持厂区附近道路的清洁和相对湿度，当路面出现损坏及时修复，同时对该道路要进行定时洒水，并应视路面状况调整洒水频次。</w:t>
            </w:r>
          </w:p>
          <w:p>
            <w:pPr>
              <w:pStyle w:val="83"/>
            </w:pPr>
            <w:r>
              <w:rPr>
                <w:rFonts w:hint="eastAsia"/>
              </w:rPr>
              <w:t>c、该厂应严格控制运输扬尘的污染，厂方与运输单位或个人签订相关协议，严格控制汽车装载量，低速行驶，最大限度减少车辆粉尘抛洒。</w:t>
            </w:r>
          </w:p>
          <w:p>
            <w:pPr>
              <w:pStyle w:val="83"/>
            </w:pPr>
            <w:r>
              <w:rPr>
                <w:rFonts w:hint="eastAsia"/>
              </w:rPr>
              <w:t>d、出入口建有冲洗设备和排水沟并能正常使用，出工地车辆全部冲洗，无高尖装载现象，严禁车轮带泥上路。</w:t>
            </w:r>
          </w:p>
          <w:p>
            <w:pPr>
              <w:pStyle w:val="83"/>
            </w:pPr>
            <w:r>
              <w:rPr>
                <w:rFonts w:hint="eastAsia"/>
              </w:rPr>
              <w:t>参考施工期车辆扬尘影响分析，</w:t>
            </w:r>
            <w:r>
              <w:t>通过限制车辆行驶速度、保持路面清洁及定时洒水可减缓车辆行驶产生的道路扬尘影响。</w:t>
            </w:r>
          </w:p>
          <w:p>
            <w:pPr>
              <w:pStyle w:val="83"/>
            </w:pPr>
            <w:r>
              <w:rPr>
                <w:rFonts w:hint="eastAsia"/>
              </w:rPr>
              <w:t>经过采取以上措施，无组织排放对周围环境影响较小。</w:t>
            </w:r>
          </w:p>
          <w:p>
            <w:pPr>
              <w:pStyle w:val="83"/>
              <w:rPr>
                <w:rFonts w:ascii="Times New Roman" w:hAnsi="Times New Roman"/>
              </w:rPr>
            </w:pPr>
            <w:r>
              <w:rPr>
                <w:rFonts w:hint="eastAsia" w:ascii="Times New Roman" w:hAnsi="Times New Roman"/>
              </w:rPr>
              <w:t>5</w:t>
            </w:r>
            <w:r>
              <w:rPr>
                <w:rFonts w:ascii="Times New Roman" w:hAnsi="Times New Roman"/>
              </w:rPr>
              <w:t>、食堂油烟废气</w:t>
            </w:r>
          </w:p>
          <w:p>
            <w:pPr>
              <w:pStyle w:val="83"/>
              <w:rPr>
                <w:rFonts w:ascii="Times New Roman" w:hAnsi="Times New Roman"/>
              </w:rPr>
            </w:pPr>
            <w:r>
              <w:rPr>
                <w:rFonts w:ascii="Times New Roman" w:hAnsi="Times New Roman"/>
              </w:rPr>
              <w:t>建设项目食堂燃料液化气属于清洁能源，且使用量较少，其燃烧产物污染物排放量较小，废气经食堂排烟道直接排出楼顶放散，对环境空气影响小。</w:t>
            </w:r>
          </w:p>
          <w:p>
            <w:pPr>
              <w:pStyle w:val="83"/>
              <w:rPr>
                <w:rFonts w:ascii="Times New Roman" w:hAnsi="Times New Roman"/>
              </w:rPr>
            </w:pPr>
            <w:r>
              <w:rPr>
                <w:rFonts w:ascii="Times New Roman" w:hAnsi="Times New Roman"/>
              </w:rPr>
              <w:t>食堂运行期间会产生厨房油烟，灶头设为2个，规模属于小型，每天运行时间在2小时左右。类比同类型同等规模的项目，食堂油烟产生浓度为4.5mg/m</w:t>
            </w:r>
            <w:r>
              <w:rPr>
                <w:rFonts w:ascii="Times New Roman" w:hAnsi="Times New Roman"/>
                <w:vertAlign w:val="superscript"/>
              </w:rPr>
              <w:t>3</w:t>
            </w:r>
            <w:r>
              <w:rPr>
                <w:rFonts w:ascii="Times New Roman" w:hAnsi="Times New Roman"/>
              </w:rPr>
              <w:t>。为使油烟排放达到《饮食业油烟排放标准》（GB18483-2001）中相关规定，即最高排放浓度标准2mg/m</w:t>
            </w:r>
            <w:r>
              <w:rPr>
                <w:rFonts w:ascii="Times New Roman" w:hAnsi="Times New Roman"/>
                <w:vertAlign w:val="superscript"/>
              </w:rPr>
              <w:t>3</w:t>
            </w:r>
            <w:r>
              <w:rPr>
                <w:rFonts w:ascii="Times New Roman" w:hAnsi="Times New Roman"/>
              </w:rPr>
              <w:t>，必须设置油烟净化器，油烟净化器去除效率大于60%，处理后排放浓度为1.8mg/m</w:t>
            </w:r>
            <w:r>
              <w:rPr>
                <w:rFonts w:ascii="Times New Roman" w:hAnsi="Times New Roman"/>
                <w:vertAlign w:val="superscript"/>
              </w:rPr>
              <w:t>3</w:t>
            </w:r>
            <w:r>
              <w:rPr>
                <w:rFonts w:ascii="Times New Roman" w:hAnsi="Times New Roman"/>
              </w:rPr>
              <w:t>。在此条件下，食堂油烟对周围环境空气影响较小。</w:t>
            </w:r>
          </w:p>
          <w:p>
            <w:pPr>
              <w:spacing w:line="360" w:lineRule="auto"/>
              <w:ind w:firstLine="482" w:firstLineChars="200"/>
              <w:rPr>
                <w:b/>
                <w:sz w:val="24"/>
              </w:rPr>
            </w:pPr>
            <w:r>
              <w:rPr>
                <w:rFonts w:hint="eastAsia"/>
                <w:b/>
                <w:sz w:val="24"/>
              </w:rPr>
              <w:t>二</w:t>
            </w:r>
            <w:r>
              <w:rPr>
                <w:rFonts w:hAnsi="宋体"/>
                <w:b/>
                <w:sz w:val="24"/>
              </w:rPr>
              <w:t>、水环境影响分析</w:t>
            </w:r>
          </w:p>
          <w:p>
            <w:pPr>
              <w:autoSpaceDE w:val="0"/>
              <w:autoSpaceDN w:val="0"/>
              <w:adjustRightInd w:val="0"/>
              <w:spacing w:line="360" w:lineRule="auto"/>
              <w:ind w:firstLine="480" w:firstLineChars="200"/>
              <w:rPr>
                <w:kern w:val="10"/>
                <w:sz w:val="24"/>
                <w:szCs w:val="24"/>
              </w:rPr>
            </w:pPr>
            <w:r>
              <w:rPr>
                <w:rFonts w:hint="eastAsia"/>
                <w:sz w:val="24"/>
              </w:rPr>
              <w:t>项目搅拌用水</w:t>
            </w:r>
            <w:r>
              <w:rPr>
                <w:rFonts w:hAnsi="宋体"/>
                <w:sz w:val="24"/>
              </w:rPr>
              <w:t>经干燥焙烧后，以蒸汽的形式蒸发掉，不外排</w:t>
            </w:r>
            <w:r>
              <w:rPr>
                <w:rFonts w:hint="eastAsia" w:hAnsi="宋体"/>
                <w:sz w:val="24"/>
              </w:rPr>
              <w:t>；烘</w:t>
            </w:r>
            <w:r>
              <w:rPr>
                <w:rFonts w:hint="eastAsia"/>
                <w:sz w:val="24"/>
              </w:rPr>
              <w:t>取土区洒水、绿化洒水及道路洒水，</w:t>
            </w:r>
            <w:r>
              <w:rPr>
                <w:rFonts w:hAnsi="宋体"/>
                <w:sz w:val="24"/>
              </w:rPr>
              <w:t>以蒸汽的形式蒸发掉，不外排</w:t>
            </w:r>
            <w:r>
              <w:rPr>
                <w:rFonts w:hint="eastAsia" w:hAnsi="宋体"/>
                <w:sz w:val="24"/>
              </w:rPr>
              <w:t>。</w:t>
            </w:r>
            <w:r>
              <w:rPr>
                <w:rFonts w:hint="eastAsia"/>
                <w:sz w:val="24"/>
              </w:rPr>
              <w:t>本项目投入营运后，产生的污水主要为生活污水，产生量约为7</w:t>
            </w:r>
            <w:r>
              <w:rPr>
                <w:sz w:val="24"/>
              </w:rPr>
              <w:t>m</w:t>
            </w:r>
            <w:r>
              <w:rPr>
                <w:sz w:val="24"/>
                <w:vertAlign w:val="superscript"/>
              </w:rPr>
              <w:t>3</w:t>
            </w:r>
            <w:r>
              <w:rPr>
                <w:sz w:val="24"/>
              </w:rPr>
              <w:t>/d</w:t>
            </w:r>
            <w:r>
              <w:rPr>
                <w:rFonts w:hint="eastAsia"/>
                <w:sz w:val="24"/>
              </w:rPr>
              <w:t>，其主要污染物指标为：</w:t>
            </w:r>
            <w:r>
              <w:rPr>
                <w:sz w:val="24"/>
              </w:rPr>
              <w:t>COD</w:t>
            </w:r>
            <w:r>
              <w:rPr>
                <w:rFonts w:hint="eastAsia"/>
                <w:sz w:val="24"/>
              </w:rPr>
              <w:t>40</w:t>
            </w:r>
            <w:r>
              <w:rPr>
                <w:sz w:val="24"/>
              </w:rPr>
              <w:t>0mg/L</w:t>
            </w:r>
            <w:r>
              <w:rPr>
                <w:rFonts w:hint="eastAsia"/>
                <w:sz w:val="24"/>
              </w:rPr>
              <w:t>、</w:t>
            </w:r>
            <w:r>
              <w:rPr>
                <w:sz w:val="24"/>
              </w:rPr>
              <w:t>BOD</w:t>
            </w:r>
            <w:r>
              <w:rPr>
                <w:sz w:val="24"/>
                <w:vertAlign w:val="subscript"/>
              </w:rPr>
              <w:t>5</w:t>
            </w:r>
            <w:r>
              <w:rPr>
                <w:rFonts w:hint="eastAsia"/>
                <w:sz w:val="24"/>
              </w:rPr>
              <w:t>250</w:t>
            </w:r>
            <w:r>
              <w:rPr>
                <w:sz w:val="24"/>
              </w:rPr>
              <w:t>mg/L</w:t>
            </w:r>
            <w:r>
              <w:rPr>
                <w:rFonts w:hint="eastAsia"/>
                <w:sz w:val="24"/>
              </w:rPr>
              <w:t>、</w:t>
            </w:r>
            <w:r>
              <w:rPr>
                <w:sz w:val="24"/>
              </w:rPr>
              <w:t>SS</w:t>
            </w:r>
            <w:r>
              <w:rPr>
                <w:rFonts w:hint="eastAsia"/>
                <w:sz w:val="24"/>
              </w:rPr>
              <w:t>18</w:t>
            </w:r>
            <w:r>
              <w:rPr>
                <w:sz w:val="24"/>
              </w:rPr>
              <w:t>0mg/L</w:t>
            </w:r>
            <w:r>
              <w:rPr>
                <w:rFonts w:hint="eastAsia"/>
                <w:sz w:val="24"/>
              </w:rPr>
              <w:t>、</w:t>
            </w:r>
            <w:r>
              <w:rPr>
                <w:rFonts w:hint="eastAsia"/>
                <w:spacing w:val="5"/>
                <w:kern w:val="0"/>
                <w:sz w:val="24"/>
              </w:rPr>
              <w:t>氨氮</w:t>
            </w:r>
            <w:r>
              <w:rPr>
                <w:rFonts w:hint="eastAsia"/>
                <w:sz w:val="24"/>
              </w:rPr>
              <w:t>30</w:t>
            </w:r>
            <w:r>
              <w:rPr>
                <w:sz w:val="24"/>
              </w:rPr>
              <w:t>mg/L</w:t>
            </w:r>
            <w:r>
              <w:rPr>
                <w:rFonts w:hint="eastAsia"/>
                <w:sz w:val="24"/>
              </w:rPr>
              <w:t>。</w:t>
            </w:r>
            <w:r>
              <w:rPr>
                <w:rFonts w:hint="eastAsia" w:hAnsi="宋体"/>
                <w:sz w:val="24"/>
              </w:rPr>
              <w:t>生活污水经化粪池储存后定期清掏</w:t>
            </w:r>
            <w:r>
              <w:rPr>
                <w:rFonts w:hint="eastAsia"/>
                <w:spacing w:val="2"/>
                <w:sz w:val="24"/>
              </w:rPr>
              <w:t>，</w:t>
            </w:r>
            <w:r>
              <w:rPr>
                <w:sz w:val="24"/>
              </w:rPr>
              <w:t>不外排。</w:t>
            </w:r>
            <w:r>
              <w:rPr>
                <w:rFonts w:hint="eastAsia"/>
                <w:bCs/>
                <w:sz w:val="24"/>
              </w:rPr>
              <w:t>因此项目建设不会对区域地表水体造成影响</w:t>
            </w:r>
            <w:r>
              <w:rPr>
                <w:rFonts w:hint="eastAsia"/>
                <w:kern w:val="10"/>
                <w:sz w:val="24"/>
                <w:szCs w:val="24"/>
              </w:rPr>
              <w:t>。</w:t>
            </w:r>
          </w:p>
          <w:p>
            <w:pPr>
              <w:spacing w:line="360" w:lineRule="auto"/>
              <w:ind w:firstLine="482" w:firstLineChars="200"/>
              <w:rPr>
                <w:rFonts w:hAnsi="宋体"/>
                <w:b/>
                <w:sz w:val="24"/>
              </w:rPr>
            </w:pPr>
            <w:r>
              <w:rPr>
                <w:rFonts w:hint="eastAsia" w:hAnsi="宋体"/>
                <w:b/>
                <w:sz w:val="24"/>
              </w:rPr>
              <w:t>三、噪声环境影响分析</w:t>
            </w:r>
          </w:p>
          <w:p>
            <w:pPr>
              <w:spacing w:line="360" w:lineRule="auto"/>
              <w:ind w:firstLine="480" w:firstLineChars="200"/>
              <w:rPr>
                <w:rFonts w:hAnsi="宋体"/>
                <w:sz w:val="24"/>
              </w:rPr>
            </w:pPr>
            <w:r>
              <w:rPr>
                <w:rFonts w:hint="eastAsia"/>
                <w:sz w:val="24"/>
              </w:rPr>
              <w:t>本项目主要噪声源来自生产车间设备噪声以及粘土开采期间运行产生的设备噪声，生产车间产生的设备噪声源为粉碎机、搅拌机、挤出机、切条机、切坯机、风机等</w:t>
            </w:r>
            <w:r>
              <w:rPr>
                <w:rFonts w:hint="eastAsia" w:hAnsi="宋体"/>
                <w:bCs/>
                <w:sz w:val="24"/>
                <w:szCs w:val="24"/>
              </w:rPr>
              <w:t>；</w:t>
            </w:r>
            <w:r>
              <w:rPr>
                <w:rFonts w:hint="eastAsia"/>
                <w:sz w:val="24"/>
              </w:rPr>
              <w:t>粘土开采期间产生的设备噪声源为挖掘机、推土机及装载机</w:t>
            </w:r>
            <w:r>
              <w:rPr>
                <w:rFonts w:hint="eastAsia"/>
                <w:sz w:val="24"/>
                <w:szCs w:val="24"/>
              </w:rPr>
              <w:t>，</w:t>
            </w:r>
            <w:r>
              <w:rPr>
                <w:rFonts w:hAnsi="宋体"/>
                <w:bCs/>
                <w:sz w:val="24"/>
                <w:szCs w:val="24"/>
              </w:rPr>
              <w:t>噪声级在</w:t>
            </w:r>
            <w:r>
              <w:rPr>
                <w:rFonts w:hint="eastAsia"/>
                <w:bCs/>
                <w:sz w:val="24"/>
                <w:szCs w:val="24"/>
              </w:rPr>
              <w:t>80</w:t>
            </w:r>
            <w:r>
              <w:rPr>
                <w:rFonts w:hAnsi="宋体"/>
                <w:bCs/>
                <w:sz w:val="24"/>
                <w:szCs w:val="24"/>
              </w:rPr>
              <w:t>～</w:t>
            </w:r>
            <w:r>
              <w:rPr>
                <w:rFonts w:hint="eastAsia"/>
                <w:bCs/>
                <w:sz w:val="24"/>
                <w:szCs w:val="24"/>
              </w:rPr>
              <w:t>90</w:t>
            </w:r>
            <w:r>
              <w:rPr>
                <w:bCs/>
                <w:sz w:val="24"/>
                <w:szCs w:val="24"/>
              </w:rPr>
              <w:t>dB(A)</w:t>
            </w:r>
            <w:r>
              <w:rPr>
                <w:rFonts w:hAnsi="宋体"/>
                <w:bCs/>
                <w:sz w:val="24"/>
                <w:szCs w:val="24"/>
              </w:rPr>
              <w:t>之间</w:t>
            </w:r>
            <w:r>
              <w:rPr>
                <w:rFonts w:hint="eastAsia"/>
                <w:sz w:val="24"/>
              </w:rPr>
              <w:t>。</w:t>
            </w:r>
            <w:r>
              <w:rPr>
                <w:rFonts w:hint="eastAsia" w:hAnsi="宋体"/>
                <w:sz w:val="24"/>
              </w:rPr>
              <w:t>因此，本次环评要求建设单位采取选用低噪声设备、基础减振、管道与设备接口处安装软性接头等治理措施，以减轻噪声对区域声环境的影响。</w:t>
            </w:r>
          </w:p>
          <w:p>
            <w:pPr>
              <w:autoSpaceDE w:val="0"/>
              <w:autoSpaceDN w:val="0"/>
              <w:spacing w:line="360" w:lineRule="auto"/>
              <w:ind w:firstLine="480" w:firstLineChars="200"/>
              <w:rPr>
                <w:sz w:val="24"/>
              </w:rPr>
            </w:pPr>
            <w:r>
              <w:rPr>
                <w:sz w:val="24"/>
              </w:rPr>
              <w:t>项目营运期主要</w:t>
            </w:r>
            <w:r>
              <w:rPr>
                <w:rFonts w:hint="eastAsia"/>
                <w:sz w:val="24"/>
              </w:rPr>
              <w:t>设备</w:t>
            </w:r>
            <w:r>
              <w:rPr>
                <w:sz w:val="24"/>
              </w:rPr>
              <w:t>噪声源详见表</w:t>
            </w:r>
            <w:r>
              <w:rPr>
                <w:rFonts w:hint="eastAsia"/>
                <w:sz w:val="24"/>
              </w:rPr>
              <w:t>47、</w:t>
            </w:r>
            <w:r>
              <w:rPr>
                <w:sz w:val="24"/>
              </w:rPr>
              <w:t>4</w:t>
            </w:r>
            <w:r>
              <w:rPr>
                <w:rFonts w:hint="eastAsia"/>
                <w:sz w:val="24"/>
              </w:rPr>
              <w:t>8</w:t>
            </w:r>
            <w:r>
              <w:rPr>
                <w:sz w:val="24"/>
              </w:rPr>
              <w:t>。</w:t>
            </w:r>
          </w:p>
          <w:p>
            <w:pPr>
              <w:jc w:val="center"/>
              <w:rPr>
                <w:b/>
                <w:szCs w:val="21"/>
              </w:rPr>
            </w:pPr>
            <w:r>
              <w:rPr>
                <w:b/>
                <w:szCs w:val="21"/>
              </w:rPr>
              <w:t>表</w:t>
            </w:r>
            <w:r>
              <w:rPr>
                <w:rFonts w:hint="eastAsia"/>
                <w:b/>
                <w:szCs w:val="21"/>
              </w:rPr>
              <w:t>47</w:t>
            </w:r>
            <w:r>
              <w:rPr>
                <w:b/>
                <w:szCs w:val="21"/>
              </w:rPr>
              <w:t xml:space="preserve">  </w:t>
            </w:r>
            <w:r>
              <w:rPr>
                <w:rFonts w:hint="eastAsia"/>
                <w:b/>
                <w:szCs w:val="21"/>
              </w:rPr>
              <w:t>取土区</w:t>
            </w:r>
            <w:r>
              <w:rPr>
                <w:b/>
                <w:szCs w:val="21"/>
              </w:rPr>
              <w:t>主要噪声源一览表</w:t>
            </w:r>
          </w:p>
          <w:tbl>
            <w:tblPr>
              <w:tblStyle w:val="24"/>
              <w:tblW w:w="882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726"/>
              <w:gridCol w:w="1230"/>
              <w:gridCol w:w="1867"/>
              <w:gridCol w:w="25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58" w:type="dxa"/>
                  <w:vAlign w:val="center"/>
                </w:tcPr>
                <w:p>
                  <w:pPr>
                    <w:pStyle w:val="57"/>
                    <w:spacing w:beforeLines="0" w:afterLines="0" w:line="240" w:lineRule="auto"/>
                  </w:pPr>
                  <w:r>
                    <w:rPr>
                      <w:rFonts w:hAnsi="宋体"/>
                    </w:rPr>
                    <w:t>设备</w:t>
                  </w:r>
                </w:p>
              </w:tc>
              <w:tc>
                <w:tcPr>
                  <w:tcW w:w="1726" w:type="dxa"/>
                  <w:vAlign w:val="center"/>
                </w:tcPr>
                <w:p>
                  <w:pPr>
                    <w:pStyle w:val="57"/>
                    <w:spacing w:beforeLines="0" w:afterLines="0" w:line="240" w:lineRule="auto"/>
                  </w:pPr>
                  <w:r>
                    <w:rPr>
                      <w:rFonts w:hAnsi="宋体"/>
                    </w:rPr>
                    <w:t>位置</w:t>
                  </w:r>
                </w:p>
              </w:tc>
              <w:tc>
                <w:tcPr>
                  <w:tcW w:w="1230" w:type="dxa"/>
                  <w:vAlign w:val="center"/>
                </w:tcPr>
                <w:p>
                  <w:pPr>
                    <w:pStyle w:val="57"/>
                    <w:spacing w:beforeLines="0" w:afterLines="0" w:line="240" w:lineRule="auto"/>
                  </w:pPr>
                  <w:r>
                    <w:rPr>
                      <w:rFonts w:hAnsi="宋体"/>
                    </w:rPr>
                    <w:t>数量</w:t>
                  </w:r>
                </w:p>
              </w:tc>
              <w:tc>
                <w:tcPr>
                  <w:tcW w:w="1867" w:type="dxa"/>
                  <w:vAlign w:val="center"/>
                </w:tcPr>
                <w:p>
                  <w:pPr>
                    <w:pStyle w:val="57"/>
                    <w:spacing w:beforeLines="0" w:afterLines="0" w:line="240" w:lineRule="auto"/>
                  </w:pPr>
                  <w:r>
                    <w:rPr>
                      <w:rFonts w:hAnsi="宋体"/>
                    </w:rPr>
                    <w:t>噪声值</w:t>
                  </w:r>
                  <w:r>
                    <w:t>dB(A)</w:t>
                  </w:r>
                </w:p>
              </w:tc>
              <w:tc>
                <w:tcPr>
                  <w:tcW w:w="2543" w:type="dxa"/>
                  <w:vAlign w:val="center"/>
                </w:tcPr>
                <w:p>
                  <w:pPr>
                    <w:pStyle w:val="57"/>
                    <w:spacing w:beforeLines="0" w:afterLines="0" w:line="240" w:lineRule="auto"/>
                  </w:pPr>
                  <w:r>
                    <w:rPr>
                      <w:rFonts w:hAnsi="宋体"/>
                    </w:rPr>
                    <w:t>处理措施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58" w:type="dxa"/>
                  <w:vAlign w:val="center"/>
                </w:tcPr>
                <w:p>
                  <w:pPr>
                    <w:jc w:val="center"/>
                    <w:rPr>
                      <w:szCs w:val="21"/>
                    </w:rPr>
                  </w:pPr>
                  <w:r>
                    <w:rPr>
                      <w:rFonts w:hint="eastAsia"/>
                      <w:szCs w:val="21"/>
                    </w:rPr>
                    <w:t>挖掘机</w:t>
                  </w:r>
                </w:p>
              </w:tc>
              <w:tc>
                <w:tcPr>
                  <w:tcW w:w="1726" w:type="dxa"/>
                  <w:vAlign w:val="center"/>
                </w:tcPr>
                <w:p>
                  <w:pPr>
                    <w:pStyle w:val="57"/>
                    <w:spacing w:beforeLines="0" w:afterLines="0" w:line="240" w:lineRule="auto"/>
                  </w:pPr>
                  <w:r>
                    <w:rPr>
                      <w:rFonts w:hint="eastAsia"/>
                    </w:rPr>
                    <w:t>取土区</w:t>
                  </w:r>
                </w:p>
              </w:tc>
              <w:tc>
                <w:tcPr>
                  <w:tcW w:w="1230" w:type="dxa"/>
                  <w:vAlign w:val="center"/>
                </w:tcPr>
                <w:p>
                  <w:pPr>
                    <w:pStyle w:val="57"/>
                    <w:spacing w:beforeLines="0" w:afterLines="0" w:line="240" w:lineRule="auto"/>
                    <w:rPr>
                      <w:szCs w:val="21"/>
                    </w:rPr>
                  </w:pPr>
                  <w:r>
                    <w:rPr>
                      <w:rFonts w:hint="eastAsia" w:hAnsi="宋体"/>
                      <w:szCs w:val="21"/>
                    </w:rPr>
                    <w:t>2</w:t>
                  </w:r>
                  <w:r>
                    <w:rPr>
                      <w:rFonts w:hAnsi="宋体"/>
                      <w:szCs w:val="21"/>
                    </w:rPr>
                    <w:t>台</w:t>
                  </w:r>
                </w:p>
              </w:tc>
              <w:tc>
                <w:tcPr>
                  <w:tcW w:w="1867" w:type="dxa"/>
                  <w:vAlign w:val="center"/>
                </w:tcPr>
                <w:p>
                  <w:pPr>
                    <w:pStyle w:val="57"/>
                    <w:spacing w:beforeLines="0" w:afterLines="0" w:line="240" w:lineRule="auto"/>
                    <w:rPr>
                      <w:szCs w:val="21"/>
                    </w:rPr>
                  </w:pPr>
                  <w:r>
                    <w:rPr>
                      <w:rFonts w:hint="eastAsia"/>
                      <w:szCs w:val="21"/>
                    </w:rPr>
                    <w:t>90</w:t>
                  </w:r>
                </w:p>
              </w:tc>
              <w:tc>
                <w:tcPr>
                  <w:tcW w:w="2543" w:type="dxa"/>
                  <w:vMerge w:val="restart"/>
                  <w:vAlign w:val="center"/>
                </w:tcPr>
                <w:p>
                  <w:pPr>
                    <w:pStyle w:val="57"/>
                    <w:spacing w:beforeLines="0" w:afterLines="0" w:line="240" w:lineRule="auto"/>
                  </w:pPr>
                  <w:r>
                    <w:rPr>
                      <w:rFonts w:hAnsi="宋体"/>
                      <w:szCs w:val="21"/>
                    </w:rPr>
                    <w:t>选用低噪声设备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58" w:type="dxa"/>
                  <w:vAlign w:val="center"/>
                </w:tcPr>
                <w:p>
                  <w:pPr>
                    <w:jc w:val="center"/>
                    <w:rPr>
                      <w:szCs w:val="21"/>
                    </w:rPr>
                  </w:pPr>
                  <w:r>
                    <w:rPr>
                      <w:rFonts w:hint="eastAsia"/>
                      <w:szCs w:val="21"/>
                    </w:rPr>
                    <w:t>推土机</w:t>
                  </w:r>
                </w:p>
              </w:tc>
              <w:tc>
                <w:tcPr>
                  <w:tcW w:w="1726" w:type="dxa"/>
                  <w:vAlign w:val="center"/>
                </w:tcPr>
                <w:p>
                  <w:pPr>
                    <w:pStyle w:val="57"/>
                    <w:spacing w:beforeLines="0" w:afterLines="0" w:line="240" w:lineRule="auto"/>
                  </w:pPr>
                  <w:r>
                    <w:rPr>
                      <w:rFonts w:hint="eastAsia"/>
                    </w:rPr>
                    <w:t>取土区</w:t>
                  </w:r>
                </w:p>
              </w:tc>
              <w:tc>
                <w:tcPr>
                  <w:tcW w:w="1230" w:type="dxa"/>
                  <w:vAlign w:val="center"/>
                </w:tcPr>
                <w:p>
                  <w:pPr>
                    <w:pStyle w:val="57"/>
                    <w:spacing w:beforeLines="0" w:afterLines="0" w:line="240" w:lineRule="auto"/>
                    <w:rPr>
                      <w:szCs w:val="21"/>
                    </w:rPr>
                  </w:pPr>
                  <w:r>
                    <w:rPr>
                      <w:rFonts w:hint="eastAsia"/>
                      <w:szCs w:val="21"/>
                    </w:rPr>
                    <w:t>1</w:t>
                  </w:r>
                  <w:r>
                    <w:rPr>
                      <w:rFonts w:hAnsi="宋体"/>
                      <w:szCs w:val="21"/>
                    </w:rPr>
                    <w:t>台</w:t>
                  </w:r>
                </w:p>
              </w:tc>
              <w:tc>
                <w:tcPr>
                  <w:tcW w:w="1867" w:type="dxa"/>
                  <w:vAlign w:val="center"/>
                </w:tcPr>
                <w:p>
                  <w:pPr>
                    <w:pStyle w:val="57"/>
                    <w:spacing w:beforeLines="0" w:afterLines="0" w:line="240" w:lineRule="auto"/>
                    <w:rPr>
                      <w:rFonts w:hAnsi="宋体"/>
                      <w:szCs w:val="21"/>
                    </w:rPr>
                  </w:pPr>
                  <w:r>
                    <w:rPr>
                      <w:rFonts w:hint="eastAsia" w:hAnsi="宋体"/>
                      <w:szCs w:val="21"/>
                    </w:rPr>
                    <w:t>90</w:t>
                  </w:r>
                </w:p>
              </w:tc>
              <w:tc>
                <w:tcPr>
                  <w:tcW w:w="2543" w:type="dxa"/>
                  <w:vMerge w:val="continue"/>
                  <w:vAlign w:val="center"/>
                </w:tcPr>
                <w:p>
                  <w:pPr>
                    <w:pStyle w:val="57"/>
                    <w:spacing w:before="156" w:after="156"/>
                    <w:rPr>
                      <w:rFonts w:hAnsi="宋体"/>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58" w:type="dxa"/>
                  <w:vAlign w:val="center"/>
                </w:tcPr>
                <w:p>
                  <w:pPr>
                    <w:jc w:val="center"/>
                    <w:rPr>
                      <w:szCs w:val="21"/>
                    </w:rPr>
                  </w:pPr>
                  <w:r>
                    <w:rPr>
                      <w:rFonts w:hint="eastAsia"/>
                      <w:szCs w:val="21"/>
                    </w:rPr>
                    <w:t>装载机</w:t>
                  </w:r>
                </w:p>
              </w:tc>
              <w:tc>
                <w:tcPr>
                  <w:tcW w:w="1726" w:type="dxa"/>
                  <w:vAlign w:val="center"/>
                </w:tcPr>
                <w:p>
                  <w:pPr>
                    <w:pStyle w:val="57"/>
                    <w:spacing w:beforeLines="0" w:afterLines="0" w:line="240" w:lineRule="auto"/>
                  </w:pPr>
                  <w:r>
                    <w:rPr>
                      <w:rFonts w:hint="eastAsia"/>
                    </w:rPr>
                    <w:t>取土区</w:t>
                  </w:r>
                </w:p>
              </w:tc>
              <w:tc>
                <w:tcPr>
                  <w:tcW w:w="1230" w:type="dxa"/>
                  <w:vAlign w:val="center"/>
                </w:tcPr>
                <w:p>
                  <w:pPr>
                    <w:pStyle w:val="57"/>
                    <w:spacing w:beforeLines="0" w:afterLines="0" w:line="240" w:lineRule="auto"/>
                    <w:rPr>
                      <w:szCs w:val="21"/>
                    </w:rPr>
                  </w:pPr>
                  <w:r>
                    <w:rPr>
                      <w:rFonts w:hint="eastAsia"/>
                      <w:szCs w:val="21"/>
                    </w:rPr>
                    <w:t>1</w:t>
                  </w:r>
                  <w:r>
                    <w:rPr>
                      <w:rFonts w:hAnsi="宋体"/>
                      <w:szCs w:val="21"/>
                    </w:rPr>
                    <w:t>台</w:t>
                  </w:r>
                </w:p>
              </w:tc>
              <w:tc>
                <w:tcPr>
                  <w:tcW w:w="1867" w:type="dxa"/>
                  <w:vAlign w:val="center"/>
                </w:tcPr>
                <w:p>
                  <w:pPr>
                    <w:pStyle w:val="57"/>
                    <w:spacing w:beforeLines="0" w:afterLines="0" w:line="240" w:lineRule="auto"/>
                    <w:rPr>
                      <w:rFonts w:hAnsi="宋体"/>
                      <w:szCs w:val="21"/>
                    </w:rPr>
                  </w:pPr>
                  <w:r>
                    <w:rPr>
                      <w:rFonts w:hint="eastAsia" w:hAnsi="宋体"/>
                      <w:szCs w:val="21"/>
                    </w:rPr>
                    <w:t>89</w:t>
                  </w:r>
                </w:p>
              </w:tc>
              <w:tc>
                <w:tcPr>
                  <w:tcW w:w="2543" w:type="dxa"/>
                  <w:vMerge w:val="continue"/>
                  <w:vAlign w:val="center"/>
                </w:tcPr>
                <w:p>
                  <w:pPr>
                    <w:pStyle w:val="57"/>
                    <w:spacing w:before="156" w:after="156"/>
                    <w:rPr>
                      <w:rFonts w:hAnsi="宋体"/>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58" w:type="dxa"/>
                  <w:vAlign w:val="center"/>
                </w:tcPr>
                <w:p>
                  <w:pPr>
                    <w:jc w:val="center"/>
                    <w:rPr>
                      <w:szCs w:val="21"/>
                    </w:rPr>
                  </w:pPr>
                  <w:r>
                    <w:rPr>
                      <w:rFonts w:hint="eastAsia"/>
                      <w:szCs w:val="21"/>
                    </w:rPr>
                    <w:t>矿用三轮车</w:t>
                  </w:r>
                </w:p>
              </w:tc>
              <w:tc>
                <w:tcPr>
                  <w:tcW w:w="1726" w:type="dxa"/>
                  <w:vAlign w:val="center"/>
                </w:tcPr>
                <w:p>
                  <w:pPr>
                    <w:pStyle w:val="57"/>
                    <w:spacing w:beforeLines="0" w:afterLines="0" w:line="240" w:lineRule="auto"/>
                  </w:pPr>
                  <w:r>
                    <w:rPr>
                      <w:rFonts w:hint="eastAsia"/>
                    </w:rPr>
                    <w:t>取土区</w:t>
                  </w:r>
                </w:p>
              </w:tc>
              <w:tc>
                <w:tcPr>
                  <w:tcW w:w="1230" w:type="dxa"/>
                  <w:vAlign w:val="center"/>
                </w:tcPr>
                <w:p>
                  <w:pPr>
                    <w:pStyle w:val="57"/>
                    <w:spacing w:beforeLines="0" w:afterLines="0" w:line="240" w:lineRule="auto"/>
                    <w:rPr>
                      <w:szCs w:val="21"/>
                    </w:rPr>
                  </w:pPr>
                  <w:r>
                    <w:rPr>
                      <w:rFonts w:hint="eastAsia"/>
                      <w:szCs w:val="21"/>
                    </w:rPr>
                    <w:t>2台</w:t>
                  </w:r>
                </w:p>
              </w:tc>
              <w:tc>
                <w:tcPr>
                  <w:tcW w:w="1867" w:type="dxa"/>
                  <w:vAlign w:val="center"/>
                </w:tcPr>
                <w:p>
                  <w:pPr>
                    <w:pStyle w:val="57"/>
                    <w:spacing w:beforeLines="0" w:afterLines="0" w:line="240" w:lineRule="auto"/>
                    <w:rPr>
                      <w:rFonts w:hAnsi="宋体"/>
                      <w:szCs w:val="21"/>
                    </w:rPr>
                  </w:pPr>
                  <w:r>
                    <w:rPr>
                      <w:rFonts w:hint="eastAsia" w:hAnsi="宋体"/>
                      <w:szCs w:val="21"/>
                    </w:rPr>
                    <w:t>85</w:t>
                  </w:r>
                </w:p>
              </w:tc>
              <w:tc>
                <w:tcPr>
                  <w:tcW w:w="2543" w:type="dxa"/>
                  <w:vMerge w:val="continue"/>
                  <w:vAlign w:val="center"/>
                </w:tcPr>
                <w:p>
                  <w:pPr>
                    <w:pStyle w:val="57"/>
                    <w:spacing w:before="156" w:after="156"/>
                    <w:rPr>
                      <w:rFonts w:hAnsi="宋体"/>
                      <w:szCs w:val="21"/>
                    </w:rPr>
                  </w:pPr>
                </w:p>
              </w:tc>
            </w:tr>
          </w:tbl>
          <w:p>
            <w:pPr>
              <w:jc w:val="center"/>
              <w:rPr>
                <w:b/>
                <w:szCs w:val="21"/>
              </w:rPr>
            </w:pPr>
            <w:r>
              <w:rPr>
                <w:b/>
                <w:szCs w:val="21"/>
              </w:rPr>
              <w:t>表4</w:t>
            </w:r>
            <w:r>
              <w:rPr>
                <w:rFonts w:hint="eastAsia"/>
                <w:b/>
                <w:szCs w:val="21"/>
              </w:rPr>
              <w:t>8</w:t>
            </w:r>
            <w:r>
              <w:rPr>
                <w:b/>
                <w:szCs w:val="21"/>
              </w:rPr>
              <w:t xml:space="preserve">  </w:t>
            </w:r>
            <w:r>
              <w:rPr>
                <w:rFonts w:hint="eastAsia"/>
                <w:b/>
                <w:szCs w:val="21"/>
              </w:rPr>
              <w:t>生产区</w:t>
            </w:r>
            <w:r>
              <w:rPr>
                <w:b/>
                <w:szCs w:val="21"/>
              </w:rPr>
              <w:t>工程主要噪声源一览表</w:t>
            </w:r>
          </w:p>
          <w:tbl>
            <w:tblPr>
              <w:tblStyle w:val="24"/>
              <w:tblW w:w="8725"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94"/>
              <w:gridCol w:w="1371"/>
              <w:gridCol w:w="968"/>
              <w:gridCol w:w="1158"/>
              <w:gridCol w:w="2126"/>
              <w:gridCol w:w="1418"/>
              <w:gridCol w:w="109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4" w:type="dxa"/>
                  <w:vAlign w:val="center"/>
                </w:tcPr>
                <w:p>
                  <w:pPr>
                    <w:widowControl/>
                    <w:jc w:val="center"/>
                    <w:rPr>
                      <w:kern w:val="0"/>
                      <w:szCs w:val="21"/>
                    </w:rPr>
                  </w:pPr>
                  <w:r>
                    <w:rPr>
                      <w:kern w:val="0"/>
                      <w:szCs w:val="21"/>
                    </w:rPr>
                    <w:t>序号</w:t>
                  </w:r>
                </w:p>
              </w:tc>
              <w:tc>
                <w:tcPr>
                  <w:tcW w:w="1371" w:type="dxa"/>
                  <w:vAlign w:val="center"/>
                </w:tcPr>
                <w:p>
                  <w:pPr>
                    <w:widowControl/>
                    <w:jc w:val="center"/>
                    <w:rPr>
                      <w:kern w:val="0"/>
                      <w:szCs w:val="21"/>
                    </w:rPr>
                  </w:pPr>
                  <w:r>
                    <w:rPr>
                      <w:kern w:val="0"/>
                      <w:szCs w:val="21"/>
                    </w:rPr>
                    <w:t>设备名称</w:t>
                  </w:r>
                </w:p>
              </w:tc>
              <w:tc>
                <w:tcPr>
                  <w:tcW w:w="968" w:type="dxa"/>
                  <w:vAlign w:val="center"/>
                </w:tcPr>
                <w:p>
                  <w:pPr>
                    <w:widowControl/>
                    <w:jc w:val="center"/>
                    <w:rPr>
                      <w:kern w:val="0"/>
                      <w:szCs w:val="21"/>
                    </w:rPr>
                  </w:pPr>
                  <w:r>
                    <w:rPr>
                      <w:kern w:val="0"/>
                      <w:szCs w:val="21"/>
                    </w:rPr>
                    <w:t>数量（台/套）</w:t>
                  </w:r>
                </w:p>
              </w:tc>
              <w:tc>
                <w:tcPr>
                  <w:tcW w:w="1158" w:type="dxa"/>
                  <w:vAlign w:val="center"/>
                </w:tcPr>
                <w:p>
                  <w:pPr>
                    <w:widowControl/>
                    <w:jc w:val="center"/>
                    <w:rPr>
                      <w:kern w:val="0"/>
                      <w:szCs w:val="21"/>
                    </w:rPr>
                  </w:pPr>
                  <w:r>
                    <w:rPr>
                      <w:kern w:val="0"/>
                      <w:szCs w:val="21"/>
                    </w:rPr>
                    <w:t>单机噪声dB(A)</w:t>
                  </w:r>
                </w:p>
              </w:tc>
              <w:tc>
                <w:tcPr>
                  <w:tcW w:w="2126" w:type="dxa"/>
                  <w:vAlign w:val="center"/>
                </w:tcPr>
                <w:p>
                  <w:pPr>
                    <w:widowControl/>
                    <w:jc w:val="center"/>
                    <w:rPr>
                      <w:kern w:val="0"/>
                      <w:szCs w:val="21"/>
                    </w:rPr>
                  </w:pPr>
                  <w:r>
                    <w:rPr>
                      <w:kern w:val="0"/>
                      <w:szCs w:val="21"/>
                    </w:rPr>
                    <w:t>治理措施</w:t>
                  </w:r>
                </w:p>
              </w:tc>
              <w:tc>
                <w:tcPr>
                  <w:tcW w:w="1418" w:type="dxa"/>
                  <w:vAlign w:val="center"/>
                </w:tcPr>
                <w:p>
                  <w:pPr>
                    <w:widowControl/>
                    <w:jc w:val="center"/>
                    <w:rPr>
                      <w:color w:val="FF0000"/>
                      <w:kern w:val="0"/>
                      <w:szCs w:val="21"/>
                    </w:rPr>
                  </w:pPr>
                  <w:r>
                    <w:rPr>
                      <w:rFonts w:hint="eastAsia"/>
                      <w:color w:val="FF0000"/>
                      <w:kern w:val="0"/>
                      <w:szCs w:val="21"/>
                    </w:rPr>
                    <w:t>中心位置（多台同类设备取中心位置）</w:t>
                  </w:r>
                </w:p>
              </w:tc>
              <w:tc>
                <w:tcPr>
                  <w:tcW w:w="1090" w:type="dxa"/>
                  <w:vAlign w:val="center"/>
                </w:tcPr>
                <w:p>
                  <w:pPr>
                    <w:widowControl/>
                    <w:jc w:val="center"/>
                    <w:rPr>
                      <w:kern w:val="0"/>
                      <w:szCs w:val="21"/>
                    </w:rPr>
                  </w:pPr>
                  <w:r>
                    <w:rPr>
                      <w:kern w:val="0"/>
                      <w:szCs w:val="21"/>
                    </w:rPr>
                    <w:t>治理后噪声dB(A)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99" w:hRule="atLeast"/>
                <w:jc w:val="center"/>
              </w:trPr>
              <w:tc>
                <w:tcPr>
                  <w:tcW w:w="594" w:type="dxa"/>
                  <w:vMerge w:val="restart"/>
                  <w:vAlign w:val="center"/>
                </w:tcPr>
                <w:p>
                  <w:pPr>
                    <w:widowControl/>
                    <w:jc w:val="center"/>
                    <w:rPr>
                      <w:kern w:val="0"/>
                      <w:szCs w:val="21"/>
                    </w:rPr>
                  </w:pPr>
                  <w:r>
                    <w:rPr>
                      <w:kern w:val="0"/>
                      <w:szCs w:val="21"/>
                    </w:rPr>
                    <w:t>1</w:t>
                  </w:r>
                </w:p>
              </w:tc>
              <w:tc>
                <w:tcPr>
                  <w:tcW w:w="1371" w:type="dxa"/>
                  <w:vMerge w:val="restart"/>
                  <w:vAlign w:val="center"/>
                </w:tcPr>
                <w:p>
                  <w:pPr>
                    <w:widowControl/>
                    <w:jc w:val="center"/>
                    <w:rPr>
                      <w:kern w:val="0"/>
                      <w:szCs w:val="21"/>
                    </w:rPr>
                  </w:pPr>
                  <w:r>
                    <w:rPr>
                      <w:rFonts w:hint="eastAsia"/>
                      <w:szCs w:val="21"/>
                    </w:rPr>
                    <w:t>配料机</w:t>
                  </w:r>
                </w:p>
              </w:tc>
              <w:tc>
                <w:tcPr>
                  <w:tcW w:w="968" w:type="dxa"/>
                  <w:vMerge w:val="restart"/>
                  <w:vAlign w:val="center"/>
                </w:tcPr>
                <w:p>
                  <w:pPr>
                    <w:widowControl/>
                    <w:jc w:val="center"/>
                    <w:rPr>
                      <w:kern w:val="0"/>
                      <w:szCs w:val="21"/>
                    </w:rPr>
                  </w:pPr>
                  <w:r>
                    <w:rPr>
                      <w:rFonts w:hint="eastAsia"/>
                    </w:rPr>
                    <w:t>2</w:t>
                  </w:r>
                </w:p>
              </w:tc>
              <w:tc>
                <w:tcPr>
                  <w:tcW w:w="1158" w:type="dxa"/>
                  <w:vMerge w:val="restart"/>
                  <w:vAlign w:val="center"/>
                </w:tcPr>
                <w:p>
                  <w:pPr>
                    <w:jc w:val="center"/>
                    <w:rPr>
                      <w:szCs w:val="21"/>
                    </w:rPr>
                  </w:pPr>
                  <w:r>
                    <w:rPr>
                      <w:rFonts w:hint="eastAsia"/>
                      <w:bCs/>
                      <w:szCs w:val="21"/>
                    </w:rPr>
                    <w:t>80</w:t>
                  </w:r>
                  <w:r>
                    <w:rPr>
                      <w:rFonts w:hAnsi="宋体"/>
                      <w:bCs/>
                      <w:szCs w:val="21"/>
                    </w:rPr>
                    <w:t>～</w:t>
                  </w:r>
                  <w:r>
                    <w:rPr>
                      <w:rFonts w:hint="eastAsia"/>
                      <w:szCs w:val="21"/>
                    </w:rPr>
                    <w:t>90</w:t>
                  </w:r>
                </w:p>
              </w:tc>
              <w:tc>
                <w:tcPr>
                  <w:tcW w:w="2126" w:type="dxa"/>
                  <w:vMerge w:val="restart"/>
                  <w:vAlign w:val="center"/>
                </w:tcPr>
                <w:p>
                  <w:pPr>
                    <w:widowControl/>
                    <w:jc w:val="center"/>
                    <w:rPr>
                      <w:kern w:val="0"/>
                      <w:szCs w:val="21"/>
                    </w:rPr>
                  </w:pPr>
                  <w:r>
                    <w:rPr>
                      <w:kern w:val="0"/>
                      <w:szCs w:val="21"/>
                    </w:rPr>
                    <w:t>墙体隔声、基础减震</w:t>
                  </w:r>
                </w:p>
              </w:tc>
              <w:tc>
                <w:tcPr>
                  <w:tcW w:w="1418" w:type="dxa"/>
                  <w:vAlign w:val="center"/>
                </w:tcPr>
                <w:p>
                  <w:pPr>
                    <w:widowControl/>
                    <w:jc w:val="center"/>
                    <w:rPr>
                      <w:color w:val="FF0000"/>
                      <w:kern w:val="0"/>
                      <w:szCs w:val="21"/>
                    </w:rPr>
                  </w:pPr>
                  <w:r>
                    <w:rPr>
                      <w:rFonts w:hint="eastAsia"/>
                      <w:color w:val="FF0000"/>
                      <w:kern w:val="0"/>
                      <w:szCs w:val="21"/>
                    </w:rPr>
                    <w:t>70，43</w:t>
                  </w:r>
                </w:p>
              </w:tc>
              <w:tc>
                <w:tcPr>
                  <w:tcW w:w="1090" w:type="dxa"/>
                  <w:vMerge w:val="restart"/>
                  <w:vAlign w:val="center"/>
                </w:tcPr>
                <w:p>
                  <w:pPr>
                    <w:widowControl/>
                    <w:jc w:val="center"/>
                    <w:rPr>
                      <w:kern w:val="0"/>
                      <w:szCs w:val="21"/>
                    </w:rPr>
                  </w:pPr>
                  <w:r>
                    <w:rPr>
                      <w:rFonts w:hint="eastAsia"/>
                      <w:kern w:val="0"/>
                      <w:szCs w:val="21"/>
                    </w:rPr>
                    <w:t>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594" w:type="dxa"/>
                  <w:vMerge w:val="continue"/>
                  <w:vAlign w:val="center"/>
                </w:tcPr>
                <w:p>
                  <w:pPr>
                    <w:widowControl/>
                    <w:jc w:val="center"/>
                    <w:rPr>
                      <w:kern w:val="0"/>
                      <w:szCs w:val="21"/>
                    </w:rPr>
                  </w:pPr>
                </w:p>
              </w:tc>
              <w:tc>
                <w:tcPr>
                  <w:tcW w:w="1371" w:type="dxa"/>
                  <w:vMerge w:val="continue"/>
                  <w:vAlign w:val="center"/>
                </w:tcPr>
                <w:p>
                  <w:pPr>
                    <w:widowControl/>
                    <w:jc w:val="center"/>
                    <w:rPr>
                      <w:rFonts w:hint="eastAsia"/>
                      <w:szCs w:val="21"/>
                    </w:rPr>
                  </w:pPr>
                </w:p>
              </w:tc>
              <w:tc>
                <w:tcPr>
                  <w:tcW w:w="968" w:type="dxa"/>
                  <w:vMerge w:val="continue"/>
                  <w:vAlign w:val="center"/>
                </w:tcPr>
                <w:p>
                  <w:pPr>
                    <w:widowControl/>
                    <w:jc w:val="center"/>
                    <w:rPr>
                      <w:rFonts w:hint="eastAsia"/>
                    </w:rPr>
                  </w:pPr>
                </w:p>
              </w:tc>
              <w:tc>
                <w:tcPr>
                  <w:tcW w:w="1158" w:type="dxa"/>
                  <w:vMerge w:val="continue"/>
                  <w:vAlign w:val="center"/>
                </w:tcPr>
                <w:p>
                  <w:pPr>
                    <w:jc w:val="center"/>
                    <w:rPr>
                      <w:rFonts w:hint="eastAsia"/>
                      <w:bCs/>
                      <w:szCs w:val="21"/>
                    </w:rPr>
                  </w:pPr>
                </w:p>
              </w:tc>
              <w:tc>
                <w:tcPr>
                  <w:tcW w:w="2126" w:type="dxa"/>
                  <w:vMerge w:val="continue"/>
                  <w:vAlign w:val="center"/>
                </w:tcPr>
                <w:p>
                  <w:pPr>
                    <w:widowControl/>
                    <w:jc w:val="center"/>
                    <w:rPr>
                      <w:kern w:val="0"/>
                      <w:szCs w:val="21"/>
                    </w:rPr>
                  </w:pPr>
                </w:p>
              </w:tc>
              <w:tc>
                <w:tcPr>
                  <w:tcW w:w="1418" w:type="dxa"/>
                  <w:vAlign w:val="center"/>
                </w:tcPr>
                <w:p>
                  <w:pPr>
                    <w:widowControl/>
                    <w:jc w:val="center"/>
                    <w:rPr>
                      <w:rFonts w:hint="eastAsia"/>
                      <w:color w:val="FF0000"/>
                      <w:kern w:val="0"/>
                      <w:szCs w:val="21"/>
                    </w:rPr>
                  </w:pPr>
                  <w:r>
                    <w:rPr>
                      <w:rFonts w:hint="eastAsia"/>
                      <w:color w:val="FF0000"/>
                      <w:kern w:val="0"/>
                      <w:szCs w:val="21"/>
                    </w:rPr>
                    <w:t>74，50</w:t>
                  </w:r>
                </w:p>
              </w:tc>
              <w:tc>
                <w:tcPr>
                  <w:tcW w:w="1090" w:type="dxa"/>
                  <w:vMerge w:val="continue"/>
                  <w:vAlign w:val="center"/>
                </w:tcPr>
                <w:p>
                  <w:pPr>
                    <w:widowControl/>
                    <w:jc w:val="center"/>
                    <w:rPr>
                      <w:rFonts w:hint="eastAsia"/>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4" w:type="dxa"/>
                  <w:vMerge w:val="restart"/>
                  <w:vAlign w:val="center"/>
                </w:tcPr>
                <w:p>
                  <w:pPr>
                    <w:widowControl/>
                    <w:jc w:val="center"/>
                    <w:rPr>
                      <w:kern w:val="0"/>
                      <w:szCs w:val="21"/>
                    </w:rPr>
                  </w:pPr>
                  <w:r>
                    <w:rPr>
                      <w:kern w:val="0"/>
                      <w:szCs w:val="21"/>
                    </w:rPr>
                    <w:t>2</w:t>
                  </w:r>
                </w:p>
              </w:tc>
              <w:tc>
                <w:tcPr>
                  <w:tcW w:w="1371" w:type="dxa"/>
                  <w:vMerge w:val="restart"/>
                  <w:vAlign w:val="center"/>
                </w:tcPr>
                <w:p>
                  <w:pPr>
                    <w:widowControl/>
                    <w:jc w:val="center"/>
                    <w:rPr>
                      <w:kern w:val="0"/>
                      <w:szCs w:val="21"/>
                    </w:rPr>
                  </w:pPr>
                  <w:r>
                    <w:rPr>
                      <w:rFonts w:hint="eastAsia"/>
                      <w:szCs w:val="21"/>
                    </w:rPr>
                    <w:t>给料机</w:t>
                  </w:r>
                </w:p>
              </w:tc>
              <w:tc>
                <w:tcPr>
                  <w:tcW w:w="968" w:type="dxa"/>
                  <w:vMerge w:val="restart"/>
                  <w:vAlign w:val="center"/>
                </w:tcPr>
                <w:p>
                  <w:pPr>
                    <w:widowControl/>
                    <w:jc w:val="center"/>
                    <w:rPr>
                      <w:kern w:val="0"/>
                      <w:szCs w:val="21"/>
                    </w:rPr>
                  </w:pPr>
                  <w:r>
                    <w:rPr>
                      <w:rFonts w:hint="eastAsia"/>
                    </w:rPr>
                    <w:t>3</w:t>
                  </w:r>
                </w:p>
              </w:tc>
              <w:tc>
                <w:tcPr>
                  <w:tcW w:w="1158" w:type="dxa"/>
                  <w:vMerge w:val="restart"/>
                  <w:vAlign w:val="center"/>
                </w:tcPr>
                <w:p>
                  <w:pPr>
                    <w:jc w:val="center"/>
                  </w:pPr>
                  <w:r>
                    <w:rPr>
                      <w:rFonts w:hint="eastAsia"/>
                      <w:bCs/>
                      <w:szCs w:val="21"/>
                    </w:rPr>
                    <w:t>80</w:t>
                  </w:r>
                  <w:r>
                    <w:rPr>
                      <w:rFonts w:hAnsi="宋体"/>
                      <w:bCs/>
                      <w:szCs w:val="21"/>
                    </w:rPr>
                    <w:t>～</w:t>
                  </w:r>
                  <w:r>
                    <w:rPr>
                      <w:rFonts w:hint="eastAsia"/>
                      <w:szCs w:val="21"/>
                    </w:rPr>
                    <w:t>90</w:t>
                  </w:r>
                </w:p>
              </w:tc>
              <w:tc>
                <w:tcPr>
                  <w:tcW w:w="2126" w:type="dxa"/>
                  <w:vMerge w:val="restart"/>
                  <w:vAlign w:val="center"/>
                </w:tcPr>
                <w:p>
                  <w:pPr>
                    <w:widowControl/>
                    <w:jc w:val="center"/>
                    <w:rPr>
                      <w:kern w:val="0"/>
                      <w:szCs w:val="21"/>
                    </w:rPr>
                  </w:pPr>
                  <w:r>
                    <w:rPr>
                      <w:kern w:val="0"/>
                      <w:szCs w:val="21"/>
                    </w:rPr>
                    <w:t>墙体隔声、基础减震</w:t>
                  </w:r>
                </w:p>
              </w:tc>
              <w:tc>
                <w:tcPr>
                  <w:tcW w:w="1418" w:type="dxa"/>
                  <w:vAlign w:val="center"/>
                </w:tcPr>
                <w:p>
                  <w:pPr>
                    <w:widowControl/>
                    <w:jc w:val="center"/>
                    <w:rPr>
                      <w:color w:val="FF0000"/>
                      <w:kern w:val="0"/>
                      <w:szCs w:val="21"/>
                    </w:rPr>
                  </w:pPr>
                  <w:r>
                    <w:rPr>
                      <w:rFonts w:hint="eastAsia"/>
                      <w:color w:val="FF0000"/>
                      <w:kern w:val="0"/>
                      <w:szCs w:val="21"/>
                    </w:rPr>
                    <w:t>90，32</w:t>
                  </w:r>
                </w:p>
              </w:tc>
              <w:tc>
                <w:tcPr>
                  <w:tcW w:w="1090" w:type="dxa"/>
                  <w:vMerge w:val="restart"/>
                  <w:vAlign w:val="center"/>
                </w:tcPr>
                <w:p>
                  <w:pPr>
                    <w:widowControl/>
                    <w:jc w:val="center"/>
                    <w:rPr>
                      <w:kern w:val="0"/>
                      <w:szCs w:val="21"/>
                    </w:rPr>
                  </w:pPr>
                  <w:r>
                    <w:rPr>
                      <w:rFonts w:hint="eastAsia"/>
                      <w:kern w:val="0"/>
                      <w:szCs w:val="21"/>
                    </w:rPr>
                    <w:t>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68" w:hRule="atLeast"/>
                <w:jc w:val="center"/>
              </w:trPr>
              <w:tc>
                <w:tcPr>
                  <w:tcW w:w="594" w:type="dxa"/>
                  <w:vMerge w:val="continue"/>
                  <w:vAlign w:val="center"/>
                </w:tcPr>
                <w:p>
                  <w:pPr>
                    <w:widowControl/>
                    <w:jc w:val="center"/>
                    <w:rPr>
                      <w:kern w:val="0"/>
                      <w:szCs w:val="21"/>
                    </w:rPr>
                  </w:pPr>
                </w:p>
              </w:tc>
              <w:tc>
                <w:tcPr>
                  <w:tcW w:w="1371" w:type="dxa"/>
                  <w:vMerge w:val="continue"/>
                  <w:vAlign w:val="center"/>
                </w:tcPr>
                <w:p>
                  <w:pPr>
                    <w:widowControl/>
                    <w:jc w:val="center"/>
                    <w:rPr>
                      <w:rFonts w:hint="eastAsia"/>
                      <w:szCs w:val="21"/>
                    </w:rPr>
                  </w:pPr>
                </w:p>
              </w:tc>
              <w:tc>
                <w:tcPr>
                  <w:tcW w:w="968" w:type="dxa"/>
                  <w:vMerge w:val="continue"/>
                  <w:vAlign w:val="center"/>
                </w:tcPr>
                <w:p>
                  <w:pPr>
                    <w:widowControl/>
                    <w:jc w:val="center"/>
                    <w:rPr>
                      <w:rFonts w:hint="eastAsia"/>
                    </w:rPr>
                  </w:pPr>
                </w:p>
              </w:tc>
              <w:tc>
                <w:tcPr>
                  <w:tcW w:w="1158" w:type="dxa"/>
                  <w:vMerge w:val="continue"/>
                  <w:vAlign w:val="center"/>
                </w:tcPr>
                <w:p>
                  <w:pPr>
                    <w:jc w:val="center"/>
                    <w:rPr>
                      <w:rFonts w:hint="eastAsia"/>
                      <w:bCs/>
                      <w:szCs w:val="21"/>
                    </w:rPr>
                  </w:pPr>
                </w:p>
              </w:tc>
              <w:tc>
                <w:tcPr>
                  <w:tcW w:w="2126" w:type="dxa"/>
                  <w:vMerge w:val="continue"/>
                  <w:vAlign w:val="center"/>
                </w:tcPr>
                <w:p>
                  <w:pPr>
                    <w:widowControl/>
                    <w:jc w:val="center"/>
                    <w:rPr>
                      <w:kern w:val="0"/>
                      <w:szCs w:val="21"/>
                    </w:rPr>
                  </w:pPr>
                </w:p>
              </w:tc>
              <w:tc>
                <w:tcPr>
                  <w:tcW w:w="1418" w:type="dxa"/>
                  <w:vAlign w:val="center"/>
                </w:tcPr>
                <w:p>
                  <w:pPr>
                    <w:widowControl/>
                    <w:jc w:val="center"/>
                    <w:rPr>
                      <w:rFonts w:hint="eastAsia"/>
                      <w:color w:val="FF0000"/>
                      <w:kern w:val="0"/>
                      <w:szCs w:val="21"/>
                    </w:rPr>
                  </w:pPr>
                  <w:r>
                    <w:rPr>
                      <w:rFonts w:hint="eastAsia"/>
                      <w:color w:val="FF0000"/>
                      <w:kern w:val="0"/>
                      <w:szCs w:val="21"/>
                    </w:rPr>
                    <w:t>95，40</w:t>
                  </w:r>
                </w:p>
              </w:tc>
              <w:tc>
                <w:tcPr>
                  <w:tcW w:w="1090" w:type="dxa"/>
                  <w:vMerge w:val="continue"/>
                  <w:vAlign w:val="center"/>
                </w:tcPr>
                <w:p>
                  <w:pPr>
                    <w:widowControl/>
                    <w:jc w:val="center"/>
                    <w:rPr>
                      <w:rFonts w:hint="eastAsia"/>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4" w:type="dxa"/>
                  <w:vMerge w:val="continue"/>
                  <w:vAlign w:val="center"/>
                </w:tcPr>
                <w:p>
                  <w:pPr>
                    <w:widowControl/>
                    <w:jc w:val="center"/>
                    <w:rPr>
                      <w:kern w:val="0"/>
                      <w:szCs w:val="21"/>
                    </w:rPr>
                  </w:pPr>
                </w:p>
              </w:tc>
              <w:tc>
                <w:tcPr>
                  <w:tcW w:w="1371" w:type="dxa"/>
                  <w:vMerge w:val="continue"/>
                  <w:vAlign w:val="center"/>
                </w:tcPr>
                <w:p>
                  <w:pPr>
                    <w:widowControl/>
                    <w:jc w:val="center"/>
                    <w:rPr>
                      <w:rFonts w:hint="eastAsia"/>
                      <w:szCs w:val="21"/>
                    </w:rPr>
                  </w:pPr>
                </w:p>
              </w:tc>
              <w:tc>
                <w:tcPr>
                  <w:tcW w:w="968" w:type="dxa"/>
                  <w:vMerge w:val="continue"/>
                  <w:vAlign w:val="center"/>
                </w:tcPr>
                <w:p>
                  <w:pPr>
                    <w:widowControl/>
                    <w:jc w:val="center"/>
                    <w:rPr>
                      <w:rFonts w:hint="eastAsia"/>
                    </w:rPr>
                  </w:pPr>
                </w:p>
              </w:tc>
              <w:tc>
                <w:tcPr>
                  <w:tcW w:w="1158" w:type="dxa"/>
                  <w:vMerge w:val="continue"/>
                  <w:vAlign w:val="center"/>
                </w:tcPr>
                <w:p>
                  <w:pPr>
                    <w:jc w:val="center"/>
                    <w:rPr>
                      <w:rFonts w:hint="eastAsia"/>
                      <w:bCs/>
                      <w:szCs w:val="21"/>
                    </w:rPr>
                  </w:pPr>
                </w:p>
              </w:tc>
              <w:tc>
                <w:tcPr>
                  <w:tcW w:w="2126" w:type="dxa"/>
                  <w:vMerge w:val="continue"/>
                  <w:vAlign w:val="center"/>
                </w:tcPr>
                <w:p>
                  <w:pPr>
                    <w:widowControl/>
                    <w:jc w:val="center"/>
                    <w:rPr>
                      <w:kern w:val="0"/>
                      <w:szCs w:val="21"/>
                    </w:rPr>
                  </w:pPr>
                </w:p>
              </w:tc>
              <w:tc>
                <w:tcPr>
                  <w:tcW w:w="1418" w:type="dxa"/>
                  <w:vAlign w:val="center"/>
                </w:tcPr>
                <w:p>
                  <w:pPr>
                    <w:widowControl/>
                    <w:jc w:val="center"/>
                    <w:rPr>
                      <w:rFonts w:hint="eastAsia"/>
                      <w:color w:val="FF0000"/>
                      <w:kern w:val="0"/>
                      <w:szCs w:val="21"/>
                    </w:rPr>
                  </w:pPr>
                  <w:r>
                    <w:rPr>
                      <w:rFonts w:hint="eastAsia"/>
                      <w:color w:val="FF0000"/>
                      <w:kern w:val="0"/>
                      <w:szCs w:val="21"/>
                    </w:rPr>
                    <w:t>105，25</w:t>
                  </w:r>
                </w:p>
              </w:tc>
              <w:tc>
                <w:tcPr>
                  <w:tcW w:w="1090" w:type="dxa"/>
                  <w:vMerge w:val="continue"/>
                  <w:vAlign w:val="center"/>
                </w:tcPr>
                <w:p>
                  <w:pPr>
                    <w:widowControl/>
                    <w:jc w:val="center"/>
                    <w:rPr>
                      <w:rFonts w:hint="eastAsia"/>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4" w:type="dxa"/>
                  <w:vAlign w:val="center"/>
                </w:tcPr>
                <w:p>
                  <w:pPr>
                    <w:widowControl/>
                    <w:jc w:val="center"/>
                    <w:rPr>
                      <w:kern w:val="0"/>
                      <w:szCs w:val="21"/>
                    </w:rPr>
                  </w:pPr>
                  <w:r>
                    <w:rPr>
                      <w:kern w:val="0"/>
                      <w:szCs w:val="21"/>
                    </w:rPr>
                    <w:t>3</w:t>
                  </w:r>
                </w:p>
              </w:tc>
              <w:tc>
                <w:tcPr>
                  <w:tcW w:w="1371" w:type="dxa"/>
                  <w:vAlign w:val="center"/>
                </w:tcPr>
                <w:p>
                  <w:pPr>
                    <w:widowControl/>
                    <w:jc w:val="center"/>
                    <w:rPr>
                      <w:kern w:val="0"/>
                      <w:szCs w:val="21"/>
                    </w:rPr>
                  </w:pPr>
                  <w:r>
                    <w:rPr>
                      <w:rFonts w:hint="eastAsia"/>
                      <w:szCs w:val="21"/>
                    </w:rPr>
                    <w:t>破碎机</w:t>
                  </w:r>
                </w:p>
              </w:tc>
              <w:tc>
                <w:tcPr>
                  <w:tcW w:w="968" w:type="dxa"/>
                  <w:vAlign w:val="center"/>
                </w:tcPr>
                <w:p>
                  <w:pPr>
                    <w:widowControl/>
                    <w:jc w:val="center"/>
                    <w:rPr>
                      <w:kern w:val="0"/>
                      <w:szCs w:val="21"/>
                    </w:rPr>
                  </w:pPr>
                  <w:r>
                    <w:rPr>
                      <w:rFonts w:hint="eastAsia"/>
                    </w:rPr>
                    <w:t>1</w:t>
                  </w:r>
                </w:p>
              </w:tc>
              <w:tc>
                <w:tcPr>
                  <w:tcW w:w="1158" w:type="dxa"/>
                  <w:vAlign w:val="center"/>
                </w:tcPr>
                <w:p>
                  <w:pPr>
                    <w:jc w:val="center"/>
                  </w:pPr>
                  <w:r>
                    <w:rPr>
                      <w:rFonts w:hint="eastAsia"/>
                      <w:bCs/>
                      <w:szCs w:val="21"/>
                    </w:rPr>
                    <w:t>80</w:t>
                  </w:r>
                  <w:r>
                    <w:rPr>
                      <w:rFonts w:hAnsi="宋体"/>
                      <w:bCs/>
                      <w:szCs w:val="21"/>
                    </w:rPr>
                    <w:t>～</w:t>
                  </w:r>
                  <w:r>
                    <w:rPr>
                      <w:rFonts w:hint="eastAsia"/>
                      <w:szCs w:val="21"/>
                    </w:rPr>
                    <w:t>90</w:t>
                  </w:r>
                </w:p>
              </w:tc>
              <w:tc>
                <w:tcPr>
                  <w:tcW w:w="2126" w:type="dxa"/>
                  <w:vAlign w:val="center"/>
                </w:tcPr>
                <w:p>
                  <w:pPr>
                    <w:widowControl/>
                    <w:jc w:val="center"/>
                    <w:rPr>
                      <w:kern w:val="0"/>
                      <w:szCs w:val="21"/>
                    </w:rPr>
                  </w:pPr>
                  <w:r>
                    <w:rPr>
                      <w:kern w:val="0"/>
                      <w:szCs w:val="21"/>
                    </w:rPr>
                    <w:t>墙体隔声、基础减震</w:t>
                  </w:r>
                </w:p>
              </w:tc>
              <w:tc>
                <w:tcPr>
                  <w:tcW w:w="1418" w:type="dxa"/>
                  <w:vAlign w:val="center"/>
                </w:tcPr>
                <w:p>
                  <w:pPr>
                    <w:widowControl/>
                    <w:jc w:val="center"/>
                    <w:rPr>
                      <w:color w:val="FF0000"/>
                      <w:kern w:val="0"/>
                      <w:szCs w:val="21"/>
                    </w:rPr>
                  </w:pPr>
                  <w:r>
                    <w:rPr>
                      <w:rFonts w:hint="eastAsia"/>
                      <w:color w:val="FF0000"/>
                      <w:kern w:val="0"/>
                      <w:szCs w:val="21"/>
                    </w:rPr>
                    <w:t>115，20</w:t>
                  </w:r>
                </w:p>
              </w:tc>
              <w:tc>
                <w:tcPr>
                  <w:tcW w:w="1090" w:type="dxa"/>
                  <w:vAlign w:val="center"/>
                </w:tcPr>
                <w:p>
                  <w:pPr>
                    <w:widowControl/>
                    <w:jc w:val="center"/>
                    <w:rPr>
                      <w:kern w:val="0"/>
                      <w:szCs w:val="21"/>
                    </w:rPr>
                  </w:pPr>
                  <w:r>
                    <w:rPr>
                      <w:rFonts w:hint="eastAsia"/>
                      <w:kern w:val="0"/>
                      <w:szCs w:val="21"/>
                    </w:rPr>
                    <w:t>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4" w:type="dxa"/>
                  <w:vMerge w:val="restart"/>
                  <w:vAlign w:val="center"/>
                </w:tcPr>
                <w:p>
                  <w:pPr>
                    <w:widowControl/>
                    <w:jc w:val="center"/>
                    <w:rPr>
                      <w:kern w:val="0"/>
                      <w:szCs w:val="21"/>
                    </w:rPr>
                  </w:pPr>
                  <w:r>
                    <w:rPr>
                      <w:kern w:val="0"/>
                      <w:szCs w:val="21"/>
                    </w:rPr>
                    <w:t>4</w:t>
                  </w:r>
                </w:p>
              </w:tc>
              <w:tc>
                <w:tcPr>
                  <w:tcW w:w="1371" w:type="dxa"/>
                  <w:vMerge w:val="restart"/>
                  <w:vAlign w:val="center"/>
                </w:tcPr>
                <w:p>
                  <w:pPr>
                    <w:widowControl/>
                    <w:jc w:val="center"/>
                    <w:rPr>
                      <w:kern w:val="0"/>
                      <w:szCs w:val="21"/>
                    </w:rPr>
                  </w:pPr>
                  <w:r>
                    <w:rPr>
                      <w:szCs w:val="21"/>
                    </w:rPr>
                    <w:t>对辊机</w:t>
                  </w:r>
                </w:p>
              </w:tc>
              <w:tc>
                <w:tcPr>
                  <w:tcW w:w="968" w:type="dxa"/>
                  <w:vMerge w:val="restart"/>
                  <w:vAlign w:val="center"/>
                </w:tcPr>
                <w:p>
                  <w:pPr>
                    <w:widowControl/>
                    <w:jc w:val="center"/>
                    <w:rPr>
                      <w:kern w:val="0"/>
                      <w:szCs w:val="21"/>
                    </w:rPr>
                  </w:pPr>
                  <w:r>
                    <w:rPr>
                      <w:rFonts w:hint="eastAsia"/>
                    </w:rPr>
                    <w:t>4</w:t>
                  </w:r>
                </w:p>
              </w:tc>
              <w:tc>
                <w:tcPr>
                  <w:tcW w:w="1158" w:type="dxa"/>
                  <w:vMerge w:val="restart"/>
                  <w:vAlign w:val="center"/>
                </w:tcPr>
                <w:p>
                  <w:pPr>
                    <w:jc w:val="center"/>
                    <w:rPr>
                      <w:szCs w:val="21"/>
                    </w:rPr>
                  </w:pPr>
                  <w:r>
                    <w:rPr>
                      <w:rFonts w:hint="eastAsia"/>
                      <w:bCs/>
                      <w:szCs w:val="21"/>
                    </w:rPr>
                    <w:t>80</w:t>
                  </w:r>
                  <w:r>
                    <w:rPr>
                      <w:rFonts w:hAnsi="宋体"/>
                      <w:bCs/>
                      <w:szCs w:val="21"/>
                    </w:rPr>
                    <w:t>～</w:t>
                  </w:r>
                  <w:r>
                    <w:rPr>
                      <w:rFonts w:hint="eastAsia"/>
                      <w:szCs w:val="21"/>
                    </w:rPr>
                    <w:t>90</w:t>
                  </w:r>
                </w:p>
              </w:tc>
              <w:tc>
                <w:tcPr>
                  <w:tcW w:w="2126" w:type="dxa"/>
                  <w:vMerge w:val="restart"/>
                  <w:vAlign w:val="center"/>
                </w:tcPr>
                <w:p>
                  <w:pPr>
                    <w:widowControl/>
                    <w:jc w:val="center"/>
                    <w:rPr>
                      <w:kern w:val="0"/>
                      <w:szCs w:val="21"/>
                    </w:rPr>
                  </w:pPr>
                  <w:r>
                    <w:rPr>
                      <w:kern w:val="0"/>
                      <w:szCs w:val="21"/>
                    </w:rPr>
                    <w:t>墙体隔声、基础减震</w:t>
                  </w:r>
                </w:p>
              </w:tc>
              <w:tc>
                <w:tcPr>
                  <w:tcW w:w="1418" w:type="dxa"/>
                  <w:vAlign w:val="center"/>
                </w:tcPr>
                <w:p>
                  <w:pPr>
                    <w:widowControl/>
                    <w:jc w:val="center"/>
                    <w:rPr>
                      <w:color w:val="FF0000"/>
                      <w:kern w:val="0"/>
                      <w:szCs w:val="21"/>
                    </w:rPr>
                  </w:pPr>
                  <w:r>
                    <w:rPr>
                      <w:rFonts w:hint="eastAsia"/>
                      <w:color w:val="FF0000"/>
                      <w:kern w:val="0"/>
                      <w:szCs w:val="21"/>
                    </w:rPr>
                    <w:t>115，55</w:t>
                  </w:r>
                </w:p>
              </w:tc>
              <w:tc>
                <w:tcPr>
                  <w:tcW w:w="1090" w:type="dxa"/>
                  <w:vMerge w:val="restart"/>
                  <w:vAlign w:val="center"/>
                </w:tcPr>
                <w:p>
                  <w:pPr>
                    <w:widowControl/>
                    <w:jc w:val="center"/>
                    <w:rPr>
                      <w:kern w:val="0"/>
                      <w:szCs w:val="21"/>
                    </w:rPr>
                  </w:pPr>
                  <w:r>
                    <w:rPr>
                      <w:rFonts w:hint="eastAsia"/>
                      <w:kern w:val="0"/>
                      <w:szCs w:val="21"/>
                    </w:rPr>
                    <w:t>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4" w:type="dxa"/>
                  <w:vMerge w:val="continue"/>
                  <w:vAlign w:val="center"/>
                </w:tcPr>
                <w:p>
                  <w:pPr>
                    <w:widowControl/>
                    <w:jc w:val="center"/>
                    <w:rPr>
                      <w:kern w:val="0"/>
                      <w:szCs w:val="21"/>
                    </w:rPr>
                  </w:pPr>
                </w:p>
              </w:tc>
              <w:tc>
                <w:tcPr>
                  <w:tcW w:w="1371" w:type="dxa"/>
                  <w:vMerge w:val="continue"/>
                  <w:vAlign w:val="center"/>
                </w:tcPr>
                <w:p>
                  <w:pPr>
                    <w:widowControl/>
                    <w:jc w:val="center"/>
                    <w:rPr>
                      <w:szCs w:val="21"/>
                    </w:rPr>
                  </w:pPr>
                </w:p>
              </w:tc>
              <w:tc>
                <w:tcPr>
                  <w:tcW w:w="968" w:type="dxa"/>
                  <w:vMerge w:val="continue"/>
                  <w:vAlign w:val="center"/>
                </w:tcPr>
                <w:p>
                  <w:pPr>
                    <w:widowControl/>
                    <w:jc w:val="center"/>
                    <w:rPr>
                      <w:rFonts w:hint="eastAsia"/>
                    </w:rPr>
                  </w:pPr>
                </w:p>
              </w:tc>
              <w:tc>
                <w:tcPr>
                  <w:tcW w:w="1158" w:type="dxa"/>
                  <w:vMerge w:val="continue"/>
                  <w:vAlign w:val="center"/>
                </w:tcPr>
                <w:p>
                  <w:pPr>
                    <w:jc w:val="center"/>
                    <w:rPr>
                      <w:rFonts w:hint="eastAsia"/>
                      <w:bCs/>
                      <w:szCs w:val="21"/>
                    </w:rPr>
                  </w:pPr>
                </w:p>
              </w:tc>
              <w:tc>
                <w:tcPr>
                  <w:tcW w:w="2126" w:type="dxa"/>
                  <w:vMerge w:val="continue"/>
                  <w:vAlign w:val="center"/>
                </w:tcPr>
                <w:p>
                  <w:pPr>
                    <w:widowControl/>
                    <w:jc w:val="center"/>
                    <w:rPr>
                      <w:kern w:val="0"/>
                      <w:szCs w:val="21"/>
                    </w:rPr>
                  </w:pPr>
                </w:p>
              </w:tc>
              <w:tc>
                <w:tcPr>
                  <w:tcW w:w="1418" w:type="dxa"/>
                  <w:vAlign w:val="center"/>
                </w:tcPr>
                <w:p>
                  <w:pPr>
                    <w:widowControl/>
                    <w:jc w:val="center"/>
                    <w:rPr>
                      <w:rFonts w:hint="eastAsia"/>
                      <w:color w:val="FF0000"/>
                      <w:kern w:val="0"/>
                      <w:szCs w:val="21"/>
                    </w:rPr>
                  </w:pPr>
                  <w:r>
                    <w:rPr>
                      <w:rFonts w:hint="eastAsia"/>
                      <w:color w:val="FF0000"/>
                      <w:kern w:val="0"/>
                      <w:szCs w:val="21"/>
                    </w:rPr>
                    <w:t>108.58</w:t>
                  </w:r>
                </w:p>
              </w:tc>
              <w:tc>
                <w:tcPr>
                  <w:tcW w:w="1090" w:type="dxa"/>
                  <w:vMerge w:val="continue"/>
                  <w:vAlign w:val="center"/>
                </w:tcPr>
                <w:p>
                  <w:pPr>
                    <w:widowControl/>
                    <w:jc w:val="center"/>
                    <w:rPr>
                      <w:rFonts w:hint="eastAsia"/>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4" w:type="dxa"/>
                  <w:vMerge w:val="continue"/>
                  <w:vAlign w:val="center"/>
                </w:tcPr>
                <w:p>
                  <w:pPr>
                    <w:widowControl/>
                    <w:jc w:val="center"/>
                    <w:rPr>
                      <w:kern w:val="0"/>
                      <w:szCs w:val="21"/>
                    </w:rPr>
                  </w:pPr>
                </w:p>
              </w:tc>
              <w:tc>
                <w:tcPr>
                  <w:tcW w:w="1371" w:type="dxa"/>
                  <w:vMerge w:val="continue"/>
                  <w:vAlign w:val="center"/>
                </w:tcPr>
                <w:p>
                  <w:pPr>
                    <w:widowControl/>
                    <w:jc w:val="center"/>
                    <w:rPr>
                      <w:szCs w:val="21"/>
                    </w:rPr>
                  </w:pPr>
                </w:p>
              </w:tc>
              <w:tc>
                <w:tcPr>
                  <w:tcW w:w="968" w:type="dxa"/>
                  <w:vMerge w:val="continue"/>
                  <w:vAlign w:val="center"/>
                </w:tcPr>
                <w:p>
                  <w:pPr>
                    <w:widowControl/>
                    <w:jc w:val="center"/>
                    <w:rPr>
                      <w:rFonts w:hint="eastAsia"/>
                    </w:rPr>
                  </w:pPr>
                </w:p>
              </w:tc>
              <w:tc>
                <w:tcPr>
                  <w:tcW w:w="1158" w:type="dxa"/>
                  <w:vMerge w:val="continue"/>
                  <w:vAlign w:val="center"/>
                </w:tcPr>
                <w:p>
                  <w:pPr>
                    <w:jc w:val="center"/>
                    <w:rPr>
                      <w:rFonts w:hint="eastAsia"/>
                      <w:bCs/>
                      <w:szCs w:val="21"/>
                    </w:rPr>
                  </w:pPr>
                </w:p>
              </w:tc>
              <w:tc>
                <w:tcPr>
                  <w:tcW w:w="2126" w:type="dxa"/>
                  <w:vMerge w:val="continue"/>
                  <w:vAlign w:val="center"/>
                </w:tcPr>
                <w:p>
                  <w:pPr>
                    <w:widowControl/>
                    <w:jc w:val="center"/>
                    <w:rPr>
                      <w:kern w:val="0"/>
                      <w:szCs w:val="21"/>
                    </w:rPr>
                  </w:pPr>
                </w:p>
              </w:tc>
              <w:tc>
                <w:tcPr>
                  <w:tcW w:w="1418" w:type="dxa"/>
                  <w:vAlign w:val="center"/>
                </w:tcPr>
                <w:p>
                  <w:pPr>
                    <w:widowControl/>
                    <w:jc w:val="center"/>
                    <w:rPr>
                      <w:rFonts w:hint="eastAsia"/>
                      <w:color w:val="FF0000"/>
                      <w:kern w:val="0"/>
                      <w:szCs w:val="21"/>
                    </w:rPr>
                  </w:pPr>
                  <w:r>
                    <w:rPr>
                      <w:rFonts w:hint="eastAsia"/>
                      <w:color w:val="FF0000"/>
                      <w:kern w:val="0"/>
                      <w:szCs w:val="21"/>
                    </w:rPr>
                    <w:t>100，60</w:t>
                  </w:r>
                </w:p>
              </w:tc>
              <w:tc>
                <w:tcPr>
                  <w:tcW w:w="1090" w:type="dxa"/>
                  <w:vMerge w:val="continue"/>
                  <w:vAlign w:val="center"/>
                </w:tcPr>
                <w:p>
                  <w:pPr>
                    <w:widowControl/>
                    <w:jc w:val="center"/>
                    <w:rPr>
                      <w:rFonts w:hint="eastAsia"/>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4" w:type="dxa"/>
                  <w:vMerge w:val="continue"/>
                  <w:vAlign w:val="center"/>
                </w:tcPr>
                <w:p>
                  <w:pPr>
                    <w:widowControl/>
                    <w:jc w:val="center"/>
                    <w:rPr>
                      <w:kern w:val="0"/>
                      <w:szCs w:val="21"/>
                    </w:rPr>
                  </w:pPr>
                </w:p>
              </w:tc>
              <w:tc>
                <w:tcPr>
                  <w:tcW w:w="1371" w:type="dxa"/>
                  <w:vMerge w:val="continue"/>
                  <w:vAlign w:val="center"/>
                </w:tcPr>
                <w:p>
                  <w:pPr>
                    <w:widowControl/>
                    <w:jc w:val="center"/>
                    <w:rPr>
                      <w:szCs w:val="21"/>
                    </w:rPr>
                  </w:pPr>
                </w:p>
              </w:tc>
              <w:tc>
                <w:tcPr>
                  <w:tcW w:w="968" w:type="dxa"/>
                  <w:vMerge w:val="continue"/>
                  <w:vAlign w:val="center"/>
                </w:tcPr>
                <w:p>
                  <w:pPr>
                    <w:widowControl/>
                    <w:jc w:val="center"/>
                    <w:rPr>
                      <w:rFonts w:hint="eastAsia"/>
                    </w:rPr>
                  </w:pPr>
                </w:p>
              </w:tc>
              <w:tc>
                <w:tcPr>
                  <w:tcW w:w="1158" w:type="dxa"/>
                  <w:vMerge w:val="continue"/>
                  <w:vAlign w:val="center"/>
                </w:tcPr>
                <w:p>
                  <w:pPr>
                    <w:jc w:val="center"/>
                    <w:rPr>
                      <w:rFonts w:hint="eastAsia"/>
                      <w:bCs/>
                      <w:szCs w:val="21"/>
                    </w:rPr>
                  </w:pPr>
                </w:p>
              </w:tc>
              <w:tc>
                <w:tcPr>
                  <w:tcW w:w="2126" w:type="dxa"/>
                  <w:vMerge w:val="continue"/>
                  <w:vAlign w:val="center"/>
                </w:tcPr>
                <w:p>
                  <w:pPr>
                    <w:widowControl/>
                    <w:jc w:val="center"/>
                    <w:rPr>
                      <w:kern w:val="0"/>
                      <w:szCs w:val="21"/>
                    </w:rPr>
                  </w:pPr>
                </w:p>
              </w:tc>
              <w:tc>
                <w:tcPr>
                  <w:tcW w:w="1418" w:type="dxa"/>
                  <w:vAlign w:val="center"/>
                </w:tcPr>
                <w:p>
                  <w:pPr>
                    <w:widowControl/>
                    <w:jc w:val="center"/>
                    <w:rPr>
                      <w:rFonts w:hint="eastAsia"/>
                      <w:color w:val="FF0000"/>
                      <w:kern w:val="0"/>
                      <w:szCs w:val="21"/>
                    </w:rPr>
                  </w:pPr>
                  <w:r>
                    <w:rPr>
                      <w:rFonts w:hint="eastAsia"/>
                      <w:color w:val="FF0000"/>
                      <w:kern w:val="0"/>
                      <w:szCs w:val="21"/>
                    </w:rPr>
                    <w:t>90，65</w:t>
                  </w:r>
                </w:p>
              </w:tc>
              <w:tc>
                <w:tcPr>
                  <w:tcW w:w="1090" w:type="dxa"/>
                  <w:vMerge w:val="continue"/>
                  <w:vAlign w:val="center"/>
                </w:tcPr>
                <w:p>
                  <w:pPr>
                    <w:widowControl/>
                    <w:jc w:val="center"/>
                    <w:rPr>
                      <w:rFonts w:hint="eastAsia"/>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68" w:hRule="atLeast"/>
                <w:jc w:val="center"/>
              </w:trPr>
              <w:tc>
                <w:tcPr>
                  <w:tcW w:w="594" w:type="dxa"/>
                  <w:vMerge w:val="restart"/>
                  <w:vAlign w:val="center"/>
                </w:tcPr>
                <w:p>
                  <w:pPr>
                    <w:widowControl/>
                    <w:jc w:val="center"/>
                    <w:rPr>
                      <w:kern w:val="0"/>
                      <w:szCs w:val="21"/>
                    </w:rPr>
                  </w:pPr>
                  <w:r>
                    <w:rPr>
                      <w:kern w:val="0"/>
                      <w:szCs w:val="21"/>
                    </w:rPr>
                    <w:t>5</w:t>
                  </w:r>
                </w:p>
              </w:tc>
              <w:tc>
                <w:tcPr>
                  <w:tcW w:w="1371" w:type="dxa"/>
                  <w:vMerge w:val="restart"/>
                  <w:vAlign w:val="center"/>
                </w:tcPr>
                <w:p>
                  <w:pPr>
                    <w:widowControl/>
                    <w:jc w:val="center"/>
                    <w:rPr>
                      <w:kern w:val="0"/>
                      <w:szCs w:val="21"/>
                    </w:rPr>
                  </w:pPr>
                  <w:r>
                    <w:rPr>
                      <w:szCs w:val="21"/>
                    </w:rPr>
                    <w:t>双轴搅拌机</w:t>
                  </w:r>
                </w:p>
              </w:tc>
              <w:tc>
                <w:tcPr>
                  <w:tcW w:w="968" w:type="dxa"/>
                  <w:vMerge w:val="restart"/>
                  <w:vAlign w:val="center"/>
                </w:tcPr>
                <w:p>
                  <w:pPr>
                    <w:widowControl/>
                    <w:jc w:val="center"/>
                    <w:rPr>
                      <w:kern w:val="0"/>
                      <w:szCs w:val="21"/>
                    </w:rPr>
                  </w:pPr>
                  <w:r>
                    <w:rPr>
                      <w:rFonts w:hint="eastAsia"/>
                    </w:rPr>
                    <w:t>3</w:t>
                  </w:r>
                </w:p>
              </w:tc>
              <w:tc>
                <w:tcPr>
                  <w:tcW w:w="1158" w:type="dxa"/>
                  <w:vMerge w:val="restart"/>
                  <w:vAlign w:val="center"/>
                </w:tcPr>
                <w:p>
                  <w:pPr>
                    <w:jc w:val="center"/>
                    <w:rPr>
                      <w:szCs w:val="21"/>
                    </w:rPr>
                  </w:pPr>
                  <w:r>
                    <w:rPr>
                      <w:rFonts w:hint="eastAsia"/>
                      <w:bCs/>
                      <w:szCs w:val="21"/>
                    </w:rPr>
                    <w:t>80</w:t>
                  </w:r>
                  <w:r>
                    <w:rPr>
                      <w:rFonts w:hAnsi="宋体"/>
                      <w:bCs/>
                      <w:szCs w:val="21"/>
                    </w:rPr>
                    <w:t>～</w:t>
                  </w:r>
                  <w:r>
                    <w:rPr>
                      <w:rFonts w:hint="eastAsia"/>
                      <w:szCs w:val="21"/>
                    </w:rPr>
                    <w:t>85</w:t>
                  </w:r>
                </w:p>
              </w:tc>
              <w:tc>
                <w:tcPr>
                  <w:tcW w:w="2126" w:type="dxa"/>
                  <w:vMerge w:val="restart"/>
                  <w:vAlign w:val="center"/>
                </w:tcPr>
                <w:p>
                  <w:pPr>
                    <w:widowControl/>
                    <w:jc w:val="center"/>
                    <w:rPr>
                      <w:kern w:val="0"/>
                      <w:szCs w:val="21"/>
                    </w:rPr>
                  </w:pPr>
                  <w:r>
                    <w:rPr>
                      <w:kern w:val="0"/>
                      <w:szCs w:val="21"/>
                    </w:rPr>
                    <w:t>墙体隔声、基础减震</w:t>
                  </w:r>
                </w:p>
              </w:tc>
              <w:tc>
                <w:tcPr>
                  <w:tcW w:w="1418" w:type="dxa"/>
                  <w:vAlign w:val="center"/>
                </w:tcPr>
                <w:p>
                  <w:pPr>
                    <w:widowControl/>
                    <w:jc w:val="center"/>
                    <w:rPr>
                      <w:color w:val="FF0000"/>
                      <w:kern w:val="0"/>
                      <w:szCs w:val="21"/>
                    </w:rPr>
                  </w:pPr>
                  <w:r>
                    <w:rPr>
                      <w:rFonts w:hint="eastAsia"/>
                      <w:color w:val="FF0000"/>
                      <w:kern w:val="0"/>
                      <w:szCs w:val="21"/>
                    </w:rPr>
                    <w:t>100，50</w:t>
                  </w:r>
                </w:p>
              </w:tc>
              <w:tc>
                <w:tcPr>
                  <w:tcW w:w="1090" w:type="dxa"/>
                  <w:vMerge w:val="restart"/>
                  <w:vAlign w:val="center"/>
                </w:tcPr>
                <w:p>
                  <w:pPr>
                    <w:widowControl/>
                    <w:jc w:val="center"/>
                    <w:rPr>
                      <w:kern w:val="0"/>
                      <w:szCs w:val="21"/>
                    </w:rPr>
                  </w:pPr>
                  <w:r>
                    <w:rPr>
                      <w:rFonts w:hint="eastAsia"/>
                      <w:kern w:val="0"/>
                      <w:szCs w:val="21"/>
                    </w:rPr>
                    <w:t>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4" w:type="dxa"/>
                  <w:vMerge w:val="continue"/>
                  <w:vAlign w:val="center"/>
                </w:tcPr>
                <w:p>
                  <w:pPr>
                    <w:widowControl/>
                    <w:jc w:val="center"/>
                    <w:rPr>
                      <w:kern w:val="0"/>
                      <w:szCs w:val="21"/>
                    </w:rPr>
                  </w:pPr>
                </w:p>
              </w:tc>
              <w:tc>
                <w:tcPr>
                  <w:tcW w:w="1371" w:type="dxa"/>
                  <w:vMerge w:val="continue"/>
                  <w:vAlign w:val="center"/>
                </w:tcPr>
                <w:p>
                  <w:pPr>
                    <w:widowControl/>
                    <w:jc w:val="center"/>
                    <w:rPr>
                      <w:szCs w:val="21"/>
                    </w:rPr>
                  </w:pPr>
                </w:p>
              </w:tc>
              <w:tc>
                <w:tcPr>
                  <w:tcW w:w="968" w:type="dxa"/>
                  <w:vMerge w:val="continue"/>
                  <w:vAlign w:val="center"/>
                </w:tcPr>
                <w:p>
                  <w:pPr>
                    <w:widowControl/>
                    <w:jc w:val="center"/>
                    <w:rPr>
                      <w:rFonts w:hint="eastAsia"/>
                    </w:rPr>
                  </w:pPr>
                </w:p>
              </w:tc>
              <w:tc>
                <w:tcPr>
                  <w:tcW w:w="1158" w:type="dxa"/>
                  <w:vMerge w:val="continue"/>
                  <w:vAlign w:val="center"/>
                </w:tcPr>
                <w:p>
                  <w:pPr>
                    <w:jc w:val="center"/>
                    <w:rPr>
                      <w:rFonts w:hint="eastAsia"/>
                      <w:bCs/>
                      <w:szCs w:val="21"/>
                    </w:rPr>
                  </w:pPr>
                </w:p>
              </w:tc>
              <w:tc>
                <w:tcPr>
                  <w:tcW w:w="2126" w:type="dxa"/>
                  <w:vMerge w:val="continue"/>
                  <w:vAlign w:val="center"/>
                </w:tcPr>
                <w:p>
                  <w:pPr>
                    <w:widowControl/>
                    <w:jc w:val="center"/>
                    <w:rPr>
                      <w:kern w:val="0"/>
                      <w:szCs w:val="21"/>
                    </w:rPr>
                  </w:pPr>
                </w:p>
              </w:tc>
              <w:tc>
                <w:tcPr>
                  <w:tcW w:w="1418" w:type="dxa"/>
                  <w:vAlign w:val="center"/>
                </w:tcPr>
                <w:p>
                  <w:pPr>
                    <w:widowControl/>
                    <w:jc w:val="center"/>
                    <w:rPr>
                      <w:rFonts w:hint="eastAsia"/>
                      <w:color w:val="FF0000"/>
                      <w:kern w:val="0"/>
                      <w:szCs w:val="21"/>
                    </w:rPr>
                  </w:pPr>
                  <w:r>
                    <w:rPr>
                      <w:rFonts w:hint="eastAsia"/>
                      <w:color w:val="FF0000"/>
                      <w:kern w:val="0"/>
                      <w:szCs w:val="21"/>
                    </w:rPr>
                    <w:t>110，45</w:t>
                  </w:r>
                </w:p>
              </w:tc>
              <w:tc>
                <w:tcPr>
                  <w:tcW w:w="1090" w:type="dxa"/>
                  <w:vMerge w:val="continue"/>
                  <w:vAlign w:val="center"/>
                </w:tcPr>
                <w:p>
                  <w:pPr>
                    <w:widowControl/>
                    <w:jc w:val="center"/>
                    <w:rPr>
                      <w:rFonts w:hint="eastAsia"/>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4" w:type="dxa"/>
                  <w:vMerge w:val="continue"/>
                  <w:vAlign w:val="center"/>
                </w:tcPr>
                <w:p>
                  <w:pPr>
                    <w:widowControl/>
                    <w:jc w:val="center"/>
                    <w:rPr>
                      <w:kern w:val="0"/>
                      <w:szCs w:val="21"/>
                    </w:rPr>
                  </w:pPr>
                </w:p>
              </w:tc>
              <w:tc>
                <w:tcPr>
                  <w:tcW w:w="1371" w:type="dxa"/>
                  <w:vMerge w:val="continue"/>
                  <w:vAlign w:val="center"/>
                </w:tcPr>
                <w:p>
                  <w:pPr>
                    <w:widowControl/>
                    <w:jc w:val="center"/>
                    <w:rPr>
                      <w:szCs w:val="21"/>
                    </w:rPr>
                  </w:pPr>
                </w:p>
              </w:tc>
              <w:tc>
                <w:tcPr>
                  <w:tcW w:w="968" w:type="dxa"/>
                  <w:vMerge w:val="continue"/>
                  <w:vAlign w:val="center"/>
                </w:tcPr>
                <w:p>
                  <w:pPr>
                    <w:widowControl/>
                    <w:jc w:val="center"/>
                    <w:rPr>
                      <w:rFonts w:hint="eastAsia"/>
                    </w:rPr>
                  </w:pPr>
                </w:p>
              </w:tc>
              <w:tc>
                <w:tcPr>
                  <w:tcW w:w="1158" w:type="dxa"/>
                  <w:vMerge w:val="continue"/>
                  <w:vAlign w:val="center"/>
                </w:tcPr>
                <w:p>
                  <w:pPr>
                    <w:jc w:val="center"/>
                    <w:rPr>
                      <w:rFonts w:hint="eastAsia"/>
                      <w:bCs/>
                      <w:szCs w:val="21"/>
                    </w:rPr>
                  </w:pPr>
                </w:p>
              </w:tc>
              <w:tc>
                <w:tcPr>
                  <w:tcW w:w="2126" w:type="dxa"/>
                  <w:vMerge w:val="continue"/>
                  <w:vAlign w:val="center"/>
                </w:tcPr>
                <w:p>
                  <w:pPr>
                    <w:widowControl/>
                    <w:jc w:val="center"/>
                    <w:rPr>
                      <w:kern w:val="0"/>
                      <w:szCs w:val="21"/>
                    </w:rPr>
                  </w:pPr>
                </w:p>
              </w:tc>
              <w:tc>
                <w:tcPr>
                  <w:tcW w:w="1418" w:type="dxa"/>
                  <w:vAlign w:val="center"/>
                </w:tcPr>
                <w:p>
                  <w:pPr>
                    <w:widowControl/>
                    <w:jc w:val="center"/>
                    <w:rPr>
                      <w:rFonts w:hint="eastAsia"/>
                      <w:color w:val="FF0000"/>
                      <w:kern w:val="0"/>
                      <w:szCs w:val="21"/>
                    </w:rPr>
                  </w:pPr>
                  <w:r>
                    <w:rPr>
                      <w:rFonts w:hint="eastAsia"/>
                      <w:color w:val="FF0000"/>
                      <w:kern w:val="0"/>
                      <w:szCs w:val="21"/>
                    </w:rPr>
                    <w:t>120，40</w:t>
                  </w:r>
                </w:p>
              </w:tc>
              <w:tc>
                <w:tcPr>
                  <w:tcW w:w="1090" w:type="dxa"/>
                  <w:vMerge w:val="continue"/>
                  <w:vAlign w:val="center"/>
                </w:tcPr>
                <w:p>
                  <w:pPr>
                    <w:widowControl/>
                    <w:jc w:val="center"/>
                    <w:rPr>
                      <w:rFonts w:hint="eastAsia"/>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4" w:type="dxa"/>
                  <w:vAlign w:val="center"/>
                </w:tcPr>
                <w:p>
                  <w:pPr>
                    <w:widowControl/>
                    <w:jc w:val="center"/>
                    <w:rPr>
                      <w:kern w:val="0"/>
                      <w:szCs w:val="21"/>
                    </w:rPr>
                  </w:pPr>
                  <w:r>
                    <w:rPr>
                      <w:kern w:val="0"/>
                      <w:szCs w:val="21"/>
                    </w:rPr>
                    <w:t>6</w:t>
                  </w:r>
                </w:p>
              </w:tc>
              <w:tc>
                <w:tcPr>
                  <w:tcW w:w="1371" w:type="dxa"/>
                  <w:vAlign w:val="center"/>
                </w:tcPr>
                <w:p>
                  <w:pPr>
                    <w:widowControl/>
                    <w:jc w:val="center"/>
                    <w:rPr>
                      <w:kern w:val="0"/>
                      <w:szCs w:val="21"/>
                    </w:rPr>
                  </w:pPr>
                  <w:r>
                    <w:rPr>
                      <w:szCs w:val="21"/>
                    </w:rPr>
                    <w:t>双级真空挤出机</w:t>
                  </w:r>
                </w:p>
              </w:tc>
              <w:tc>
                <w:tcPr>
                  <w:tcW w:w="968" w:type="dxa"/>
                  <w:vAlign w:val="center"/>
                </w:tcPr>
                <w:p>
                  <w:pPr>
                    <w:widowControl/>
                    <w:jc w:val="center"/>
                    <w:rPr>
                      <w:kern w:val="0"/>
                      <w:szCs w:val="21"/>
                    </w:rPr>
                  </w:pPr>
                  <w:r>
                    <w:rPr>
                      <w:rFonts w:hint="eastAsia"/>
                    </w:rPr>
                    <w:t>1</w:t>
                  </w:r>
                </w:p>
              </w:tc>
              <w:tc>
                <w:tcPr>
                  <w:tcW w:w="1158" w:type="dxa"/>
                  <w:vAlign w:val="center"/>
                </w:tcPr>
                <w:p>
                  <w:pPr>
                    <w:jc w:val="center"/>
                    <w:rPr>
                      <w:szCs w:val="21"/>
                    </w:rPr>
                  </w:pPr>
                  <w:r>
                    <w:rPr>
                      <w:rFonts w:hint="eastAsia"/>
                      <w:bCs/>
                      <w:szCs w:val="21"/>
                    </w:rPr>
                    <w:t>80</w:t>
                  </w:r>
                  <w:r>
                    <w:rPr>
                      <w:rFonts w:hAnsi="宋体"/>
                      <w:bCs/>
                      <w:szCs w:val="21"/>
                    </w:rPr>
                    <w:t>～</w:t>
                  </w:r>
                  <w:r>
                    <w:rPr>
                      <w:rFonts w:hint="eastAsia"/>
                      <w:szCs w:val="21"/>
                    </w:rPr>
                    <w:t>85</w:t>
                  </w:r>
                </w:p>
              </w:tc>
              <w:tc>
                <w:tcPr>
                  <w:tcW w:w="2126" w:type="dxa"/>
                  <w:vAlign w:val="center"/>
                </w:tcPr>
                <w:p>
                  <w:pPr>
                    <w:widowControl/>
                    <w:jc w:val="center"/>
                    <w:rPr>
                      <w:kern w:val="0"/>
                      <w:szCs w:val="21"/>
                    </w:rPr>
                  </w:pPr>
                  <w:r>
                    <w:rPr>
                      <w:kern w:val="0"/>
                      <w:szCs w:val="21"/>
                    </w:rPr>
                    <w:t>墙体隔声、基础减震</w:t>
                  </w:r>
                </w:p>
              </w:tc>
              <w:tc>
                <w:tcPr>
                  <w:tcW w:w="1418" w:type="dxa"/>
                  <w:vAlign w:val="center"/>
                </w:tcPr>
                <w:p>
                  <w:pPr>
                    <w:widowControl/>
                    <w:jc w:val="center"/>
                    <w:rPr>
                      <w:color w:val="FF0000"/>
                      <w:kern w:val="0"/>
                      <w:szCs w:val="21"/>
                    </w:rPr>
                  </w:pPr>
                  <w:r>
                    <w:rPr>
                      <w:rFonts w:hint="eastAsia"/>
                      <w:color w:val="FF0000"/>
                      <w:kern w:val="0"/>
                      <w:szCs w:val="21"/>
                    </w:rPr>
                    <w:t>125，50</w:t>
                  </w:r>
                </w:p>
              </w:tc>
              <w:tc>
                <w:tcPr>
                  <w:tcW w:w="1090" w:type="dxa"/>
                  <w:vAlign w:val="center"/>
                </w:tcPr>
                <w:p>
                  <w:pPr>
                    <w:widowControl/>
                    <w:jc w:val="center"/>
                    <w:rPr>
                      <w:kern w:val="0"/>
                      <w:szCs w:val="21"/>
                    </w:rPr>
                  </w:pPr>
                  <w:r>
                    <w:rPr>
                      <w:kern w:val="0"/>
                      <w:szCs w:val="21"/>
                    </w:rPr>
                    <w:t>65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4" w:type="dxa"/>
                  <w:vAlign w:val="center"/>
                </w:tcPr>
                <w:p>
                  <w:pPr>
                    <w:widowControl/>
                    <w:jc w:val="center"/>
                    <w:rPr>
                      <w:kern w:val="0"/>
                      <w:szCs w:val="21"/>
                    </w:rPr>
                  </w:pPr>
                  <w:r>
                    <w:rPr>
                      <w:kern w:val="0"/>
                      <w:szCs w:val="21"/>
                    </w:rPr>
                    <w:t>7</w:t>
                  </w:r>
                </w:p>
              </w:tc>
              <w:tc>
                <w:tcPr>
                  <w:tcW w:w="1371" w:type="dxa"/>
                  <w:vAlign w:val="center"/>
                </w:tcPr>
                <w:p>
                  <w:pPr>
                    <w:widowControl/>
                    <w:jc w:val="center"/>
                    <w:rPr>
                      <w:kern w:val="0"/>
                      <w:szCs w:val="21"/>
                    </w:rPr>
                  </w:pPr>
                  <w:r>
                    <w:rPr>
                      <w:szCs w:val="21"/>
                    </w:rPr>
                    <w:t>油环式真空泵</w:t>
                  </w:r>
                </w:p>
              </w:tc>
              <w:tc>
                <w:tcPr>
                  <w:tcW w:w="968" w:type="dxa"/>
                  <w:vAlign w:val="center"/>
                </w:tcPr>
                <w:p>
                  <w:pPr>
                    <w:widowControl/>
                    <w:jc w:val="center"/>
                    <w:rPr>
                      <w:kern w:val="0"/>
                      <w:szCs w:val="21"/>
                    </w:rPr>
                  </w:pPr>
                  <w:r>
                    <w:rPr>
                      <w:rFonts w:hint="eastAsia"/>
                    </w:rPr>
                    <w:t>1</w:t>
                  </w:r>
                </w:p>
              </w:tc>
              <w:tc>
                <w:tcPr>
                  <w:tcW w:w="1158" w:type="dxa"/>
                  <w:vAlign w:val="center"/>
                </w:tcPr>
                <w:p>
                  <w:pPr>
                    <w:jc w:val="center"/>
                    <w:rPr>
                      <w:szCs w:val="21"/>
                    </w:rPr>
                  </w:pPr>
                  <w:r>
                    <w:rPr>
                      <w:rFonts w:hint="eastAsia"/>
                      <w:bCs/>
                      <w:szCs w:val="21"/>
                    </w:rPr>
                    <w:t>80</w:t>
                  </w:r>
                  <w:r>
                    <w:rPr>
                      <w:rFonts w:hAnsi="宋体"/>
                      <w:bCs/>
                      <w:szCs w:val="21"/>
                    </w:rPr>
                    <w:t>～</w:t>
                  </w:r>
                  <w:r>
                    <w:rPr>
                      <w:rFonts w:hint="eastAsia"/>
                      <w:szCs w:val="21"/>
                    </w:rPr>
                    <w:t>90</w:t>
                  </w:r>
                </w:p>
              </w:tc>
              <w:tc>
                <w:tcPr>
                  <w:tcW w:w="2126" w:type="dxa"/>
                  <w:vAlign w:val="center"/>
                </w:tcPr>
                <w:p>
                  <w:pPr>
                    <w:widowControl/>
                    <w:jc w:val="center"/>
                    <w:rPr>
                      <w:kern w:val="0"/>
                      <w:szCs w:val="21"/>
                    </w:rPr>
                  </w:pPr>
                  <w:r>
                    <w:rPr>
                      <w:kern w:val="0"/>
                      <w:szCs w:val="21"/>
                    </w:rPr>
                    <w:t>墙体隔声、基础减震</w:t>
                  </w:r>
                </w:p>
              </w:tc>
              <w:tc>
                <w:tcPr>
                  <w:tcW w:w="1418" w:type="dxa"/>
                  <w:vAlign w:val="center"/>
                </w:tcPr>
                <w:p>
                  <w:pPr>
                    <w:widowControl/>
                    <w:jc w:val="center"/>
                    <w:rPr>
                      <w:color w:val="FF0000"/>
                      <w:kern w:val="0"/>
                      <w:szCs w:val="21"/>
                    </w:rPr>
                  </w:pPr>
                  <w:r>
                    <w:rPr>
                      <w:rFonts w:hint="eastAsia"/>
                      <w:color w:val="FF0000"/>
                      <w:kern w:val="0"/>
                      <w:szCs w:val="21"/>
                    </w:rPr>
                    <w:t>90，85</w:t>
                  </w:r>
                </w:p>
              </w:tc>
              <w:tc>
                <w:tcPr>
                  <w:tcW w:w="1090" w:type="dxa"/>
                  <w:vAlign w:val="center"/>
                </w:tcPr>
                <w:p>
                  <w:pPr>
                    <w:widowControl/>
                    <w:jc w:val="center"/>
                    <w:rPr>
                      <w:kern w:val="0"/>
                      <w:szCs w:val="21"/>
                    </w:rPr>
                  </w:pPr>
                  <w:r>
                    <w:rPr>
                      <w:rFonts w:hint="eastAsia"/>
                      <w:kern w:val="0"/>
                      <w:szCs w:val="21"/>
                    </w:rPr>
                    <w:t>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4" w:type="dxa"/>
                  <w:vAlign w:val="center"/>
                </w:tcPr>
                <w:p>
                  <w:pPr>
                    <w:widowControl/>
                    <w:jc w:val="center"/>
                    <w:rPr>
                      <w:kern w:val="0"/>
                      <w:szCs w:val="21"/>
                    </w:rPr>
                  </w:pPr>
                  <w:r>
                    <w:rPr>
                      <w:kern w:val="0"/>
                      <w:szCs w:val="21"/>
                    </w:rPr>
                    <w:t>8</w:t>
                  </w:r>
                </w:p>
              </w:tc>
              <w:tc>
                <w:tcPr>
                  <w:tcW w:w="1371" w:type="dxa"/>
                  <w:vAlign w:val="center"/>
                </w:tcPr>
                <w:p>
                  <w:pPr>
                    <w:widowControl/>
                    <w:jc w:val="center"/>
                    <w:rPr>
                      <w:kern w:val="0"/>
                      <w:szCs w:val="21"/>
                    </w:rPr>
                  </w:pPr>
                  <w:r>
                    <w:rPr>
                      <w:rFonts w:hint="eastAsia"/>
                      <w:szCs w:val="21"/>
                    </w:rPr>
                    <w:t>空压机</w:t>
                  </w:r>
                </w:p>
              </w:tc>
              <w:tc>
                <w:tcPr>
                  <w:tcW w:w="968" w:type="dxa"/>
                  <w:vAlign w:val="center"/>
                </w:tcPr>
                <w:p>
                  <w:pPr>
                    <w:widowControl/>
                    <w:jc w:val="center"/>
                    <w:rPr>
                      <w:kern w:val="0"/>
                      <w:szCs w:val="21"/>
                    </w:rPr>
                  </w:pPr>
                  <w:r>
                    <w:rPr>
                      <w:rFonts w:hint="eastAsia"/>
                    </w:rPr>
                    <w:t>1</w:t>
                  </w:r>
                </w:p>
              </w:tc>
              <w:tc>
                <w:tcPr>
                  <w:tcW w:w="1158" w:type="dxa"/>
                  <w:vAlign w:val="center"/>
                </w:tcPr>
                <w:p>
                  <w:pPr>
                    <w:jc w:val="center"/>
                    <w:rPr>
                      <w:szCs w:val="21"/>
                    </w:rPr>
                  </w:pPr>
                  <w:r>
                    <w:rPr>
                      <w:rFonts w:hint="eastAsia"/>
                      <w:bCs/>
                      <w:szCs w:val="21"/>
                    </w:rPr>
                    <w:t>90</w:t>
                  </w:r>
                  <w:r>
                    <w:rPr>
                      <w:rFonts w:hAnsi="宋体"/>
                      <w:bCs/>
                      <w:szCs w:val="21"/>
                    </w:rPr>
                    <w:t>～</w:t>
                  </w:r>
                  <w:r>
                    <w:rPr>
                      <w:rFonts w:hint="eastAsia"/>
                      <w:szCs w:val="21"/>
                    </w:rPr>
                    <w:t>105</w:t>
                  </w:r>
                </w:p>
              </w:tc>
              <w:tc>
                <w:tcPr>
                  <w:tcW w:w="2126" w:type="dxa"/>
                  <w:vAlign w:val="center"/>
                </w:tcPr>
                <w:p>
                  <w:pPr>
                    <w:jc w:val="center"/>
                  </w:pPr>
                  <w:r>
                    <w:rPr>
                      <w:kern w:val="0"/>
                      <w:szCs w:val="21"/>
                    </w:rPr>
                    <w:t>墙体隔声、消音、基础减震</w:t>
                  </w:r>
                </w:p>
              </w:tc>
              <w:tc>
                <w:tcPr>
                  <w:tcW w:w="1418" w:type="dxa"/>
                  <w:vAlign w:val="center"/>
                </w:tcPr>
                <w:p>
                  <w:pPr>
                    <w:widowControl/>
                    <w:jc w:val="center"/>
                    <w:rPr>
                      <w:color w:val="FF0000"/>
                      <w:kern w:val="0"/>
                      <w:szCs w:val="21"/>
                    </w:rPr>
                  </w:pPr>
                  <w:r>
                    <w:rPr>
                      <w:rFonts w:hint="eastAsia"/>
                      <w:color w:val="FF0000"/>
                      <w:kern w:val="0"/>
                      <w:szCs w:val="21"/>
                    </w:rPr>
                    <w:t>85，75</w:t>
                  </w:r>
                </w:p>
              </w:tc>
              <w:tc>
                <w:tcPr>
                  <w:tcW w:w="1090" w:type="dxa"/>
                  <w:vAlign w:val="center"/>
                </w:tcPr>
                <w:p>
                  <w:pPr>
                    <w:widowControl/>
                    <w:jc w:val="center"/>
                    <w:rPr>
                      <w:kern w:val="0"/>
                      <w:szCs w:val="21"/>
                    </w:rPr>
                  </w:pPr>
                  <w:r>
                    <w:rPr>
                      <w:kern w:val="0"/>
                      <w:szCs w:val="21"/>
                    </w:rPr>
                    <w:t>85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68" w:hRule="atLeast"/>
                <w:jc w:val="center"/>
              </w:trPr>
              <w:tc>
                <w:tcPr>
                  <w:tcW w:w="594" w:type="dxa"/>
                  <w:vAlign w:val="center"/>
                </w:tcPr>
                <w:p>
                  <w:pPr>
                    <w:widowControl/>
                    <w:jc w:val="center"/>
                    <w:rPr>
                      <w:kern w:val="0"/>
                      <w:szCs w:val="21"/>
                    </w:rPr>
                  </w:pPr>
                  <w:r>
                    <w:rPr>
                      <w:kern w:val="0"/>
                      <w:szCs w:val="21"/>
                    </w:rPr>
                    <w:t>9</w:t>
                  </w:r>
                </w:p>
              </w:tc>
              <w:tc>
                <w:tcPr>
                  <w:tcW w:w="1371" w:type="dxa"/>
                  <w:vAlign w:val="center"/>
                </w:tcPr>
                <w:p>
                  <w:pPr>
                    <w:widowControl/>
                    <w:jc w:val="center"/>
                    <w:rPr>
                      <w:kern w:val="0"/>
                      <w:szCs w:val="21"/>
                    </w:rPr>
                  </w:pPr>
                  <w:r>
                    <w:rPr>
                      <w:szCs w:val="21"/>
                    </w:rPr>
                    <w:t>全自动同步切条机</w:t>
                  </w:r>
                </w:p>
              </w:tc>
              <w:tc>
                <w:tcPr>
                  <w:tcW w:w="968" w:type="dxa"/>
                  <w:vAlign w:val="center"/>
                </w:tcPr>
                <w:p>
                  <w:pPr>
                    <w:widowControl/>
                    <w:jc w:val="center"/>
                    <w:rPr>
                      <w:kern w:val="0"/>
                      <w:szCs w:val="21"/>
                    </w:rPr>
                  </w:pPr>
                  <w:r>
                    <w:rPr>
                      <w:rFonts w:hint="eastAsia"/>
                    </w:rPr>
                    <w:t>1</w:t>
                  </w:r>
                </w:p>
              </w:tc>
              <w:tc>
                <w:tcPr>
                  <w:tcW w:w="1158" w:type="dxa"/>
                  <w:vAlign w:val="center"/>
                </w:tcPr>
                <w:p>
                  <w:pPr>
                    <w:jc w:val="center"/>
                    <w:rPr>
                      <w:szCs w:val="21"/>
                    </w:rPr>
                  </w:pPr>
                  <w:r>
                    <w:rPr>
                      <w:rFonts w:hint="eastAsia"/>
                      <w:bCs/>
                      <w:szCs w:val="21"/>
                    </w:rPr>
                    <w:t>80</w:t>
                  </w:r>
                  <w:r>
                    <w:rPr>
                      <w:rFonts w:hAnsi="宋体"/>
                      <w:bCs/>
                      <w:szCs w:val="21"/>
                    </w:rPr>
                    <w:t>～</w:t>
                  </w:r>
                  <w:r>
                    <w:rPr>
                      <w:rFonts w:hint="eastAsia"/>
                      <w:szCs w:val="21"/>
                    </w:rPr>
                    <w:t>85</w:t>
                  </w:r>
                </w:p>
              </w:tc>
              <w:tc>
                <w:tcPr>
                  <w:tcW w:w="2126" w:type="dxa"/>
                  <w:vAlign w:val="center"/>
                </w:tcPr>
                <w:p>
                  <w:pPr>
                    <w:widowControl/>
                    <w:jc w:val="center"/>
                    <w:rPr>
                      <w:kern w:val="0"/>
                      <w:szCs w:val="21"/>
                    </w:rPr>
                  </w:pPr>
                  <w:r>
                    <w:rPr>
                      <w:kern w:val="0"/>
                      <w:szCs w:val="21"/>
                    </w:rPr>
                    <w:t>墙体隔声、基础减震</w:t>
                  </w:r>
                </w:p>
              </w:tc>
              <w:tc>
                <w:tcPr>
                  <w:tcW w:w="1418" w:type="dxa"/>
                  <w:vAlign w:val="center"/>
                </w:tcPr>
                <w:p>
                  <w:pPr>
                    <w:widowControl/>
                    <w:jc w:val="center"/>
                    <w:rPr>
                      <w:color w:val="FF0000"/>
                      <w:kern w:val="0"/>
                      <w:szCs w:val="21"/>
                    </w:rPr>
                  </w:pPr>
                  <w:r>
                    <w:rPr>
                      <w:rFonts w:hint="eastAsia"/>
                      <w:color w:val="FF0000"/>
                      <w:kern w:val="0"/>
                      <w:szCs w:val="21"/>
                    </w:rPr>
                    <w:t>100，75</w:t>
                  </w:r>
                </w:p>
              </w:tc>
              <w:tc>
                <w:tcPr>
                  <w:tcW w:w="1090" w:type="dxa"/>
                  <w:vAlign w:val="center"/>
                </w:tcPr>
                <w:p>
                  <w:pPr>
                    <w:widowControl/>
                    <w:jc w:val="center"/>
                    <w:rPr>
                      <w:kern w:val="0"/>
                      <w:szCs w:val="21"/>
                    </w:rPr>
                  </w:pPr>
                  <w:r>
                    <w:rPr>
                      <w:rFonts w:hint="eastAsia"/>
                      <w:kern w:val="0"/>
                      <w:szCs w:val="21"/>
                    </w:rPr>
                    <w:t>65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4" w:type="dxa"/>
                  <w:vAlign w:val="center"/>
                </w:tcPr>
                <w:p>
                  <w:pPr>
                    <w:widowControl/>
                    <w:jc w:val="center"/>
                    <w:rPr>
                      <w:kern w:val="0"/>
                      <w:szCs w:val="21"/>
                    </w:rPr>
                  </w:pPr>
                  <w:r>
                    <w:rPr>
                      <w:kern w:val="0"/>
                      <w:szCs w:val="21"/>
                    </w:rPr>
                    <w:t>10</w:t>
                  </w:r>
                </w:p>
              </w:tc>
              <w:tc>
                <w:tcPr>
                  <w:tcW w:w="1371" w:type="dxa"/>
                  <w:vAlign w:val="center"/>
                </w:tcPr>
                <w:p>
                  <w:pPr>
                    <w:widowControl/>
                    <w:jc w:val="center"/>
                    <w:rPr>
                      <w:kern w:val="0"/>
                      <w:szCs w:val="21"/>
                    </w:rPr>
                  </w:pPr>
                  <w:r>
                    <w:rPr>
                      <w:rFonts w:hint="eastAsia"/>
                      <w:szCs w:val="21"/>
                    </w:rPr>
                    <w:t>切割机</w:t>
                  </w:r>
                </w:p>
              </w:tc>
              <w:tc>
                <w:tcPr>
                  <w:tcW w:w="968" w:type="dxa"/>
                  <w:vAlign w:val="center"/>
                </w:tcPr>
                <w:p>
                  <w:pPr>
                    <w:adjustRightInd w:val="0"/>
                    <w:snapToGrid w:val="0"/>
                    <w:jc w:val="center"/>
                    <w:rPr>
                      <w:szCs w:val="21"/>
                    </w:rPr>
                  </w:pPr>
                  <w:r>
                    <w:rPr>
                      <w:rFonts w:hint="eastAsia"/>
                    </w:rPr>
                    <w:t>1</w:t>
                  </w:r>
                </w:p>
              </w:tc>
              <w:tc>
                <w:tcPr>
                  <w:tcW w:w="1158" w:type="dxa"/>
                  <w:vAlign w:val="center"/>
                </w:tcPr>
                <w:p>
                  <w:pPr>
                    <w:jc w:val="center"/>
                    <w:rPr>
                      <w:szCs w:val="21"/>
                    </w:rPr>
                  </w:pPr>
                  <w:r>
                    <w:rPr>
                      <w:rFonts w:hint="eastAsia"/>
                      <w:bCs/>
                      <w:szCs w:val="21"/>
                    </w:rPr>
                    <w:t>80</w:t>
                  </w:r>
                  <w:r>
                    <w:rPr>
                      <w:rFonts w:hAnsi="宋体"/>
                      <w:bCs/>
                      <w:szCs w:val="21"/>
                    </w:rPr>
                    <w:t>～</w:t>
                  </w:r>
                  <w:r>
                    <w:rPr>
                      <w:rFonts w:hint="eastAsia"/>
                      <w:szCs w:val="21"/>
                    </w:rPr>
                    <w:t>85</w:t>
                  </w:r>
                </w:p>
              </w:tc>
              <w:tc>
                <w:tcPr>
                  <w:tcW w:w="2126" w:type="dxa"/>
                  <w:vAlign w:val="center"/>
                </w:tcPr>
                <w:p>
                  <w:pPr>
                    <w:widowControl/>
                    <w:jc w:val="center"/>
                    <w:rPr>
                      <w:kern w:val="0"/>
                      <w:szCs w:val="21"/>
                    </w:rPr>
                  </w:pPr>
                  <w:r>
                    <w:rPr>
                      <w:kern w:val="0"/>
                      <w:szCs w:val="21"/>
                    </w:rPr>
                    <w:t>墙体隔声、基础减震</w:t>
                  </w:r>
                </w:p>
              </w:tc>
              <w:tc>
                <w:tcPr>
                  <w:tcW w:w="1418" w:type="dxa"/>
                  <w:vAlign w:val="center"/>
                </w:tcPr>
                <w:p>
                  <w:pPr>
                    <w:widowControl/>
                    <w:jc w:val="center"/>
                    <w:rPr>
                      <w:color w:val="FF0000"/>
                      <w:kern w:val="0"/>
                      <w:szCs w:val="21"/>
                    </w:rPr>
                  </w:pPr>
                  <w:r>
                    <w:rPr>
                      <w:rFonts w:hint="eastAsia"/>
                      <w:color w:val="FF0000"/>
                      <w:kern w:val="0"/>
                      <w:szCs w:val="21"/>
                    </w:rPr>
                    <w:t>115，65</w:t>
                  </w:r>
                </w:p>
              </w:tc>
              <w:tc>
                <w:tcPr>
                  <w:tcW w:w="1090" w:type="dxa"/>
                  <w:vAlign w:val="center"/>
                </w:tcPr>
                <w:p>
                  <w:pPr>
                    <w:widowControl/>
                    <w:jc w:val="center"/>
                    <w:rPr>
                      <w:kern w:val="0"/>
                      <w:szCs w:val="21"/>
                    </w:rPr>
                  </w:pPr>
                  <w:r>
                    <w:rPr>
                      <w:kern w:val="0"/>
                      <w:szCs w:val="21"/>
                    </w:rPr>
                    <w:t>65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4" w:type="dxa"/>
                  <w:vAlign w:val="center"/>
                </w:tcPr>
                <w:p>
                  <w:pPr>
                    <w:widowControl/>
                    <w:jc w:val="center"/>
                    <w:rPr>
                      <w:kern w:val="0"/>
                      <w:szCs w:val="21"/>
                    </w:rPr>
                  </w:pPr>
                  <w:r>
                    <w:rPr>
                      <w:kern w:val="0"/>
                      <w:szCs w:val="21"/>
                    </w:rPr>
                    <w:t>11</w:t>
                  </w:r>
                </w:p>
              </w:tc>
              <w:tc>
                <w:tcPr>
                  <w:tcW w:w="1371" w:type="dxa"/>
                  <w:vAlign w:val="center"/>
                </w:tcPr>
                <w:p>
                  <w:pPr>
                    <w:jc w:val="center"/>
                    <w:rPr>
                      <w:szCs w:val="21"/>
                    </w:rPr>
                  </w:pPr>
                  <w:r>
                    <w:rPr>
                      <w:rFonts w:hint="eastAsia"/>
                      <w:szCs w:val="21"/>
                    </w:rPr>
                    <w:t>牵引机</w:t>
                  </w:r>
                </w:p>
              </w:tc>
              <w:tc>
                <w:tcPr>
                  <w:tcW w:w="968" w:type="dxa"/>
                  <w:vAlign w:val="center"/>
                </w:tcPr>
                <w:p>
                  <w:pPr>
                    <w:adjustRightInd w:val="0"/>
                    <w:snapToGrid w:val="0"/>
                    <w:jc w:val="center"/>
                    <w:rPr>
                      <w:szCs w:val="21"/>
                    </w:rPr>
                  </w:pPr>
                  <w:r>
                    <w:rPr>
                      <w:rFonts w:hint="eastAsia"/>
                    </w:rPr>
                    <w:t>9</w:t>
                  </w:r>
                </w:p>
              </w:tc>
              <w:tc>
                <w:tcPr>
                  <w:tcW w:w="1158" w:type="dxa"/>
                  <w:vAlign w:val="center"/>
                </w:tcPr>
                <w:p>
                  <w:pPr>
                    <w:jc w:val="center"/>
                    <w:rPr>
                      <w:szCs w:val="21"/>
                    </w:rPr>
                  </w:pPr>
                  <w:r>
                    <w:rPr>
                      <w:rFonts w:hint="eastAsia"/>
                      <w:bCs/>
                      <w:szCs w:val="21"/>
                    </w:rPr>
                    <w:t>80</w:t>
                  </w:r>
                  <w:r>
                    <w:rPr>
                      <w:rFonts w:hAnsi="宋体"/>
                      <w:bCs/>
                      <w:szCs w:val="21"/>
                    </w:rPr>
                    <w:t>～</w:t>
                  </w:r>
                  <w:r>
                    <w:rPr>
                      <w:rFonts w:hint="eastAsia"/>
                      <w:szCs w:val="21"/>
                    </w:rPr>
                    <w:t>85</w:t>
                  </w:r>
                </w:p>
              </w:tc>
              <w:tc>
                <w:tcPr>
                  <w:tcW w:w="2126" w:type="dxa"/>
                  <w:vAlign w:val="center"/>
                </w:tcPr>
                <w:p>
                  <w:pPr>
                    <w:widowControl/>
                    <w:jc w:val="center"/>
                    <w:rPr>
                      <w:kern w:val="0"/>
                      <w:szCs w:val="21"/>
                    </w:rPr>
                  </w:pPr>
                  <w:r>
                    <w:rPr>
                      <w:kern w:val="0"/>
                      <w:szCs w:val="21"/>
                    </w:rPr>
                    <w:t>墙体隔声、基础减震</w:t>
                  </w:r>
                </w:p>
              </w:tc>
              <w:tc>
                <w:tcPr>
                  <w:tcW w:w="1418" w:type="dxa"/>
                  <w:vAlign w:val="center"/>
                </w:tcPr>
                <w:p>
                  <w:pPr>
                    <w:widowControl/>
                    <w:jc w:val="center"/>
                    <w:rPr>
                      <w:color w:val="FF0000"/>
                      <w:kern w:val="0"/>
                      <w:szCs w:val="21"/>
                    </w:rPr>
                  </w:pPr>
                  <w:r>
                    <w:rPr>
                      <w:rFonts w:hint="eastAsia"/>
                      <w:color w:val="FF0000"/>
                      <w:kern w:val="0"/>
                      <w:szCs w:val="21"/>
                    </w:rPr>
                    <w:t>150，95</w:t>
                  </w:r>
                </w:p>
              </w:tc>
              <w:tc>
                <w:tcPr>
                  <w:tcW w:w="1090" w:type="dxa"/>
                  <w:vAlign w:val="center"/>
                </w:tcPr>
                <w:p>
                  <w:pPr>
                    <w:widowControl/>
                    <w:jc w:val="center"/>
                    <w:rPr>
                      <w:kern w:val="0"/>
                      <w:szCs w:val="21"/>
                    </w:rPr>
                  </w:pPr>
                  <w:r>
                    <w:rPr>
                      <w:rFonts w:hint="eastAsia"/>
                      <w:kern w:val="0"/>
                      <w:szCs w:val="21"/>
                    </w:rPr>
                    <w:t>65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68" w:hRule="atLeast"/>
                <w:jc w:val="center"/>
              </w:trPr>
              <w:tc>
                <w:tcPr>
                  <w:tcW w:w="594" w:type="dxa"/>
                  <w:vAlign w:val="center"/>
                </w:tcPr>
                <w:p>
                  <w:pPr>
                    <w:widowControl/>
                    <w:jc w:val="center"/>
                    <w:rPr>
                      <w:kern w:val="0"/>
                      <w:szCs w:val="21"/>
                    </w:rPr>
                  </w:pPr>
                  <w:r>
                    <w:rPr>
                      <w:rFonts w:hint="eastAsia"/>
                      <w:kern w:val="0"/>
                      <w:szCs w:val="21"/>
                    </w:rPr>
                    <w:t>12</w:t>
                  </w:r>
                </w:p>
              </w:tc>
              <w:tc>
                <w:tcPr>
                  <w:tcW w:w="1371" w:type="dxa"/>
                  <w:vAlign w:val="center"/>
                </w:tcPr>
                <w:p>
                  <w:pPr>
                    <w:jc w:val="center"/>
                    <w:rPr>
                      <w:szCs w:val="21"/>
                    </w:rPr>
                  </w:pPr>
                  <w:r>
                    <w:rPr>
                      <w:szCs w:val="21"/>
                    </w:rPr>
                    <w:t>风机</w:t>
                  </w:r>
                </w:p>
              </w:tc>
              <w:tc>
                <w:tcPr>
                  <w:tcW w:w="968" w:type="dxa"/>
                  <w:vAlign w:val="center"/>
                </w:tcPr>
                <w:p>
                  <w:pPr>
                    <w:adjustRightInd w:val="0"/>
                    <w:snapToGrid w:val="0"/>
                    <w:jc w:val="center"/>
                    <w:rPr>
                      <w:szCs w:val="21"/>
                    </w:rPr>
                  </w:pPr>
                  <w:r>
                    <w:rPr>
                      <w:rFonts w:hint="eastAsia"/>
                    </w:rPr>
                    <w:t>18</w:t>
                  </w:r>
                </w:p>
              </w:tc>
              <w:tc>
                <w:tcPr>
                  <w:tcW w:w="1158" w:type="dxa"/>
                  <w:vAlign w:val="center"/>
                </w:tcPr>
                <w:p>
                  <w:pPr>
                    <w:jc w:val="center"/>
                    <w:rPr>
                      <w:szCs w:val="21"/>
                    </w:rPr>
                  </w:pPr>
                  <w:r>
                    <w:rPr>
                      <w:rFonts w:hint="eastAsia"/>
                      <w:bCs/>
                      <w:szCs w:val="21"/>
                    </w:rPr>
                    <w:t>85</w:t>
                  </w:r>
                  <w:r>
                    <w:rPr>
                      <w:rFonts w:hAnsi="宋体"/>
                      <w:bCs/>
                      <w:szCs w:val="21"/>
                    </w:rPr>
                    <w:t>～</w:t>
                  </w:r>
                  <w:r>
                    <w:rPr>
                      <w:rFonts w:hint="eastAsia"/>
                      <w:szCs w:val="21"/>
                    </w:rPr>
                    <w:t>95</w:t>
                  </w:r>
                </w:p>
              </w:tc>
              <w:tc>
                <w:tcPr>
                  <w:tcW w:w="2126" w:type="dxa"/>
                  <w:vAlign w:val="center"/>
                </w:tcPr>
                <w:p>
                  <w:pPr>
                    <w:widowControl/>
                    <w:jc w:val="center"/>
                    <w:rPr>
                      <w:kern w:val="0"/>
                      <w:szCs w:val="21"/>
                    </w:rPr>
                  </w:pPr>
                  <w:r>
                    <w:rPr>
                      <w:kern w:val="0"/>
                      <w:szCs w:val="21"/>
                    </w:rPr>
                    <w:t>墙体隔声、消音、基础减震</w:t>
                  </w:r>
                </w:p>
              </w:tc>
              <w:tc>
                <w:tcPr>
                  <w:tcW w:w="1418" w:type="dxa"/>
                  <w:vAlign w:val="center"/>
                </w:tcPr>
                <w:p>
                  <w:pPr>
                    <w:widowControl/>
                    <w:jc w:val="center"/>
                    <w:rPr>
                      <w:color w:val="FF0000"/>
                      <w:kern w:val="0"/>
                      <w:szCs w:val="21"/>
                    </w:rPr>
                  </w:pPr>
                  <w:r>
                    <w:rPr>
                      <w:rFonts w:hint="eastAsia"/>
                      <w:color w:val="FF0000"/>
                      <w:kern w:val="0"/>
                      <w:szCs w:val="21"/>
                    </w:rPr>
                    <w:t>160，80</w:t>
                  </w:r>
                </w:p>
              </w:tc>
              <w:tc>
                <w:tcPr>
                  <w:tcW w:w="1090" w:type="dxa"/>
                  <w:vAlign w:val="center"/>
                </w:tcPr>
                <w:p>
                  <w:pPr>
                    <w:widowControl/>
                    <w:jc w:val="center"/>
                    <w:rPr>
                      <w:kern w:val="0"/>
                      <w:szCs w:val="21"/>
                    </w:rPr>
                  </w:pPr>
                  <w:r>
                    <w:rPr>
                      <w:rFonts w:hint="eastAsia"/>
                      <w:kern w:val="0"/>
                      <w:szCs w:val="21"/>
                    </w:rPr>
                    <w:t>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4" w:type="dxa"/>
                  <w:vAlign w:val="center"/>
                </w:tcPr>
                <w:p>
                  <w:pPr>
                    <w:widowControl/>
                    <w:jc w:val="center"/>
                    <w:rPr>
                      <w:kern w:val="0"/>
                      <w:szCs w:val="21"/>
                    </w:rPr>
                  </w:pPr>
                  <w:r>
                    <w:rPr>
                      <w:rFonts w:hint="eastAsia"/>
                      <w:kern w:val="0"/>
                      <w:szCs w:val="21"/>
                    </w:rPr>
                    <w:t>13</w:t>
                  </w:r>
                </w:p>
              </w:tc>
              <w:tc>
                <w:tcPr>
                  <w:tcW w:w="1371" w:type="dxa"/>
                  <w:vAlign w:val="center"/>
                </w:tcPr>
                <w:p>
                  <w:pPr>
                    <w:jc w:val="center"/>
                    <w:rPr>
                      <w:szCs w:val="21"/>
                    </w:rPr>
                  </w:pPr>
                  <w:r>
                    <w:rPr>
                      <w:szCs w:val="21"/>
                    </w:rPr>
                    <w:t>液压步进机</w:t>
                  </w:r>
                </w:p>
              </w:tc>
              <w:tc>
                <w:tcPr>
                  <w:tcW w:w="968" w:type="dxa"/>
                  <w:vAlign w:val="center"/>
                </w:tcPr>
                <w:p>
                  <w:pPr>
                    <w:adjustRightInd w:val="0"/>
                    <w:snapToGrid w:val="0"/>
                    <w:jc w:val="center"/>
                    <w:rPr>
                      <w:szCs w:val="21"/>
                    </w:rPr>
                  </w:pPr>
                  <w:r>
                    <w:rPr>
                      <w:rFonts w:hint="eastAsia"/>
                    </w:rPr>
                    <w:t>3</w:t>
                  </w:r>
                </w:p>
              </w:tc>
              <w:tc>
                <w:tcPr>
                  <w:tcW w:w="1158" w:type="dxa"/>
                  <w:vAlign w:val="center"/>
                </w:tcPr>
                <w:p>
                  <w:pPr>
                    <w:jc w:val="center"/>
                    <w:rPr>
                      <w:szCs w:val="21"/>
                    </w:rPr>
                  </w:pPr>
                  <w:r>
                    <w:rPr>
                      <w:rFonts w:hint="eastAsia"/>
                      <w:bCs/>
                      <w:szCs w:val="21"/>
                    </w:rPr>
                    <w:t>80</w:t>
                  </w:r>
                  <w:r>
                    <w:rPr>
                      <w:rFonts w:hAnsi="宋体"/>
                      <w:bCs/>
                      <w:szCs w:val="21"/>
                    </w:rPr>
                    <w:t>～</w:t>
                  </w:r>
                  <w:r>
                    <w:rPr>
                      <w:rFonts w:hint="eastAsia"/>
                      <w:szCs w:val="21"/>
                    </w:rPr>
                    <w:t>90</w:t>
                  </w:r>
                </w:p>
              </w:tc>
              <w:tc>
                <w:tcPr>
                  <w:tcW w:w="2126" w:type="dxa"/>
                  <w:vAlign w:val="center"/>
                </w:tcPr>
                <w:p>
                  <w:pPr>
                    <w:widowControl/>
                    <w:jc w:val="center"/>
                    <w:rPr>
                      <w:kern w:val="0"/>
                      <w:szCs w:val="21"/>
                    </w:rPr>
                  </w:pPr>
                  <w:r>
                    <w:rPr>
                      <w:kern w:val="0"/>
                      <w:szCs w:val="21"/>
                    </w:rPr>
                    <w:t>墙体隔声、基础减震</w:t>
                  </w:r>
                </w:p>
              </w:tc>
              <w:tc>
                <w:tcPr>
                  <w:tcW w:w="1418" w:type="dxa"/>
                  <w:vAlign w:val="center"/>
                </w:tcPr>
                <w:p>
                  <w:pPr>
                    <w:widowControl/>
                    <w:jc w:val="center"/>
                    <w:rPr>
                      <w:color w:val="FF0000"/>
                      <w:kern w:val="0"/>
                      <w:szCs w:val="21"/>
                    </w:rPr>
                  </w:pPr>
                  <w:r>
                    <w:rPr>
                      <w:rFonts w:hint="eastAsia"/>
                      <w:color w:val="FF0000"/>
                      <w:kern w:val="0"/>
                      <w:szCs w:val="21"/>
                    </w:rPr>
                    <w:t>40，120</w:t>
                  </w:r>
                </w:p>
              </w:tc>
              <w:tc>
                <w:tcPr>
                  <w:tcW w:w="1090" w:type="dxa"/>
                  <w:vAlign w:val="center"/>
                </w:tcPr>
                <w:p>
                  <w:pPr>
                    <w:widowControl/>
                    <w:jc w:val="center"/>
                    <w:rPr>
                      <w:kern w:val="0"/>
                      <w:szCs w:val="21"/>
                    </w:rPr>
                  </w:pPr>
                  <w:r>
                    <w:rPr>
                      <w:rFonts w:hint="eastAsia"/>
                      <w:kern w:val="0"/>
                      <w:szCs w:val="21"/>
                    </w:rPr>
                    <w:t>70</w:t>
                  </w:r>
                </w:p>
              </w:tc>
            </w:tr>
          </w:tbl>
          <w:p>
            <w:pPr>
              <w:spacing w:line="360" w:lineRule="auto"/>
              <w:ind w:firstLine="480" w:firstLineChars="200"/>
              <w:rPr>
                <w:sz w:val="24"/>
                <w:szCs w:val="24"/>
              </w:rPr>
            </w:pPr>
            <w:r>
              <w:rPr>
                <w:rFonts w:hint="eastAsia"/>
                <w:sz w:val="24"/>
                <w:szCs w:val="24"/>
              </w:rPr>
              <w:t>（1）预测模式</w:t>
            </w:r>
          </w:p>
          <w:p>
            <w:pPr>
              <w:spacing w:line="360" w:lineRule="auto"/>
              <w:ind w:firstLine="480" w:firstLineChars="200"/>
              <w:rPr>
                <w:sz w:val="24"/>
                <w:szCs w:val="24"/>
              </w:rPr>
            </w:pPr>
            <w:r>
              <w:rPr>
                <w:rFonts w:hint="eastAsia"/>
                <w:sz w:val="24"/>
                <w:szCs w:val="24"/>
              </w:rPr>
              <w:t>根据本项目营运期间取土区设备噪声主要为移动声源，生产区主要为室内点声源。根据主要噪声源的特征，评价拟采用点声源进行噪声预测，</w:t>
            </w:r>
            <w:r>
              <w:rPr>
                <w:sz w:val="24"/>
                <w:szCs w:val="24"/>
              </w:rPr>
              <w:t>预测模式如下：</w:t>
            </w:r>
          </w:p>
          <w:p>
            <w:pPr>
              <w:pStyle w:val="116"/>
              <w:spacing w:line="460" w:lineRule="exact"/>
              <w:ind w:firstLine="480" w:firstLineChars="200"/>
              <w:rPr>
                <w:rFonts w:ascii="Times New Roman" w:cs="Times New Roman"/>
                <w:bCs/>
                <w:color w:val="auto"/>
                <w:kern w:val="2"/>
              </w:rPr>
            </w:pPr>
            <w:r>
              <w:rPr>
                <w:rFonts w:ascii="Times New Roman" w:cs="Times New Roman"/>
                <w:bCs/>
                <w:color w:val="auto"/>
              </w:rPr>
              <w:fldChar w:fldCharType="begin"/>
            </w:r>
            <w:r>
              <w:rPr>
                <w:rFonts w:ascii="Times New Roman" w:cs="Times New Roman"/>
                <w:bCs/>
                <w:color w:val="auto"/>
              </w:rPr>
              <w:instrText xml:space="preserve"> = 1 \* GB3 </w:instrText>
            </w:r>
            <w:r>
              <w:rPr>
                <w:rFonts w:ascii="Times New Roman" w:cs="Times New Roman"/>
                <w:bCs/>
                <w:color w:val="auto"/>
              </w:rPr>
              <w:fldChar w:fldCharType="separate"/>
            </w:r>
            <w:r>
              <w:rPr>
                <w:rFonts w:ascii="Times New Roman" w:cs="Times New Roman"/>
                <w:bCs/>
                <w:color w:val="auto"/>
              </w:rPr>
              <w:t>①</w:t>
            </w:r>
            <w:r>
              <w:rPr>
                <w:rFonts w:ascii="Times New Roman" w:cs="Times New Roman"/>
                <w:bCs/>
                <w:color w:val="auto"/>
              </w:rPr>
              <w:fldChar w:fldCharType="end"/>
            </w:r>
            <w:r>
              <w:rPr>
                <w:rFonts w:ascii="Times New Roman" w:cs="Times New Roman"/>
                <w:bCs/>
                <w:color w:val="auto"/>
                <w:kern w:val="2"/>
              </w:rPr>
              <w:t>多个点源共同作用预测点的叠加声级</w:t>
            </w:r>
          </w:p>
          <w:p>
            <w:pPr>
              <w:ind w:firstLine="420" w:firstLineChars="200"/>
              <w:jc w:val="center"/>
              <w:rPr>
                <w:rFonts w:eastAsia="仿宋_GB2312"/>
              </w:rPr>
            </w:pPr>
            <w:r>
              <w:rPr>
                <w:rFonts w:eastAsia="仿宋_GB2312"/>
                <w:position w:val="-30"/>
              </w:rPr>
              <w:object>
                <v:shape id="_x0000_i1028" o:spt="75" type="#_x0000_t75" style="height:36.55pt;width:138.65pt;" o:ole="t" filled="f" o:preferrelative="t" stroked="f" coordsize="21600,21600">
                  <v:path/>
                  <v:fill on="f" focussize="0,0"/>
                  <v:stroke on="f" joinstyle="miter"/>
                  <v:imagedata r:id="rId17" o:title=""/>
                  <o:lock v:ext="edit" aspectratio="t"/>
                  <w10:wrap type="none"/>
                  <w10:anchorlock/>
                </v:shape>
                <o:OLEObject Type="Embed" ProgID="Equation.3" ShapeID="_x0000_i1028" DrawAspect="Content" ObjectID="_1468075729" r:id="rId16">
                  <o:LockedField>false</o:LockedField>
                </o:OLEObject>
              </w:object>
            </w:r>
          </w:p>
          <w:p>
            <w:pPr>
              <w:spacing w:line="460" w:lineRule="exact"/>
              <w:ind w:firstLine="480" w:firstLineChars="200"/>
              <w:rPr>
                <w:sz w:val="24"/>
              </w:rPr>
            </w:pPr>
            <w:r>
              <w:rPr>
                <w:sz w:val="24"/>
              </w:rPr>
              <w:t>式中：</w:t>
            </w:r>
          </w:p>
          <w:p>
            <w:pPr>
              <w:spacing w:line="460" w:lineRule="exact"/>
              <w:ind w:firstLine="1200" w:firstLineChars="500"/>
              <w:rPr>
                <w:sz w:val="24"/>
              </w:rPr>
            </w:pPr>
            <w:r>
              <w:rPr>
                <w:i/>
                <w:sz w:val="24"/>
              </w:rPr>
              <w:t>L</w:t>
            </w:r>
            <w:r>
              <w:rPr>
                <w:i/>
                <w:sz w:val="24"/>
                <w:vertAlign w:val="subscript"/>
              </w:rPr>
              <w:t>eq(A)总</w:t>
            </w:r>
            <w:r>
              <w:rPr>
                <w:sz w:val="24"/>
              </w:rPr>
              <w:t>——多个点源的噪声叠加值，dB(A)；</w:t>
            </w:r>
          </w:p>
          <w:p>
            <w:pPr>
              <w:spacing w:line="460" w:lineRule="exact"/>
              <w:ind w:firstLine="1200" w:firstLineChars="500"/>
              <w:rPr>
                <w:sz w:val="24"/>
              </w:rPr>
            </w:pPr>
            <w:r>
              <w:rPr>
                <w:i/>
                <w:sz w:val="24"/>
              </w:rPr>
              <w:t>L</w:t>
            </w:r>
            <w:r>
              <w:rPr>
                <w:i/>
                <w:sz w:val="24"/>
                <w:vertAlign w:val="subscript"/>
              </w:rPr>
              <w:t>eq(A)i</w:t>
            </w:r>
            <w:r>
              <w:rPr>
                <w:sz w:val="24"/>
              </w:rPr>
              <w:t>——某个单一点源的声压级，dB(A)。</w:t>
            </w:r>
          </w:p>
          <w:p>
            <w:pPr>
              <w:spacing w:line="360" w:lineRule="auto"/>
              <w:ind w:firstLine="420" w:firstLineChars="200"/>
              <w:rPr>
                <w:bCs/>
                <w:sz w:val="24"/>
              </w:rPr>
            </w:pPr>
            <w:r>
              <w:rPr>
                <w:bCs/>
              </w:rPr>
              <w:fldChar w:fldCharType="begin"/>
            </w:r>
            <w:r>
              <w:rPr>
                <w:bCs/>
              </w:rPr>
              <w:instrText xml:space="preserve">= 2 \* GB3</w:instrText>
            </w:r>
            <w:r>
              <w:rPr>
                <w:bCs/>
              </w:rPr>
              <w:fldChar w:fldCharType="separate"/>
            </w:r>
            <w:r>
              <w:rPr>
                <w:bCs/>
              </w:rPr>
              <w:t>②</w:t>
            </w:r>
            <w:r>
              <w:rPr>
                <w:bCs/>
              </w:rPr>
              <w:fldChar w:fldCharType="end"/>
            </w:r>
            <w:r>
              <w:rPr>
                <w:bCs/>
                <w:sz w:val="24"/>
              </w:rPr>
              <w:t>根据《环境影响评价技术导则  声环境》（HJ2.4-2009）推荐的室内声源的声传播模式，将室内声源等效为等效室外点声源，据此，室内声源传播衰减公式为：</w:t>
            </w:r>
          </w:p>
          <w:p>
            <w:pPr>
              <w:spacing w:line="360" w:lineRule="auto"/>
              <w:ind w:firstLine="480" w:firstLineChars="200"/>
              <w:jc w:val="center"/>
              <w:rPr>
                <w:bCs/>
                <w:sz w:val="24"/>
              </w:rPr>
            </w:pPr>
            <w:r>
              <w:rPr>
                <w:bCs/>
                <w:sz w:val="24"/>
              </w:rPr>
              <w:drawing>
                <wp:inline distT="0" distB="0" distL="0" distR="0">
                  <wp:extent cx="2333625" cy="43815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33625" cy="438150"/>
                          </a:xfrm>
                          <a:prstGeom prst="rect">
                            <a:avLst/>
                          </a:prstGeom>
                          <a:noFill/>
                          <a:ln>
                            <a:noFill/>
                          </a:ln>
                        </pic:spPr>
                      </pic:pic>
                    </a:graphicData>
                  </a:graphic>
                </wp:inline>
              </w:drawing>
            </w:r>
          </w:p>
          <w:p>
            <w:pPr>
              <w:spacing w:line="360" w:lineRule="auto"/>
              <w:ind w:firstLine="480" w:firstLineChars="200"/>
              <w:rPr>
                <w:bCs/>
                <w:sz w:val="24"/>
              </w:rPr>
            </w:pPr>
            <w:r>
              <w:rPr>
                <w:bCs/>
                <w:sz w:val="24"/>
              </w:rPr>
              <w:t>式中：</w:t>
            </w:r>
            <w:r>
              <w:rPr>
                <w:bCs/>
                <w:sz w:val="24"/>
              </w:rPr>
              <w:object>
                <v:shape id="_x0000_i1029" o:spt="75" type="#_x0000_t75" style="height:18.8pt;width:30.65pt;" o:ole="t"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30" r:id="rId19">
                  <o:LockedField>false</o:LockedField>
                </o:OLEObject>
              </w:object>
            </w:r>
            <w:r>
              <w:rPr>
                <w:bCs/>
                <w:sz w:val="24"/>
              </w:rPr>
              <w:t>——距离噪声源r</w:t>
            </w:r>
            <w:r>
              <w:rPr>
                <w:bCs/>
                <w:sz w:val="24"/>
                <w:vertAlign w:val="subscript"/>
              </w:rPr>
              <w:t>m</w:t>
            </w:r>
            <w:r>
              <w:rPr>
                <w:bCs/>
                <w:sz w:val="24"/>
              </w:rPr>
              <w:t>处的声压级，dB（A）；</w:t>
            </w:r>
          </w:p>
          <w:p>
            <w:pPr>
              <w:spacing w:line="360" w:lineRule="auto"/>
              <w:ind w:firstLine="480" w:firstLineChars="200"/>
              <w:rPr>
                <w:bCs/>
                <w:sz w:val="24"/>
              </w:rPr>
            </w:pPr>
            <w:r>
              <w:rPr>
                <w:bCs/>
                <w:sz w:val="24"/>
              </w:rPr>
              <w:object>
                <v:shape id="_x0000_i1030" o:spt="75" type="#_x0000_t75" style="height:18.8pt;width:20.4pt;" o:ole="t" filled="f" o:preferrelative="t" stroked="f" coordsize="21600,21600">
                  <v:path/>
                  <v:fill on="f" focussize="0,0"/>
                  <v:stroke on="f" joinstyle="miter"/>
                  <v:imagedata r:id="rId22" o:title=""/>
                  <o:lock v:ext="edit" aspectratio="t"/>
                  <w10:wrap type="none"/>
                  <w10:anchorlock/>
                </v:shape>
                <o:OLEObject Type="Embed" ProgID="Equation.3" ShapeID="_x0000_i1030" DrawAspect="Content" ObjectID="_1468075731" r:id="rId21">
                  <o:LockedField>false</o:LockedField>
                </o:OLEObject>
              </w:object>
            </w:r>
            <w:r>
              <w:rPr>
                <w:bCs/>
                <w:sz w:val="24"/>
              </w:rPr>
              <w:t>——为距声源中心r</w:t>
            </w:r>
            <w:r>
              <w:rPr>
                <w:bCs/>
                <w:sz w:val="24"/>
                <w:vertAlign w:val="subscript"/>
              </w:rPr>
              <w:t>0</w:t>
            </w:r>
            <w:r>
              <w:rPr>
                <w:bCs/>
                <w:sz w:val="24"/>
              </w:rPr>
              <w:t>处测的声压级，dB（A）；</w:t>
            </w:r>
          </w:p>
          <w:p>
            <w:pPr>
              <w:spacing w:line="360" w:lineRule="auto"/>
              <w:ind w:firstLine="480" w:firstLineChars="200"/>
              <w:rPr>
                <w:bCs/>
                <w:sz w:val="24"/>
              </w:rPr>
            </w:pPr>
            <w:r>
              <w:rPr>
                <w:bCs/>
                <w:sz w:val="24"/>
              </w:rPr>
              <w:t>TL——墙壁隔声量，本项目中取1</w:t>
            </w:r>
            <w:r>
              <w:rPr>
                <w:rFonts w:hint="eastAsia"/>
                <w:bCs/>
                <w:sz w:val="24"/>
              </w:rPr>
              <w:t>5</w:t>
            </w:r>
            <w:r>
              <w:rPr>
                <w:bCs/>
                <w:sz w:val="24"/>
              </w:rPr>
              <w:t>dB（A）；</w:t>
            </w:r>
          </w:p>
          <w:p>
            <w:pPr>
              <w:spacing w:line="360" w:lineRule="auto"/>
              <w:ind w:firstLine="480" w:firstLineChars="200"/>
              <w:rPr>
                <w:bCs/>
                <w:sz w:val="24"/>
              </w:rPr>
            </w:pPr>
            <w:r>
              <w:rPr>
                <w:bCs/>
                <w:sz w:val="24"/>
              </w:rPr>
              <w:object>
                <v:shape id="_x0000_i1031" o:spt="75" type="#_x0000_t75" style="height:11.3pt;width:12.35pt;" o:ole="t" filled="f" o:preferrelative="t" stroked="f" coordsize="21600,21600">
                  <v:path/>
                  <v:fill on="f" focussize="0,0"/>
                  <v:stroke on="f" joinstyle="miter"/>
                  <v:imagedata r:id="rId24" o:title=""/>
                  <o:lock v:ext="edit" aspectratio="t"/>
                  <w10:wrap type="none"/>
                  <w10:anchorlock/>
                </v:shape>
                <o:OLEObject Type="Embed" ProgID="Equation.3" ShapeID="_x0000_i1031" DrawAspect="Content" ObjectID="_1468075732" r:id="rId23">
                  <o:LockedField>false</o:LockedField>
                </o:OLEObject>
              </w:object>
            </w:r>
            <w:r>
              <w:rPr>
                <w:bCs/>
                <w:sz w:val="24"/>
              </w:rPr>
              <w:t>——平均吸声系数，本项目中取0.2；</w:t>
            </w:r>
          </w:p>
          <w:p>
            <w:pPr>
              <w:spacing w:line="360" w:lineRule="auto"/>
              <w:ind w:firstLine="480" w:firstLineChars="200"/>
              <w:rPr>
                <w:bCs/>
                <w:sz w:val="24"/>
              </w:rPr>
            </w:pPr>
            <w:r>
              <w:rPr>
                <w:bCs/>
                <w:sz w:val="24"/>
              </w:rPr>
              <w:t>r——参考位置距噪声源的距离，m；</w:t>
            </w:r>
          </w:p>
          <w:p>
            <w:pPr>
              <w:spacing w:line="360" w:lineRule="auto"/>
              <w:ind w:firstLine="480" w:firstLineChars="200"/>
              <w:rPr>
                <w:bCs/>
                <w:sz w:val="24"/>
              </w:rPr>
            </w:pPr>
            <w:r>
              <w:rPr>
                <w:bCs/>
                <w:sz w:val="24"/>
              </w:rPr>
              <w:t>r</w:t>
            </w:r>
            <w:r>
              <w:rPr>
                <w:bCs/>
                <w:sz w:val="24"/>
                <w:vertAlign w:val="subscript"/>
              </w:rPr>
              <w:t>0</w:t>
            </w:r>
            <w:r>
              <w:rPr>
                <w:bCs/>
                <w:sz w:val="24"/>
              </w:rPr>
              <w:t>——墙外1m处至预测点的距离，参数距离为1m。</w:t>
            </w:r>
          </w:p>
          <w:p>
            <w:pPr>
              <w:pStyle w:val="116"/>
              <w:spacing w:line="460" w:lineRule="exact"/>
              <w:ind w:firstLine="480" w:firstLineChars="200"/>
              <w:rPr>
                <w:rFonts w:ascii="Times New Roman" w:cs="Times New Roman"/>
                <w:bCs/>
                <w:color w:val="auto"/>
                <w:kern w:val="2"/>
              </w:rPr>
            </w:pPr>
            <w:r>
              <w:rPr>
                <w:rFonts w:ascii="Times New Roman" w:cs="Times New Roman"/>
                <w:bCs/>
                <w:color w:val="auto"/>
                <w:kern w:val="2"/>
              </w:rPr>
              <w:fldChar w:fldCharType="begin"/>
            </w:r>
            <w:r>
              <w:rPr>
                <w:rFonts w:ascii="Times New Roman" w:cs="Times New Roman"/>
                <w:bCs/>
                <w:color w:val="auto"/>
                <w:kern w:val="2"/>
              </w:rPr>
              <w:instrText xml:space="preserve"> = 3 \* GB3 </w:instrText>
            </w:r>
            <w:r>
              <w:rPr>
                <w:rFonts w:ascii="Times New Roman" w:cs="Times New Roman"/>
                <w:bCs/>
                <w:color w:val="auto"/>
                <w:kern w:val="2"/>
              </w:rPr>
              <w:fldChar w:fldCharType="separate"/>
            </w:r>
            <w:r>
              <w:rPr>
                <w:rFonts w:ascii="Times New Roman" w:cs="Times New Roman"/>
                <w:bCs/>
                <w:color w:val="auto"/>
                <w:kern w:val="2"/>
              </w:rPr>
              <w:t>③</w:t>
            </w:r>
            <w:r>
              <w:rPr>
                <w:rFonts w:ascii="Times New Roman" w:cs="Times New Roman"/>
                <w:bCs/>
                <w:color w:val="auto"/>
                <w:kern w:val="2"/>
              </w:rPr>
              <w:fldChar w:fldCharType="end"/>
            </w:r>
            <w:r>
              <w:rPr>
                <w:rFonts w:ascii="Times New Roman" w:cs="Times New Roman"/>
                <w:bCs/>
                <w:color w:val="auto"/>
                <w:kern w:val="2"/>
              </w:rPr>
              <w:t>点源衰减模式</w:t>
            </w:r>
          </w:p>
          <w:p>
            <w:pPr>
              <w:ind w:firstLine="420" w:firstLineChars="200"/>
              <w:jc w:val="center"/>
              <w:rPr>
                <w:rFonts w:eastAsia="仿宋_GB2312"/>
                <w:szCs w:val="28"/>
              </w:rPr>
            </w:pPr>
            <w:r>
              <w:rPr>
                <w:rFonts w:eastAsia="仿宋_GB2312"/>
                <w:position w:val="-14"/>
                <w:szCs w:val="28"/>
              </w:rPr>
              <w:object>
                <v:shape id="_x0000_i1032" o:spt="75" type="#_x0000_t75" style="height:21.5pt;width:233.2pt;" o:ole="t" filled="f" o:preferrelative="t" stroked="f" coordsize="21600,21600">
                  <v:path/>
                  <v:fill on="f" focussize="0,0"/>
                  <v:stroke on="f" joinstyle="miter"/>
                  <v:imagedata r:id="rId26" o:title=""/>
                  <o:lock v:ext="edit" aspectratio="t"/>
                  <w10:wrap type="none"/>
                  <w10:anchorlock/>
                </v:shape>
                <o:OLEObject Type="Embed" ProgID="Equation.3" ShapeID="_x0000_i1032" DrawAspect="Content" ObjectID="_1468075733" r:id="rId25">
                  <o:LockedField>false</o:LockedField>
                </o:OLEObject>
              </w:object>
            </w:r>
          </w:p>
          <w:p>
            <w:pPr>
              <w:pStyle w:val="116"/>
              <w:spacing w:line="460" w:lineRule="exact"/>
              <w:ind w:firstLine="480" w:firstLineChars="200"/>
              <w:rPr>
                <w:rFonts w:ascii="Times New Roman" w:cs="Times New Roman"/>
                <w:color w:val="auto"/>
              </w:rPr>
            </w:pPr>
            <w:r>
              <w:rPr>
                <w:rFonts w:ascii="Times New Roman" w:cs="Times New Roman"/>
                <w:color w:val="auto"/>
              </w:rPr>
              <w:t>式中：</w:t>
            </w:r>
          </w:p>
          <w:p>
            <w:pPr>
              <w:spacing w:line="460" w:lineRule="exact"/>
              <w:ind w:firstLine="1200" w:firstLineChars="500"/>
              <w:rPr>
                <w:sz w:val="24"/>
              </w:rPr>
            </w:pPr>
            <w:r>
              <w:rPr>
                <w:i/>
                <w:sz w:val="24"/>
              </w:rPr>
              <w:t>L</w:t>
            </w:r>
            <w:r>
              <w:rPr>
                <w:i/>
                <w:sz w:val="24"/>
                <w:vertAlign w:val="subscript"/>
              </w:rPr>
              <w:t>A</w:t>
            </w:r>
            <w:r>
              <w:rPr>
                <w:sz w:val="24"/>
                <w:vertAlign w:val="subscript"/>
              </w:rPr>
              <w:t>(</w:t>
            </w:r>
            <w:r>
              <w:rPr>
                <w:i/>
                <w:sz w:val="24"/>
                <w:vertAlign w:val="subscript"/>
              </w:rPr>
              <w:t>r</w:t>
            </w:r>
            <w:r>
              <w:rPr>
                <w:sz w:val="24"/>
                <w:vertAlign w:val="subscript"/>
              </w:rPr>
              <w:t>)</w:t>
            </w:r>
            <w:r>
              <w:rPr>
                <w:sz w:val="24"/>
              </w:rPr>
              <w:t>——距离声源</w:t>
            </w:r>
            <w:r>
              <w:rPr>
                <w:i/>
                <w:sz w:val="24"/>
              </w:rPr>
              <w:t>r</w:t>
            </w:r>
            <w:r>
              <w:rPr>
                <w:sz w:val="24"/>
              </w:rPr>
              <w:t>处的声级，dB(A)；</w:t>
            </w:r>
          </w:p>
          <w:p>
            <w:pPr>
              <w:spacing w:line="460" w:lineRule="exact"/>
              <w:ind w:firstLine="1200" w:firstLineChars="500"/>
              <w:rPr>
                <w:sz w:val="24"/>
              </w:rPr>
            </w:pPr>
            <w:r>
              <w:rPr>
                <w:i/>
                <w:sz w:val="24"/>
              </w:rPr>
              <w:t>L</w:t>
            </w:r>
            <w:r>
              <w:rPr>
                <w:i/>
                <w:sz w:val="24"/>
                <w:vertAlign w:val="subscript"/>
              </w:rPr>
              <w:t>Aref</w:t>
            </w:r>
            <w:r>
              <w:rPr>
                <w:sz w:val="24"/>
                <w:vertAlign w:val="subscript"/>
              </w:rPr>
              <w:t>(</w:t>
            </w:r>
            <w:r>
              <w:rPr>
                <w:i/>
                <w:sz w:val="24"/>
                <w:vertAlign w:val="subscript"/>
              </w:rPr>
              <w:t>r0</w:t>
            </w:r>
            <w:r>
              <w:rPr>
                <w:sz w:val="24"/>
                <w:vertAlign w:val="subscript"/>
              </w:rPr>
              <w:t>)</w:t>
            </w:r>
            <w:r>
              <w:rPr>
                <w:sz w:val="24"/>
              </w:rPr>
              <w:t>—— 参考位置</w:t>
            </w:r>
            <w:r>
              <w:rPr>
                <w:i/>
                <w:sz w:val="24"/>
              </w:rPr>
              <w:t>r</w:t>
            </w:r>
            <w:r>
              <w:rPr>
                <w:i/>
                <w:sz w:val="24"/>
                <w:vertAlign w:val="subscript"/>
              </w:rPr>
              <w:t>0</w:t>
            </w:r>
            <w:r>
              <w:rPr>
                <w:sz w:val="24"/>
              </w:rPr>
              <w:t>处的声级，dB(A)；</w:t>
            </w:r>
          </w:p>
          <w:p>
            <w:pPr>
              <w:spacing w:line="460" w:lineRule="exact"/>
              <w:ind w:firstLine="1200" w:firstLineChars="500"/>
              <w:rPr>
                <w:sz w:val="24"/>
              </w:rPr>
            </w:pPr>
            <w:r>
              <w:rPr>
                <w:i/>
                <w:sz w:val="24"/>
              </w:rPr>
              <w:t>A</w:t>
            </w:r>
            <w:r>
              <w:rPr>
                <w:i/>
                <w:sz w:val="24"/>
                <w:vertAlign w:val="subscript"/>
              </w:rPr>
              <w:t>div</w:t>
            </w:r>
            <w:r>
              <w:rPr>
                <w:sz w:val="24"/>
              </w:rPr>
              <w:t>—— 声源几何发散引起的声级衰减量，dB(A)；</w:t>
            </w:r>
          </w:p>
          <w:p>
            <w:pPr>
              <w:spacing w:line="460" w:lineRule="exact"/>
              <w:ind w:firstLine="1200" w:firstLineChars="500"/>
              <w:rPr>
                <w:sz w:val="24"/>
              </w:rPr>
            </w:pPr>
            <w:r>
              <w:rPr>
                <w:i/>
                <w:sz w:val="24"/>
              </w:rPr>
              <w:t>A</w:t>
            </w:r>
            <w:r>
              <w:rPr>
                <w:i/>
                <w:sz w:val="24"/>
                <w:vertAlign w:val="subscript"/>
              </w:rPr>
              <w:t>atm</w:t>
            </w:r>
            <w:r>
              <w:rPr>
                <w:sz w:val="24"/>
              </w:rPr>
              <w:t>—— 空气吸引引起的声级衰减量，dB(A)；</w:t>
            </w:r>
          </w:p>
          <w:p>
            <w:pPr>
              <w:spacing w:line="460" w:lineRule="exact"/>
              <w:ind w:firstLine="1200" w:firstLineChars="500"/>
              <w:rPr>
                <w:sz w:val="24"/>
              </w:rPr>
            </w:pPr>
            <w:r>
              <w:rPr>
                <w:i/>
                <w:sz w:val="24"/>
              </w:rPr>
              <w:t>A</w:t>
            </w:r>
            <w:r>
              <w:rPr>
                <w:i/>
                <w:sz w:val="24"/>
                <w:vertAlign w:val="subscript"/>
              </w:rPr>
              <w:t>bar</w:t>
            </w:r>
            <w:r>
              <w:rPr>
                <w:sz w:val="24"/>
              </w:rPr>
              <w:t>——遮挡物引起的声级衰减量，dB(A)；</w:t>
            </w:r>
          </w:p>
          <w:p>
            <w:pPr>
              <w:spacing w:line="460" w:lineRule="exact"/>
              <w:ind w:firstLine="1200" w:firstLineChars="500"/>
              <w:rPr>
                <w:sz w:val="24"/>
              </w:rPr>
            </w:pPr>
            <w:r>
              <w:rPr>
                <w:i/>
                <w:sz w:val="24"/>
              </w:rPr>
              <w:t>A</w:t>
            </w:r>
            <w:r>
              <w:rPr>
                <w:i/>
                <w:sz w:val="24"/>
                <w:vertAlign w:val="subscript"/>
              </w:rPr>
              <w:t>eve</w:t>
            </w:r>
            <w:r>
              <w:rPr>
                <w:sz w:val="24"/>
              </w:rPr>
              <w:t>—— 附加衰减量，dB(A)。</w:t>
            </w:r>
          </w:p>
          <w:p>
            <w:pPr>
              <w:spacing w:line="360" w:lineRule="auto"/>
              <w:ind w:firstLine="480" w:firstLineChars="200"/>
              <w:rPr>
                <w:sz w:val="24"/>
              </w:rPr>
            </w:pPr>
            <w:r>
              <w:rPr>
                <w:sz w:val="24"/>
              </w:rPr>
              <w:t>（</w:t>
            </w:r>
            <w:r>
              <w:rPr>
                <w:rFonts w:hint="eastAsia"/>
                <w:sz w:val="24"/>
              </w:rPr>
              <w:t>2</w:t>
            </w:r>
            <w:r>
              <w:rPr>
                <w:sz w:val="24"/>
              </w:rPr>
              <w:t>）</w:t>
            </w:r>
            <w:r>
              <w:rPr>
                <w:rFonts w:hint="eastAsia"/>
                <w:sz w:val="24"/>
              </w:rPr>
              <w:t>取土区域</w:t>
            </w:r>
            <w:r>
              <w:rPr>
                <w:sz w:val="24"/>
                <w:szCs w:val="24"/>
              </w:rPr>
              <w:t>噪声影响评价</w:t>
            </w:r>
          </w:p>
          <w:p>
            <w:pPr>
              <w:spacing w:line="360" w:lineRule="auto"/>
              <w:ind w:firstLine="480" w:firstLineChars="200"/>
              <w:rPr>
                <w:sz w:val="24"/>
                <w:szCs w:val="24"/>
              </w:rPr>
            </w:pPr>
            <w:r>
              <w:rPr>
                <w:sz w:val="24"/>
                <w:szCs w:val="24"/>
              </w:rPr>
              <w:t>项目</w:t>
            </w:r>
            <w:r>
              <w:rPr>
                <w:rFonts w:hint="eastAsia"/>
                <w:sz w:val="24"/>
                <w:szCs w:val="24"/>
              </w:rPr>
              <w:t>取土区及生产区均采用</w:t>
            </w:r>
            <w:r>
              <w:rPr>
                <w:sz w:val="24"/>
                <w:szCs w:val="24"/>
              </w:rPr>
              <w:t>一班制</w:t>
            </w:r>
            <w:r>
              <w:rPr>
                <w:rFonts w:hint="eastAsia"/>
                <w:sz w:val="24"/>
                <w:szCs w:val="24"/>
              </w:rPr>
              <w:t>，</w:t>
            </w:r>
            <w:r>
              <w:rPr>
                <w:sz w:val="24"/>
                <w:szCs w:val="24"/>
              </w:rPr>
              <w:t>夜间不进行</w:t>
            </w:r>
            <w:r>
              <w:rPr>
                <w:rFonts w:hint="eastAsia"/>
                <w:sz w:val="24"/>
                <w:szCs w:val="24"/>
              </w:rPr>
              <w:t>取土及生产活动</w:t>
            </w:r>
            <w:r>
              <w:rPr>
                <w:sz w:val="24"/>
                <w:szCs w:val="24"/>
              </w:rPr>
              <w:t>，因此</w:t>
            </w:r>
            <w:r>
              <w:rPr>
                <w:rFonts w:hint="eastAsia"/>
                <w:sz w:val="24"/>
                <w:szCs w:val="24"/>
              </w:rPr>
              <w:t>，</w:t>
            </w:r>
            <w:r>
              <w:rPr>
                <w:sz w:val="24"/>
                <w:szCs w:val="24"/>
              </w:rPr>
              <w:t>只预测昼间厂界噪声。</w:t>
            </w:r>
          </w:p>
          <w:p>
            <w:pPr>
              <w:spacing w:line="360" w:lineRule="auto"/>
              <w:ind w:firstLine="480" w:firstLineChars="200"/>
              <w:rPr>
                <w:sz w:val="24"/>
                <w:szCs w:val="24"/>
              </w:rPr>
            </w:pPr>
            <w:r>
              <w:rPr>
                <w:rFonts w:hint="eastAsia"/>
                <w:sz w:val="24"/>
                <w:szCs w:val="24"/>
              </w:rPr>
              <w:t>取土区机械噪声影响预测结果见表</w:t>
            </w:r>
            <w:r>
              <w:rPr>
                <w:sz w:val="24"/>
                <w:szCs w:val="24"/>
              </w:rPr>
              <w:t>4</w:t>
            </w:r>
            <w:r>
              <w:rPr>
                <w:rFonts w:hint="eastAsia"/>
                <w:sz w:val="24"/>
                <w:szCs w:val="24"/>
              </w:rPr>
              <w:t>9。</w:t>
            </w:r>
          </w:p>
          <w:p>
            <w:pPr>
              <w:jc w:val="center"/>
              <w:rPr>
                <w:b/>
                <w:szCs w:val="21"/>
              </w:rPr>
            </w:pPr>
            <w:r>
              <w:rPr>
                <w:rFonts w:hint="eastAsia"/>
                <w:b/>
                <w:szCs w:val="21"/>
              </w:rPr>
              <w:t>表</w:t>
            </w:r>
            <w:r>
              <w:rPr>
                <w:b/>
                <w:szCs w:val="21"/>
              </w:rPr>
              <w:t>4</w:t>
            </w:r>
            <w:r>
              <w:rPr>
                <w:rFonts w:hint="eastAsia"/>
                <w:b/>
                <w:szCs w:val="21"/>
              </w:rPr>
              <w:t>9  取土噪声影响预测结果</w:t>
            </w:r>
          </w:p>
          <w:tbl>
            <w:tblPr>
              <w:tblStyle w:val="24"/>
              <w:tblW w:w="906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880"/>
              <w:gridCol w:w="750"/>
              <w:gridCol w:w="730"/>
              <w:gridCol w:w="751"/>
              <w:gridCol w:w="751"/>
              <w:gridCol w:w="776"/>
              <w:gridCol w:w="770"/>
              <w:gridCol w:w="855"/>
              <w:gridCol w:w="8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933" w:type="dxa"/>
                  <w:vMerge w:val="restart"/>
                  <w:vAlign w:val="center"/>
                </w:tcPr>
                <w:p>
                  <w:pPr>
                    <w:jc w:val="center"/>
                    <w:rPr>
                      <w:szCs w:val="21"/>
                    </w:rPr>
                  </w:pPr>
                  <w:r>
                    <w:rPr>
                      <w:rFonts w:hAnsi="宋体"/>
                      <w:szCs w:val="21"/>
                    </w:rPr>
                    <w:t>设备名称</w:t>
                  </w:r>
                </w:p>
              </w:tc>
              <w:tc>
                <w:tcPr>
                  <w:tcW w:w="5408" w:type="dxa"/>
                  <w:gridSpan w:val="7"/>
                  <w:vAlign w:val="center"/>
                </w:tcPr>
                <w:p>
                  <w:pPr>
                    <w:widowControl/>
                    <w:jc w:val="center"/>
                    <w:rPr>
                      <w:szCs w:val="21"/>
                    </w:rPr>
                  </w:pPr>
                  <w:r>
                    <w:rPr>
                      <w:rFonts w:hAnsi="宋体"/>
                      <w:szCs w:val="21"/>
                    </w:rPr>
                    <w:t>距施工设备距离及监测噪声值（</w:t>
                  </w:r>
                  <w:r>
                    <w:rPr>
                      <w:szCs w:val="21"/>
                    </w:rPr>
                    <w:t>m</w:t>
                  </w:r>
                  <w:r>
                    <w:rPr>
                      <w:rFonts w:hAnsi="宋体"/>
                      <w:szCs w:val="21"/>
                    </w:rPr>
                    <w:t>）</w:t>
                  </w:r>
                </w:p>
              </w:tc>
              <w:tc>
                <w:tcPr>
                  <w:tcW w:w="1719" w:type="dxa"/>
                  <w:gridSpan w:val="2"/>
                  <w:vAlign w:val="center"/>
                </w:tcPr>
                <w:p>
                  <w:pPr>
                    <w:jc w:val="center"/>
                    <w:rPr>
                      <w:szCs w:val="21"/>
                    </w:rPr>
                  </w:pPr>
                  <w:r>
                    <w:rPr>
                      <w:rFonts w:hAnsi="宋体"/>
                      <w:szCs w:val="21"/>
                    </w:rPr>
                    <w:t>标准值</w:t>
                  </w:r>
                  <w:r>
                    <w:rPr>
                      <w:szCs w:val="21"/>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933" w:type="dxa"/>
                  <w:vMerge w:val="continue"/>
                  <w:vAlign w:val="center"/>
                </w:tcPr>
                <w:p>
                  <w:pPr>
                    <w:rPr>
                      <w:szCs w:val="21"/>
                    </w:rPr>
                  </w:pPr>
                </w:p>
              </w:tc>
              <w:tc>
                <w:tcPr>
                  <w:tcW w:w="880" w:type="dxa"/>
                  <w:vAlign w:val="center"/>
                </w:tcPr>
                <w:p>
                  <w:pPr>
                    <w:jc w:val="center"/>
                    <w:rPr>
                      <w:szCs w:val="21"/>
                    </w:rPr>
                  </w:pPr>
                  <w:r>
                    <w:rPr>
                      <w:szCs w:val="21"/>
                    </w:rPr>
                    <w:t>5</w:t>
                  </w:r>
                </w:p>
              </w:tc>
              <w:tc>
                <w:tcPr>
                  <w:tcW w:w="750" w:type="dxa"/>
                  <w:vAlign w:val="center"/>
                </w:tcPr>
                <w:p>
                  <w:pPr>
                    <w:jc w:val="center"/>
                    <w:rPr>
                      <w:szCs w:val="21"/>
                    </w:rPr>
                  </w:pPr>
                  <w:r>
                    <w:rPr>
                      <w:szCs w:val="21"/>
                    </w:rPr>
                    <w:t>10</w:t>
                  </w:r>
                </w:p>
              </w:tc>
              <w:tc>
                <w:tcPr>
                  <w:tcW w:w="730" w:type="dxa"/>
                  <w:vAlign w:val="center"/>
                </w:tcPr>
                <w:p>
                  <w:pPr>
                    <w:jc w:val="center"/>
                    <w:rPr>
                      <w:szCs w:val="21"/>
                    </w:rPr>
                  </w:pPr>
                  <w:r>
                    <w:rPr>
                      <w:szCs w:val="21"/>
                    </w:rPr>
                    <w:t>40</w:t>
                  </w:r>
                </w:p>
              </w:tc>
              <w:tc>
                <w:tcPr>
                  <w:tcW w:w="751" w:type="dxa"/>
                  <w:vAlign w:val="center"/>
                </w:tcPr>
                <w:p>
                  <w:pPr>
                    <w:jc w:val="center"/>
                    <w:rPr>
                      <w:szCs w:val="21"/>
                    </w:rPr>
                  </w:pPr>
                  <w:r>
                    <w:rPr>
                      <w:szCs w:val="21"/>
                    </w:rPr>
                    <w:t>80</w:t>
                  </w:r>
                </w:p>
              </w:tc>
              <w:tc>
                <w:tcPr>
                  <w:tcW w:w="751" w:type="dxa"/>
                  <w:vAlign w:val="center"/>
                </w:tcPr>
                <w:p>
                  <w:pPr>
                    <w:jc w:val="center"/>
                    <w:rPr>
                      <w:szCs w:val="21"/>
                    </w:rPr>
                  </w:pPr>
                  <w:r>
                    <w:rPr>
                      <w:szCs w:val="21"/>
                    </w:rPr>
                    <w:t>100</w:t>
                  </w:r>
                </w:p>
              </w:tc>
              <w:tc>
                <w:tcPr>
                  <w:tcW w:w="776" w:type="dxa"/>
                  <w:vAlign w:val="center"/>
                </w:tcPr>
                <w:p>
                  <w:pPr>
                    <w:jc w:val="center"/>
                    <w:rPr>
                      <w:szCs w:val="21"/>
                    </w:rPr>
                  </w:pPr>
                  <w:r>
                    <w:rPr>
                      <w:szCs w:val="21"/>
                    </w:rPr>
                    <w:t>2</w:t>
                  </w:r>
                  <w:r>
                    <w:rPr>
                      <w:rFonts w:hint="eastAsia"/>
                      <w:szCs w:val="21"/>
                    </w:rPr>
                    <w:t>0</w:t>
                  </w:r>
                  <w:r>
                    <w:rPr>
                      <w:szCs w:val="21"/>
                    </w:rPr>
                    <w:t>0</w:t>
                  </w:r>
                </w:p>
              </w:tc>
              <w:tc>
                <w:tcPr>
                  <w:tcW w:w="770" w:type="dxa"/>
                  <w:vAlign w:val="center"/>
                </w:tcPr>
                <w:p>
                  <w:pPr>
                    <w:widowControl/>
                    <w:jc w:val="center"/>
                    <w:rPr>
                      <w:szCs w:val="21"/>
                    </w:rPr>
                  </w:pPr>
                  <w:r>
                    <w:rPr>
                      <w:rFonts w:hint="eastAsia"/>
                      <w:szCs w:val="21"/>
                    </w:rPr>
                    <w:t>280</w:t>
                  </w:r>
                </w:p>
              </w:tc>
              <w:tc>
                <w:tcPr>
                  <w:tcW w:w="855" w:type="dxa"/>
                  <w:vAlign w:val="center"/>
                </w:tcPr>
                <w:p>
                  <w:pPr>
                    <w:jc w:val="center"/>
                    <w:rPr>
                      <w:szCs w:val="21"/>
                    </w:rPr>
                  </w:pPr>
                  <w:r>
                    <w:rPr>
                      <w:rFonts w:hAnsi="宋体"/>
                      <w:szCs w:val="21"/>
                    </w:rPr>
                    <w:t>昼间</w:t>
                  </w:r>
                </w:p>
              </w:tc>
              <w:tc>
                <w:tcPr>
                  <w:tcW w:w="864" w:type="dxa"/>
                  <w:vAlign w:val="center"/>
                </w:tcPr>
                <w:p>
                  <w:pPr>
                    <w:widowControl/>
                    <w:jc w:val="center"/>
                    <w:rPr>
                      <w:szCs w:val="21"/>
                    </w:rPr>
                  </w:pPr>
                  <w:r>
                    <w:rPr>
                      <w:rFonts w:hAnsi="宋体"/>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933" w:type="dxa"/>
                  <w:vAlign w:val="center"/>
                </w:tcPr>
                <w:p>
                  <w:pPr>
                    <w:pStyle w:val="11"/>
                    <w:spacing w:line="280" w:lineRule="exact"/>
                    <w:ind w:firstLine="0"/>
                    <w:jc w:val="center"/>
                    <w:rPr>
                      <w:kern w:val="2"/>
                      <w:sz w:val="21"/>
                      <w:szCs w:val="21"/>
                      <w:lang w:val="en-US"/>
                    </w:rPr>
                  </w:pPr>
                  <w:r>
                    <w:rPr>
                      <w:rFonts w:hAnsi="宋体"/>
                      <w:kern w:val="2"/>
                      <w:sz w:val="21"/>
                      <w:szCs w:val="21"/>
                      <w:lang w:val="en-US"/>
                    </w:rPr>
                    <w:t>推土机</w:t>
                  </w:r>
                </w:p>
              </w:tc>
              <w:tc>
                <w:tcPr>
                  <w:tcW w:w="880" w:type="dxa"/>
                  <w:vAlign w:val="center"/>
                </w:tcPr>
                <w:p>
                  <w:pPr>
                    <w:jc w:val="center"/>
                    <w:rPr>
                      <w:szCs w:val="21"/>
                    </w:rPr>
                  </w:pPr>
                  <w:r>
                    <w:rPr>
                      <w:szCs w:val="21"/>
                    </w:rPr>
                    <w:t>90</w:t>
                  </w:r>
                </w:p>
              </w:tc>
              <w:tc>
                <w:tcPr>
                  <w:tcW w:w="750" w:type="dxa"/>
                  <w:vAlign w:val="center"/>
                </w:tcPr>
                <w:p>
                  <w:pPr>
                    <w:jc w:val="center"/>
                    <w:rPr>
                      <w:szCs w:val="21"/>
                    </w:rPr>
                  </w:pPr>
                  <w:r>
                    <w:rPr>
                      <w:szCs w:val="21"/>
                    </w:rPr>
                    <w:t>84</w:t>
                  </w:r>
                </w:p>
              </w:tc>
              <w:tc>
                <w:tcPr>
                  <w:tcW w:w="730" w:type="dxa"/>
                  <w:vAlign w:val="center"/>
                </w:tcPr>
                <w:p>
                  <w:pPr>
                    <w:jc w:val="center"/>
                    <w:rPr>
                      <w:szCs w:val="21"/>
                    </w:rPr>
                  </w:pPr>
                  <w:r>
                    <w:rPr>
                      <w:szCs w:val="21"/>
                    </w:rPr>
                    <w:t>72</w:t>
                  </w:r>
                </w:p>
              </w:tc>
              <w:tc>
                <w:tcPr>
                  <w:tcW w:w="751" w:type="dxa"/>
                  <w:vAlign w:val="center"/>
                </w:tcPr>
                <w:p>
                  <w:pPr>
                    <w:jc w:val="center"/>
                    <w:rPr>
                      <w:szCs w:val="21"/>
                    </w:rPr>
                  </w:pPr>
                  <w:r>
                    <w:rPr>
                      <w:szCs w:val="21"/>
                    </w:rPr>
                    <w:t>66</w:t>
                  </w:r>
                </w:p>
              </w:tc>
              <w:tc>
                <w:tcPr>
                  <w:tcW w:w="751" w:type="dxa"/>
                  <w:vAlign w:val="center"/>
                </w:tcPr>
                <w:p>
                  <w:pPr>
                    <w:jc w:val="center"/>
                    <w:rPr>
                      <w:szCs w:val="21"/>
                    </w:rPr>
                  </w:pPr>
                  <w:r>
                    <w:rPr>
                      <w:szCs w:val="21"/>
                    </w:rPr>
                    <w:t>6</w:t>
                  </w:r>
                  <w:r>
                    <w:rPr>
                      <w:rFonts w:hint="eastAsia"/>
                      <w:szCs w:val="21"/>
                    </w:rPr>
                    <w:t>2</w:t>
                  </w:r>
                </w:p>
              </w:tc>
              <w:tc>
                <w:tcPr>
                  <w:tcW w:w="776" w:type="dxa"/>
                  <w:vAlign w:val="center"/>
                </w:tcPr>
                <w:p>
                  <w:pPr>
                    <w:jc w:val="center"/>
                    <w:rPr>
                      <w:szCs w:val="21"/>
                    </w:rPr>
                  </w:pPr>
                  <w:r>
                    <w:rPr>
                      <w:szCs w:val="21"/>
                    </w:rPr>
                    <w:t>5</w:t>
                  </w:r>
                  <w:r>
                    <w:rPr>
                      <w:rFonts w:hint="eastAsia"/>
                      <w:szCs w:val="21"/>
                    </w:rPr>
                    <w:t>8</w:t>
                  </w:r>
                </w:p>
              </w:tc>
              <w:tc>
                <w:tcPr>
                  <w:tcW w:w="770" w:type="dxa"/>
                  <w:vAlign w:val="center"/>
                </w:tcPr>
                <w:p>
                  <w:pPr>
                    <w:jc w:val="center"/>
                    <w:rPr>
                      <w:szCs w:val="21"/>
                    </w:rPr>
                  </w:pPr>
                  <w:r>
                    <w:rPr>
                      <w:rFonts w:hint="eastAsia"/>
                      <w:szCs w:val="21"/>
                    </w:rPr>
                    <w:t>55</w:t>
                  </w:r>
                </w:p>
              </w:tc>
              <w:tc>
                <w:tcPr>
                  <w:tcW w:w="855" w:type="dxa"/>
                  <w:vMerge w:val="restart"/>
                  <w:vAlign w:val="center"/>
                </w:tcPr>
                <w:p>
                  <w:pPr>
                    <w:widowControl/>
                    <w:jc w:val="center"/>
                    <w:rPr>
                      <w:szCs w:val="21"/>
                    </w:rPr>
                  </w:pPr>
                  <w:r>
                    <w:rPr>
                      <w:szCs w:val="21"/>
                    </w:rPr>
                    <w:t>60</w:t>
                  </w:r>
                </w:p>
              </w:tc>
              <w:tc>
                <w:tcPr>
                  <w:tcW w:w="864" w:type="dxa"/>
                  <w:vMerge w:val="restart"/>
                  <w:vAlign w:val="center"/>
                </w:tcPr>
                <w:p>
                  <w:pPr>
                    <w:jc w:val="center"/>
                    <w:rPr>
                      <w:szCs w:val="21"/>
                    </w:rPr>
                  </w:pPr>
                  <w:r>
                    <w:rPr>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933" w:type="dxa"/>
                  <w:vAlign w:val="center"/>
                </w:tcPr>
                <w:p>
                  <w:pPr>
                    <w:pStyle w:val="11"/>
                    <w:spacing w:line="280" w:lineRule="exact"/>
                    <w:ind w:firstLine="0"/>
                    <w:jc w:val="center"/>
                    <w:rPr>
                      <w:kern w:val="2"/>
                      <w:sz w:val="21"/>
                      <w:szCs w:val="21"/>
                      <w:lang w:val="en-US"/>
                    </w:rPr>
                  </w:pPr>
                  <w:r>
                    <w:rPr>
                      <w:rFonts w:hAnsi="宋体"/>
                      <w:kern w:val="2"/>
                      <w:sz w:val="21"/>
                      <w:szCs w:val="21"/>
                      <w:lang w:val="en-US"/>
                    </w:rPr>
                    <w:t>装载机</w:t>
                  </w:r>
                </w:p>
              </w:tc>
              <w:tc>
                <w:tcPr>
                  <w:tcW w:w="880" w:type="dxa"/>
                  <w:vAlign w:val="center"/>
                </w:tcPr>
                <w:p>
                  <w:pPr>
                    <w:jc w:val="center"/>
                    <w:rPr>
                      <w:szCs w:val="21"/>
                    </w:rPr>
                  </w:pPr>
                  <w:r>
                    <w:rPr>
                      <w:szCs w:val="21"/>
                    </w:rPr>
                    <w:t>89</w:t>
                  </w:r>
                </w:p>
              </w:tc>
              <w:tc>
                <w:tcPr>
                  <w:tcW w:w="750" w:type="dxa"/>
                  <w:vAlign w:val="center"/>
                </w:tcPr>
                <w:p>
                  <w:pPr>
                    <w:jc w:val="center"/>
                    <w:rPr>
                      <w:szCs w:val="21"/>
                    </w:rPr>
                  </w:pPr>
                  <w:r>
                    <w:rPr>
                      <w:szCs w:val="21"/>
                    </w:rPr>
                    <w:t>83</w:t>
                  </w:r>
                </w:p>
              </w:tc>
              <w:tc>
                <w:tcPr>
                  <w:tcW w:w="730" w:type="dxa"/>
                  <w:vAlign w:val="center"/>
                </w:tcPr>
                <w:p>
                  <w:pPr>
                    <w:jc w:val="center"/>
                    <w:rPr>
                      <w:szCs w:val="21"/>
                    </w:rPr>
                  </w:pPr>
                  <w:r>
                    <w:rPr>
                      <w:szCs w:val="21"/>
                    </w:rPr>
                    <w:t>71</w:t>
                  </w:r>
                </w:p>
              </w:tc>
              <w:tc>
                <w:tcPr>
                  <w:tcW w:w="751" w:type="dxa"/>
                  <w:vAlign w:val="center"/>
                </w:tcPr>
                <w:p>
                  <w:pPr>
                    <w:jc w:val="center"/>
                    <w:rPr>
                      <w:szCs w:val="21"/>
                    </w:rPr>
                  </w:pPr>
                  <w:r>
                    <w:rPr>
                      <w:szCs w:val="21"/>
                    </w:rPr>
                    <w:t>65</w:t>
                  </w:r>
                </w:p>
              </w:tc>
              <w:tc>
                <w:tcPr>
                  <w:tcW w:w="751" w:type="dxa"/>
                  <w:vAlign w:val="center"/>
                </w:tcPr>
                <w:p>
                  <w:pPr>
                    <w:jc w:val="center"/>
                    <w:rPr>
                      <w:szCs w:val="21"/>
                    </w:rPr>
                  </w:pPr>
                  <w:r>
                    <w:rPr>
                      <w:szCs w:val="21"/>
                    </w:rPr>
                    <w:t>63</w:t>
                  </w:r>
                </w:p>
              </w:tc>
              <w:tc>
                <w:tcPr>
                  <w:tcW w:w="776" w:type="dxa"/>
                  <w:vAlign w:val="center"/>
                </w:tcPr>
                <w:p>
                  <w:pPr>
                    <w:jc w:val="center"/>
                    <w:rPr>
                      <w:szCs w:val="21"/>
                    </w:rPr>
                  </w:pPr>
                  <w:r>
                    <w:rPr>
                      <w:szCs w:val="21"/>
                    </w:rPr>
                    <w:t>57</w:t>
                  </w:r>
                </w:p>
              </w:tc>
              <w:tc>
                <w:tcPr>
                  <w:tcW w:w="770" w:type="dxa"/>
                  <w:vAlign w:val="center"/>
                </w:tcPr>
                <w:p>
                  <w:pPr>
                    <w:jc w:val="center"/>
                    <w:rPr>
                      <w:szCs w:val="21"/>
                    </w:rPr>
                  </w:pPr>
                  <w:r>
                    <w:rPr>
                      <w:rFonts w:hint="eastAsia"/>
                      <w:szCs w:val="21"/>
                    </w:rPr>
                    <w:t>54</w:t>
                  </w:r>
                </w:p>
              </w:tc>
              <w:tc>
                <w:tcPr>
                  <w:tcW w:w="855" w:type="dxa"/>
                  <w:vMerge w:val="continue"/>
                  <w:vAlign w:val="center"/>
                </w:tcPr>
                <w:p>
                  <w:pPr>
                    <w:widowControl/>
                    <w:jc w:val="center"/>
                    <w:rPr>
                      <w:b/>
                      <w:szCs w:val="21"/>
                    </w:rPr>
                  </w:pPr>
                </w:p>
              </w:tc>
              <w:tc>
                <w:tcPr>
                  <w:tcW w:w="864"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933" w:type="dxa"/>
                  <w:vAlign w:val="center"/>
                </w:tcPr>
                <w:p>
                  <w:pPr>
                    <w:pStyle w:val="11"/>
                    <w:spacing w:line="280" w:lineRule="exact"/>
                    <w:ind w:firstLine="0"/>
                    <w:jc w:val="center"/>
                    <w:rPr>
                      <w:kern w:val="2"/>
                      <w:sz w:val="21"/>
                      <w:szCs w:val="21"/>
                      <w:lang w:val="en-US"/>
                    </w:rPr>
                  </w:pPr>
                  <w:r>
                    <w:rPr>
                      <w:rFonts w:hAnsi="宋体"/>
                      <w:kern w:val="2"/>
                      <w:sz w:val="21"/>
                      <w:szCs w:val="21"/>
                      <w:lang w:val="en-US"/>
                    </w:rPr>
                    <w:t>挖掘机</w:t>
                  </w:r>
                </w:p>
              </w:tc>
              <w:tc>
                <w:tcPr>
                  <w:tcW w:w="880" w:type="dxa"/>
                  <w:vAlign w:val="center"/>
                </w:tcPr>
                <w:p>
                  <w:pPr>
                    <w:jc w:val="center"/>
                    <w:rPr>
                      <w:szCs w:val="21"/>
                    </w:rPr>
                  </w:pPr>
                  <w:r>
                    <w:rPr>
                      <w:szCs w:val="21"/>
                    </w:rPr>
                    <w:t>9</w:t>
                  </w:r>
                  <w:r>
                    <w:rPr>
                      <w:rFonts w:hint="eastAsia"/>
                      <w:szCs w:val="21"/>
                    </w:rPr>
                    <w:t>0</w:t>
                  </w:r>
                </w:p>
              </w:tc>
              <w:tc>
                <w:tcPr>
                  <w:tcW w:w="750" w:type="dxa"/>
                  <w:vAlign w:val="center"/>
                </w:tcPr>
                <w:p>
                  <w:pPr>
                    <w:jc w:val="center"/>
                    <w:rPr>
                      <w:szCs w:val="21"/>
                    </w:rPr>
                  </w:pPr>
                  <w:r>
                    <w:rPr>
                      <w:szCs w:val="21"/>
                    </w:rPr>
                    <w:t>85</w:t>
                  </w:r>
                </w:p>
              </w:tc>
              <w:tc>
                <w:tcPr>
                  <w:tcW w:w="730" w:type="dxa"/>
                  <w:vAlign w:val="center"/>
                </w:tcPr>
                <w:p>
                  <w:pPr>
                    <w:jc w:val="center"/>
                    <w:rPr>
                      <w:szCs w:val="21"/>
                    </w:rPr>
                  </w:pPr>
                  <w:r>
                    <w:rPr>
                      <w:szCs w:val="21"/>
                    </w:rPr>
                    <w:t>73</w:t>
                  </w:r>
                </w:p>
              </w:tc>
              <w:tc>
                <w:tcPr>
                  <w:tcW w:w="751" w:type="dxa"/>
                  <w:vAlign w:val="center"/>
                </w:tcPr>
                <w:p>
                  <w:pPr>
                    <w:jc w:val="center"/>
                    <w:rPr>
                      <w:szCs w:val="21"/>
                    </w:rPr>
                  </w:pPr>
                  <w:r>
                    <w:rPr>
                      <w:rFonts w:hint="eastAsia"/>
                      <w:szCs w:val="21"/>
                    </w:rPr>
                    <w:t>68</w:t>
                  </w:r>
                </w:p>
              </w:tc>
              <w:tc>
                <w:tcPr>
                  <w:tcW w:w="751" w:type="dxa"/>
                  <w:vAlign w:val="center"/>
                </w:tcPr>
                <w:p>
                  <w:pPr>
                    <w:jc w:val="center"/>
                    <w:rPr>
                      <w:szCs w:val="21"/>
                    </w:rPr>
                  </w:pPr>
                  <w:r>
                    <w:rPr>
                      <w:szCs w:val="21"/>
                    </w:rPr>
                    <w:t>65</w:t>
                  </w:r>
                </w:p>
              </w:tc>
              <w:tc>
                <w:tcPr>
                  <w:tcW w:w="776" w:type="dxa"/>
                  <w:vAlign w:val="center"/>
                </w:tcPr>
                <w:p>
                  <w:pPr>
                    <w:jc w:val="center"/>
                    <w:rPr>
                      <w:szCs w:val="21"/>
                    </w:rPr>
                  </w:pPr>
                  <w:r>
                    <w:rPr>
                      <w:szCs w:val="21"/>
                    </w:rPr>
                    <w:t>59</w:t>
                  </w:r>
                </w:p>
              </w:tc>
              <w:tc>
                <w:tcPr>
                  <w:tcW w:w="770" w:type="dxa"/>
                  <w:vAlign w:val="center"/>
                </w:tcPr>
                <w:p>
                  <w:pPr>
                    <w:jc w:val="center"/>
                    <w:rPr>
                      <w:szCs w:val="21"/>
                    </w:rPr>
                  </w:pPr>
                  <w:r>
                    <w:rPr>
                      <w:rFonts w:hint="eastAsia"/>
                      <w:szCs w:val="21"/>
                    </w:rPr>
                    <w:t>56</w:t>
                  </w:r>
                </w:p>
              </w:tc>
              <w:tc>
                <w:tcPr>
                  <w:tcW w:w="855" w:type="dxa"/>
                  <w:vMerge w:val="continue"/>
                  <w:vAlign w:val="center"/>
                </w:tcPr>
                <w:p>
                  <w:pPr>
                    <w:widowControl/>
                    <w:jc w:val="center"/>
                    <w:rPr>
                      <w:szCs w:val="21"/>
                    </w:rPr>
                  </w:pPr>
                </w:p>
              </w:tc>
              <w:tc>
                <w:tcPr>
                  <w:tcW w:w="864" w:type="dxa"/>
                  <w:vMerge w:val="continue"/>
                  <w:vAlign w:val="center"/>
                </w:tcPr>
                <w:p>
                  <w:pPr>
                    <w:jc w:val="center"/>
                    <w:rPr>
                      <w:szCs w:val="21"/>
                    </w:rPr>
                  </w:pPr>
                </w:p>
              </w:tc>
            </w:tr>
          </w:tbl>
          <w:p>
            <w:pPr>
              <w:spacing w:line="360" w:lineRule="auto"/>
              <w:ind w:firstLine="480" w:firstLineChars="200"/>
              <w:rPr>
                <w:sz w:val="24"/>
                <w:szCs w:val="24"/>
              </w:rPr>
            </w:pPr>
            <w:r>
              <w:rPr>
                <w:sz w:val="24"/>
                <w:szCs w:val="24"/>
              </w:rPr>
              <w:t>由</w:t>
            </w:r>
            <w:r>
              <w:rPr>
                <w:rFonts w:hint="eastAsia"/>
                <w:sz w:val="24"/>
                <w:szCs w:val="24"/>
              </w:rPr>
              <w:t>上表</w:t>
            </w:r>
            <w:r>
              <w:rPr>
                <w:sz w:val="24"/>
                <w:szCs w:val="24"/>
              </w:rPr>
              <w:t>可知，项目</w:t>
            </w:r>
            <w:r>
              <w:rPr>
                <w:rFonts w:hint="eastAsia"/>
                <w:sz w:val="24"/>
                <w:szCs w:val="24"/>
              </w:rPr>
              <w:t>取土区，</w:t>
            </w:r>
            <w:r>
              <w:rPr>
                <w:sz w:val="24"/>
                <w:szCs w:val="24"/>
              </w:rPr>
              <w:t>昼</w:t>
            </w:r>
            <w:r>
              <w:rPr>
                <w:rFonts w:hint="eastAsia"/>
                <w:sz w:val="24"/>
                <w:szCs w:val="24"/>
              </w:rPr>
              <w:t>间</w:t>
            </w:r>
            <w:r>
              <w:rPr>
                <w:sz w:val="24"/>
                <w:szCs w:val="24"/>
              </w:rPr>
              <w:t>噪声</w:t>
            </w:r>
            <w:r>
              <w:rPr>
                <w:rFonts w:hint="eastAsia"/>
                <w:sz w:val="24"/>
                <w:szCs w:val="24"/>
              </w:rPr>
              <w:t>在</w:t>
            </w:r>
            <w:r>
              <w:rPr>
                <w:sz w:val="24"/>
                <w:szCs w:val="24"/>
              </w:rPr>
              <w:t>15</w:t>
            </w:r>
            <w:r>
              <w:rPr>
                <w:rFonts w:hint="eastAsia"/>
                <w:sz w:val="24"/>
                <w:szCs w:val="24"/>
              </w:rPr>
              <w:t>0m处满足</w:t>
            </w:r>
            <w:r>
              <w:rPr>
                <w:sz w:val="24"/>
                <w:szCs w:val="24"/>
              </w:rPr>
              <w:t>《工业企业厂界环境噪声排放标准》</w:t>
            </w:r>
            <w:r>
              <w:rPr>
                <w:rFonts w:hint="eastAsia"/>
                <w:sz w:val="24"/>
                <w:szCs w:val="24"/>
              </w:rPr>
              <w:t>（</w:t>
            </w:r>
            <w:r>
              <w:rPr>
                <w:sz w:val="24"/>
                <w:szCs w:val="24"/>
              </w:rPr>
              <w:t>GB12348-2008</w:t>
            </w:r>
            <w:r>
              <w:rPr>
                <w:rFonts w:hint="eastAsia"/>
                <w:sz w:val="24"/>
                <w:szCs w:val="24"/>
              </w:rPr>
              <w:t>）</w:t>
            </w:r>
            <w:r>
              <w:rPr>
                <w:sz w:val="24"/>
                <w:szCs w:val="24"/>
              </w:rPr>
              <w:t>中的</w:t>
            </w:r>
            <w:r>
              <w:rPr>
                <w:rFonts w:hint="eastAsia"/>
                <w:sz w:val="24"/>
                <w:szCs w:val="24"/>
              </w:rPr>
              <w:t>2</w:t>
            </w:r>
            <w:r>
              <w:rPr>
                <w:sz w:val="24"/>
                <w:szCs w:val="24"/>
              </w:rPr>
              <w:t>类标准。</w:t>
            </w:r>
            <w:r>
              <w:rPr>
                <w:rFonts w:hint="eastAsia"/>
                <w:sz w:val="24"/>
                <w:szCs w:val="24"/>
              </w:rPr>
              <w:t>项目取土场临近蚕姑沟村，取土作业可能对蚕姑沟村产生不利影响。因此，评价要求企业在取土场靠近村庄一侧建设硬质墙体，同时，禁止在居民休息时段在靠近村庄一侧取土作业。</w:t>
            </w:r>
          </w:p>
          <w:p>
            <w:pPr>
              <w:spacing w:line="360" w:lineRule="auto"/>
              <w:ind w:firstLine="480" w:firstLineChars="200"/>
              <w:rPr>
                <w:sz w:val="24"/>
              </w:rPr>
            </w:pPr>
            <w:r>
              <w:rPr>
                <w:sz w:val="24"/>
              </w:rPr>
              <w:t>（</w:t>
            </w:r>
            <w:r>
              <w:rPr>
                <w:rFonts w:hint="eastAsia"/>
                <w:sz w:val="24"/>
              </w:rPr>
              <w:t>3</w:t>
            </w:r>
            <w:r>
              <w:rPr>
                <w:sz w:val="24"/>
              </w:rPr>
              <w:t>）</w:t>
            </w:r>
            <w:r>
              <w:rPr>
                <w:rFonts w:hint="eastAsia"/>
                <w:sz w:val="24"/>
              </w:rPr>
              <w:t>生产区</w:t>
            </w:r>
            <w:r>
              <w:rPr>
                <w:sz w:val="24"/>
                <w:szCs w:val="24"/>
              </w:rPr>
              <w:t>噪声影响评价</w:t>
            </w:r>
          </w:p>
          <w:p>
            <w:pPr>
              <w:spacing w:line="360" w:lineRule="auto"/>
              <w:ind w:firstLine="480" w:firstLineChars="200"/>
              <w:rPr>
                <w:sz w:val="24"/>
              </w:rPr>
            </w:pPr>
            <w:r>
              <w:rPr>
                <w:sz w:val="24"/>
              </w:rPr>
              <w:t>利用预测模式，可以模拟预测建设项目</w:t>
            </w:r>
            <w:r>
              <w:rPr>
                <w:rFonts w:hint="eastAsia"/>
                <w:sz w:val="24"/>
              </w:rPr>
              <w:t>生产期间</w:t>
            </w:r>
            <w:r>
              <w:rPr>
                <w:sz w:val="24"/>
              </w:rPr>
              <w:t>主要噪声源同时产生作用情况下对建设项目所在地周围边界的环境质量可能带来的最为严重的影响情况，具体预测结果见表</w:t>
            </w:r>
            <w:r>
              <w:rPr>
                <w:rFonts w:hint="eastAsia"/>
                <w:sz w:val="24"/>
              </w:rPr>
              <w:t>50</w:t>
            </w:r>
            <w:r>
              <w:rPr>
                <w:sz w:val="24"/>
              </w:rPr>
              <w:t>。</w:t>
            </w:r>
          </w:p>
          <w:p>
            <w:pPr>
              <w:pStyle w:val="109"/>
              <w:spacing w:before="156" w:line="360" w:lineRule="auto"/>
              <w:rPr>
                <w:rFonts w:ascii="Times New Roman" w:hAnsi="Times New Roman"/>
                <w:sz w:val="21"/>
                <w:szCs w:val="21"/>
              </w:rPr>
            </w:pPr>
            <w:r>
              <w:rPr>
                <w:rFonts w:ascii="Times New Roman" w:hAnsi="Times New Roman"/>
                <w:sz w:val="21"/>
                <w:szCs w:val="21"/>
              </w:rPr>
              <w:t>表</w:t>
            </w:r>
            <w:r>
              <w:rPr>
                <w:rFonts w:hint="eastAsia" w:ascii="Times New Roman" w:hAnsi="Times New Roman"/>
                <w:sz w:val="21"/>
                <w:szCs w:val="21"/>
              </w:rPr>
              <w:t>50</w:t>
            </w:r>
            <w:r>
              <w:rPr>
                <w:rFonts w:ascii="Times New Roman" w:hAnsi="Times New Roman"/>
                <w:sz w:val="21"/>
                <w:szCs w:val="21"/>
              </w:rPr>
              <w:t xml:space="preserve">  厂界噪声预测结果单位dB(A)</w:t>
            </w:r>
          </w:p>
          <w:tbl>
            <w:tblPr>
              <w:tblStyle w:val="24"/>
              <w:tblW w:w="8695"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141"/>
              <w:gridCol w:w="2278"/>
              <w:gridCol w:w="2065"/>
              <w:gridCol w:w="1701"/>
              <w:gridCol w:w="151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176" w:hRule="atLeast"/>
                <w:jc w:val="center"/>
              </w:trPr>
              <w:tc>
                <w:tcPr>
                  <w:tcW w:w="1141" w:type="dxa"/>
                  <w:vMerge w:val="restart"/>
                  <w:vAlign w:val="center"/>
                </w:tcPr>
                <w:p>
                  <w:pPr>
                    <w:jc w:val="center"/>
                    <w:rPr>
                      <w:szCs w:val="21"/>
                    </w:rPr>
                  </w:pPr>
                  <w:r>
                    <w:rPr>
                      <w:szCs w:val="21"/>
                    </w:rPr>
                    <w:t>序号</w:t>
                  </w:r>
                </w:p>
              </w:tc>
              <w:tc>
                <w:tcPr>
                  <w:tcW w:w="2278" w:type="dxa"/>
                  <w:vMerge w:val="restart"/>
                  <w:vAlign w:val="center"/>
                </w:tcPr>
                <w:p>
                  <w:pPr>
                    <w:jc w:val="center"/>
                    <w:rPr>
                      <w:szCs w:val="21"/>
                    </w:rPr>
                  </w:pPr>
                  <w:r>
                    <w:rPr>
                      <w:szCs w:val="21"/>
                    </w:rPr>
                    <w:t>位置</w:t>
                  </w:r>
                </w:p>
              </w:tc>
              <w:tc>
                <w:tcPr>
                  <w:tcW w:w="2065" w:type="dxa"/>
                  <w:vMerge w:val="restart"/>
                  <w:vAlign w:val="center"/>
                </w:tcPr>
                <w:p>
                  <w:pPr>
                    <w:jc w:val="center"/>
                    <w:rPr>
                      <w:szCs w:val="21"/>
                    </w:rPr>
                  </w:pPr>
                  <w:r>
                    <w:rPr>
                      <w:szCs w:val="21"/>
                    </w:rPr>
                    <w:t>贡献值</w:t>
                  </w:r>
                </w:p>
              </w:tc>
              <w:tc>
                <w:tcPr>
                  <w:tcW w:w="3211" w:type="dxa"/>
                  <w:gridSpan w:val="2"/>
                  <w:vAlign w:val="center"/>
                </w:tcPr>
                <w:p>
                  <w:pPr>
                    <w:jc w:val="center"/>
                    <w:rPr>
                      <w:szCs w:val="21"/>
                    </w:rPr>
                  </w:pPr>
                  <w:r>
                    <w:rPr>
                      <w:szCs w:val="21"/>
                    </w:rPr>
                    <w:t>标准值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132" w:hRule="atLeast"/>
                <w:jc w:val="center"/>
              </w:trPr>
              <w:tc>
                <w:tcPr>
                  <w:tcW w:w="1141" w:type="dxa"/>
                  <w:vMerge w:val="continue"/>
                  <w:vAlign w:val="center"/>
                </w:tcPr>
                <w:p>
                  <w:pPr>
                    <w:jc w:val="center"/>
                    <w:rPr>
                      <w:szCs w:val="21"/>
                    </w:rPr>
                  </w:pPr>
                </w:p>
              </w:tc>
              <w:tc>
                <w:tcPr>
                  <w:tcW w:w="2278" w:type="dxa"/>
                  <w:vMerge w:val="continue"/>
                  <w:vAlign w:val="center"/>
                </w:tcPr>
                <w:p>
                  <w:pPr>
                    <w:jc w:val="center"/>
                    <w:rPr>
                      <w:szCs w:val="21"/>
                    </w:rPr>
                  </w:pPr>
                </w:p>
              </w:tc>
              <w:tc>
                <w:tcPr>
                  <w:tcW w:w="2065" w:type="dxa"/>
                  <w:vMerge w:val="continue"/>
                  <w:vAlign w:val="center"/>
                </w:tcPr>
                <w:p>
                  <w:pPr>
                    <w:jc w:val="center"/>
                    <w:rPr>
                      <w:szCs w:val="21"/>
                    </w:rPr>
                  </w:pPr>
                </w:p>
              </w:tc>
              <w:tc>
                <w:tcPr>
                  <w:tcW w:w="1701" w:type="dxa"/>
                  <w:vAlign w:val="center"/>
                </w:tcPr>
                <w:p>
                  <w:pPr>
                    <w:jc w:val="center"/>
                    <w:rPr>
                      <w:szCs w:val="21"/>
                    </w:rPr>
                  </w:pPr>
                  <w:r>
                    <w:rPr>
                      <w:szCs w:val="21"/>
                    </w:rPr>
                    <w:t>昼间</w:t>
                  </w:r>
                </w:p>
              </w:tc>
              <w:tc>
                <w:tcPr>
                  <w:tcW w:w="1510" w:type="dxa"/>
                  <w:vAlign w:val="center"/>
                </w:tcPr>
                <w:p>
                  <w:pPr>
                    <w:jc w:val="center"/>
                    <w:rPr>
                      <w:szCs w:val="21"/>
                    </w:rPr>
                  </w:pPr>
                  <w:r>
                    <w:rPr>
                      <w:szCs w:val="21"/>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60" w:hRule="exact"/>
                <w:jc w:val="center"/>
              </w:trPr>
              <w:tc>
                <w:tcPr>
                  <w:tcW w:w="1141" w:type="dxa"/>
                  <w:vAlign w:val="center"/>
                </w:tcPr>
                <w:p>
                  <w:pPr>
                    <w:jc w:val="center"/>
                    <w:rPr>
                      <w:szCs w:val="21"/>
                    </w:rPr>
                  </w:pPr>
                  <w:r>
                    <w:rPr>
                      <w:szCs w:val="21"/>
                    </w:rPr>
                    <w:t>1</w:t>
                  </w:r>
                </w:p>
              </w:tc>
              <w:tc>
                <w:tcPr>
                  <w:tcW w:w="2278" w:type="dxa"/>
                  <w:vAlign w:val="center"/>
                </w:tcPr>
                <w:p>
                  <w:pPr>
                    <w:jc w:val="center"/>
                    <w:rPr>
                      <w:szCs w:val="21"/>
                    </w:rPr>
                  </w:pPr>
                  <w:r>
                    <w:rPr>
                      <w:szCs w:val="21"/>
                    </w:rPr>
                    <w:t>东厂界</w:t>
                  </w:r>
                </w:p>
              </w:tc>
              <w:tc>
                <w:tcPr>
                  <w:tcW w:w="2065" w:type="dxa"/>
                  <w:vAlign w:val="center"/>
                </w:tcPr>
                <w:p>
                  <w:pPr>
                    <w:jc w:val="center"/>
                    <w:rPr>
                      <w:sz w:val="24"/>
                      <w:szCs w:val="24"/>
                    </w:rPr>
                  </w:pPr>
                  <w:r>
                    <w:rPr>
                      <w:rFonts w:hint="eastAsia"/>
                      <w:sz w:val="24"/>
                      <w:szCs w:val="24"/>
                    </w:rPr>
                    <w:t>41.6</w:t>
                  </w:r>
                </w:p>
              </w:tc>
              <w:tc>
                <w:tcPr>
                  <w:tcW w:w="1701" w:type="dxa"/>
                  <w:vAlign w:val="center"/>
                </w:tcPr>
                <w:p>
                  <w:pPr>
                    <w:jc w:val="center"/>
                    <w:rPr>
                      <w:szCs w:val="21"/>
                    </w:rPr>
                  </w:pPr>
                  <w:r>
                    <w:rPr>
                      <w:szCs w:val="21"/>
                    </w:rPr>
                    <w:t>60</w:t>
                  </w:r>
                </w:p>
              </w:tc>
              <w:tc>
                <w:tcPr>
                  <w:tcW w:w="1510" w:type="dxa"/>
                  <w:vAlign w:val="center"/>
                </w:tcPr>
                <w:p>
                  <w:pPr>
                    <w:jc w:val="center"/>
                    <w:rPr>
                      <w:szCs w:val="21"/>
                    </w:rPr>
                  </w:pPr>
                  <w:r>
                    <w:rPr>
                      <w:szCs w:val="21"/>
                    </w:rPr>
                    <w:t>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60" w:hRule="exact"/>
                <w:jc w:val="center"/>
              </w:trPr>
              <w:tc>
                <w:tcPr>
                  <w:tcW w:w="1141" w:type="dxa"/>
                  <w:vAlign w:val="center"/>
                </w:tcPr>
                <w:p>
                  <w:pPr>
                    <w:jc w:val="center"/>
                    <w:rPr>
                      <w:szCs w:val="21"/>
                    </w:rPr>
                  </w:pPr>
                  <w:r>
                    <w:rPr>
                      <w:szCs w:val="21"/>
                    </w:rPr>
                    <w:t>2</w:t>
                  </w:r>
                </w:p>
              </w:tc>
              <w:tc>
                <w:tcPr>
                  <w:tcW w:w="2278" w:type="dxa"/>
                  <w:vAlign w:val="center"/>
                </w:tcPr>
                <w:p>
                  <w:pPr>
                    <w:jc w:val="center"/>
                    <w:rPr>
                      <w:szCs w:val="21"/>
                    </w:rPr>
                  </w:pPr>
                  <w:r>
                    <w:rPr>
                      <w:szCs w:val="21"/>
                    </w:rPr>
                    <w:t>南厂界</w:t>
                  </w:r>
                </w:p>
              </w:tc>
              <w:tc>
                <w:tcPr>
                  <w:tcW w:w="2065" w:type="dxa"/>
                  <w:vAlign w:val="center"/>
                </w:tcPr>
                <w:p>
                  <w:pPr>
                    <w:jc w:val="center"/>
                    <w:rPr>
                      <w:sz w:val="24"/>
                      <w:szCs w:val="24"/>
                    </w:rPr>
                  </w:pPr>
                  <w:r>
                    <w:rPr>
                      <w:rFonts w:hint="eastAsia"/>
                      <w:sz w:val="24"/>
                      <w:szCs w:val="24"/>
                    </w:rPr>
                    <w:t>44.3</w:t>
                  </w:r>
                </w:p>
              </w:tc>
              <w:tc>
                <w:tcPr>
                  <w:tcW w:w="1701" w:type="dxa"/>
                  <w:vAlign w:val="center"/>
                </w:tcPr>
                <w:p>
                  <w:pPr>
                    <w:jc w:val="center"/>
                    <w:rPr>
                      <w:szCs w:val="21"/>
                    </w:rPr>
                  </w:pPr>
                  <w:r>
                    <w:rPr>
                      <w:szCs w:val="21"/>
                    </w:rPr>
                    <w:t>60</w:t>
                  </w:r>
                </w:p>
              </w:tc>
              <w:tc>
                <w:tcPr>
                  <w:tcW w:w="1510" w:type="dxa"/>
                  <w:vAlign w:val="center"/>
                </w:tcPr>
                <w:p>
                  <w:pPr>
                    <w:jc w:val="center"/>
                    <w:rPr>
                      <w:szCs w:val="21"/>
                    </w:rPr>
                  </w:pPr>
                  <w:r>
                    <w:rPr>
                      <w:szCs w:val="21"/>
                    </w:rPr>
                    <w:t>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60" w:hRule="exact"/>
                <w:jc w:val="center"/>
              </w:trPr>
              <w:tc>
                <w:tcPr>
                  <w:tcW w:w="1141" w:type="dxa"/>
                  <w:vAlign w:val="center"/>
                </w:tcPr>
                <w:p>
                  <w:pPr>
                    <w:jc w:val="center"/>
                    <w:rPr>
                      <w:szCs w:val="21"/>
                    </w:rPr>
                  </w:pPr>
                  <w:r>
                    <w:rPr>
                      <w:szCs w:val="21"/>
                    </w:rPr>
                    <w:t>3</w:t>
                  </w:r>
                </w:p>
              </w:tc>
              <w:tc>
                <w:tcPr>
                  <w:tcW w:w="2278" w:type="dxa"/>
                  <w:vAlign w:val="center"/>
                </w:tcPr>
                <w:p>
                  <w:pPr>
                    <w:jc w:val="center"/>
                    <w:rPr>
                      <w:szCs w:val="21"/>
                    </w:rPr>
                  </w:pPr>
                  <w:r>
                    <w:rPr>
                      <w:szCs w:val="21"/>
                    </w:rPr>
                    <w:t>西厂界</w:t>
                  </w:r>
                </w:p>
              </w:tc>
              <w:tc>
                <w:tcPr>
                  <w:tcW w:w="2065" w:type="dxa"/>
                  <w:vAlign w:val="center"/>
                </w:tcPr>
                <w:p>
                  <w:pPr>
                    <w:jc w:val="center"/>
                    <w:rPr>
                      <w:sz w:val="24"/>
                      <w:szCs w:val="24"/>
                    </w:rPr>
                  </w:pPr>
                  <w:r>
                    <w:rPr>
                      <w:rFonts w:hint="eastAsia"/>
                      <w:sz w:val="24"/>
                      <w:szCs w:val="24"/>
                    </w:rPr>
                    <w:t>33.3</w:t>
                  </w:r>
                </w:p>
              </w:tc>
              <w:tc>
                <w:tcPr>
                  <w:tcW w:w="1701" w:type="dxa"/>
                  <w:vAlign w:val="center"/>
                </w:tcPr>
                <w:p>
                  <w:pPr>
                    <w:jc w:val="center"/>
                    <w:rPr>
                      <w:szCs w:val="21"/>
                    </w:rPr>
                  </w:pPr>
                  <w:r>
                    <w:rPr>
                      <w:szCs w:val="21"/>
                    </w:rPr>
                    <w:t>60</w:t>
                  </w:r>
                </w:p>
              </w:tc>
              <w:tc>
                <w:tcPr>
                  <w:tcW w:w="1510" w:type="dxa"/>
                  <w:vAlign w:val="center"/>
                </w:tcPr>
                <w:p>
                  <w:pPr>
                    <w:jc w:val="center"/>
                    <w:rPr>
                      <w:szCs w:val="21"/>
                    </w:rPr>
                  </w:pPr>
                  <w:r>
                    <w:rPr>
                      <w:szCs w:val="21"/>
                    </w:rPr>
                    <w:t>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60" w:hRule="exact"/>
                <w:jc w:val="center"/>
              </w:trPr>
              <w:tc>
                <w:tcPr>
                  <w:tcW w:w="1141" w:type="dxa"/>
                  <w:vAlign w:val="center"/>
                </w:tcPr>
                <w:p>
                  <w:pPr>
                    <w:jc w:val="center"/>
                    <w:rPr>
                      <w:szCs w:val="21"/>
                    </w:rPr>
                  </w:pPr>
                  <w:r>
                    <w:rPr>
                      <w:szCs w:val="21"/>
                    </w:rPr>
                    <w:t>4</w:t>
                  </w:r>
                </w:p>
              </w:tc>
              <w:tc>
                <w:tcPr>
                  <w:tcW w:w="2278" w:type="dxa"/>
                  <w:vAlign w:val="center"/>
                </w:tcPr>
                <w:p>
                  <w:pPr>
                    <w:jc w:val="center"/>
                    <w:rPr>
                      <w:szCs w:val="21"/>
                    </w:rPr>
                  </w:pPr>
                  <w:r>
                    <w:rPr>
                      <w:szCs w:val="21"/>
                    </w:rPr>
                    <w:t>北厂界</w:t>
                  </w:r>
                </w:p>
              </w:tc>
              <w:tc>
                <w:tcPr>
                  <w:tcW w:w="2065" w:type="dxa"/>
                  <w:vAlign w:val="center"/>
                </w:tcPr>
                <w:p>
                  <w:pPr>
                    <w:jc w:val="center"/>
                    <w:rPr>
                      <w:sz w:val="24"/>
                      <w:szCs w:val="24"/>
                    </w:rPr>
                  </w:pPr>
                  <w:r>
                    <w:rPr>
                      <w:rFonts w:hint="eastAsia"/>
                      <w:sz w:val="24"/>
                      <w:szCs w:val="24"/>
                    </w:rPr>
                    <w:t>41.1</w:t>
                  </w:r>
                </w:p>
              </w:tc>
              <w:tc>
                <w:tcPr>
                  <w:tcW w:w="1701" w:type="dxa"/>
                  <w:vAlign w:val="center"/>
                </w:tcPr>
                <w:p>
                  <w:pPr>
                    <w:jc w:val="center"/>
                    <w:rPr>
                      <w:szCs w:val="21"/>
                    </w:rPr>
                  </w:pPr>
                  <w:r>
                    <w:rPr>
                      <w:szCs w:val="21"/>
                    </w:rPr>
                    <w:t>60</w:t>
                  </w:r>
                </w:p>
              </w:tc>
              <w:tc>
                <w:tcPr>
                  <w:tcW w:w="1510" w:type="dxa"/>
                  <w:vAlign w:val="center"/>
                </w:tcPr>
                <w:p>
                  <w:pPr>
                    <w:jc w:val="center"/>
                    <w:rPr>
                      <w:szCs w:val="21"/>
                    </w:rPr>
                  </w:pPr>
                  <w:r>
                    <w:rPr>
                      <w:szCs w:val="21"/>
                    </w:rPr>
                    <w:t>50</w:t>
                  </w:r>
                </w:p>
              </w:tc>
            </w:tr>
          </w:tbl>
          <w:p>
            <w:pPr>
              <w:spacing w:before="312" w:beforeLines="100" w:line="360" w:lineRule="auto"/>
              <w:ind w:firstLine="422"/>
              <w:jc w:val="center"/>
              <w:rPr>
                <w:b/>
                <w:szCs w:val="21"/>
              </w:rPr>
            </w:pPr>
            <w:r>
              <w:rPr>
                <w:b/>
                <w:szCs w:val="21"/>
              </w:rPr>
              <w:t>表</w:t>
            </w:r>
            <w:r>
              <w:rPr>
                <w:rFonts w:hint="eastAsia"/>
                <w:b/>
                <w:szCs w:val="21"/>
              </w:rPr>
              <w:t>51</w:t>
            </w:r>
            <w:r>
              <w:rPr>
                <w:b/>
                <w:szCs w:val="21"/>
              </w:rPr>
              <w:t xml:space="preserve"> 敏感点预测结果  单位dB(A)</w:t>
            </w:r>
          </w:p>
          <w:tbl>
            <w:tblPr>
              <w:tblStyle w:val="24"/>
              <w:tblW w:w="8842"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642"/>
              <w:gridCol w:w="1513"/>
              <w:gridCol w:w="1321"/>
              <w:gridCol w:w="1648"/>
              <w:gridCol w:w="1276"/>
              <w:gridCol w:w="1442"/>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76" w:hRule="atLeast"/>
                <w:jc w:val="center"/>
              </w:trPr>
              <w:tc>
                <w:tcPr>
                  <w:tcW w:w="1642" w:type="dxa"/>
                  <w:vMerge w:val="restart"/>
                  <w:shd w:val="clear" w:color="auto" w:fill="auto"/>
                  <w:vAlign w:val="center"/>
                </w:tcPr>
                <w:p>
                  <w:pPr>
                    <w:spacing w:line="360" w:lineRule="auto"/>
                    <w:jc w:val="center"/>
                    <w:rPr>
                      <w:snapToGrid w:val="0"/>
                      <w:kern w:val="0"/>
                      <w:szCs w:val="21"/>
                    </w:rPr>
                  </w:pPr>
                  <w:r>
                    <w:rPr>
                      <w:snapToGrid w:val="0"/>
                      <w:kern w:val="0"/>
                      <w:szCs w:val="21"/>
                    </w:rPr>
                    <w:t>敏感点</w:t>
                  </w:r>
                </w:p>
              </w:tc>
              <w:tc>
                <w:tcPr>
                  <w:tcW w:w="1513" w:type="dxa"/>
                  <w:vMerge w:val="restart"/>
                  <w:shd w:val="clear" w:color="auto" w:fill="auto"/>
                  <w:vAlign w:val="center"/>
                </w:tcPr>
                <w:p>
                  <w:pPr>
                    <w:spacing w:line="360" w:lineRule="auto"/>
                    <w:jc w:val="center"/>
                    <w:rPr>
                      <w:snapToGrid w:val="0"/>
                      <w:kern w:val="0"/>
                      <w:szCs w:val="21"/>
                    </w:rPr>
                  </w:pPr>
                  <w:r>
                    <w:rPr>
                      <w:snapToGrid w:val="0"/>
                      <w:kern w:val="0"/>
                      <w:szCs w:val="21"/>
                    </w:rPr>
                    <w:t>贡献值</w:t>
                  </w:r>
                </w:p>
              </w:tc>
              <w:tc>
                <w:tcPr>
                  <w:tcW w:w="2969" w:type="dxa"/>
                  <w:gridSpan w:val="2"/>
                  <w:shd w:val="clear" w:color="auto" w:fill="auto"/>
                  <w:vAlign w:val="center"/>
                </w:tcPr>
                <w:p>
                  <w:pPr>
                    <w:spacing w:line="360" w:lineRule="auto"/>
                    <w:jc w:val="center"/>
                    <w:rPr>
                      <w:snapToGrid w:val="0"/>
                      <w:kern w:val="0"/>
                      <w:szCs w:val="21"/>
                    </w:rPr>
                  </w:pPr>
                  <w:r>
                    <w:rPr>
                      <w:snapToGrid w:val="0"/>
                      <w:kern w:val="0"/>
                      <w:szCs w:val="21"/>
                    </w:rPr>
                    <w:t>背景值</w:t>
                  </w:r>
                </w:p>
              </w:tc>
              <w:tc>
                <w:tcPr>
                  <w:tcW w:w="2718" w:type="dxa"/>
                  <w:gridSpan w:val="2"/>
                  <w:shd w:val="clear" w:color="auto" w:fill="auto"/>
                  <w:vAlign w:val="center"/>
                </w:tcPr>
                <w:p>
                  <w:pPr>
                    <w:spacing w:line="360" w:lineRule="auto"/>
                    <w:jc w:val="center"/>
                    <w:rPr>
                      <w:snapToGrid w:val="0"/>
                      <w:kern w:val="0"/>
                      <w:szCs w:val="21"/>
                    </w:rPr>
                  </w:pPr>
                  <w:r>
                    <w:rPr>
                      <w:snapToGrid w:val="0"/>
                      <w:kern w:val="0"/>
                      <w:szCs w:val="21"/>
                    </w:rPr>
                    <w:t>预测值</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167" w:hRule="atLeast"/>
                <w:jc w:val="center"/>
              </w:trPr>
              <w:tc>
                <w:tcPr>
                  <w:tcW w:w="1642" w:type="dxa"/>
                  <w:vMerge w:val="continue"/>
                  <w:shd w:val="clear" w:color="auto" w:fill="auto"/>
                  <w:vAlign w:val="center"/>
                </w:tcPr>
                <w:p>
                  <w:pPr>
                    <w:spacing w:line="360" w:lineRule="auto"/>
                    <w:jc w:val="center"/>
                    <w:rPr>
                      <w:snapToGrid w:val="0"/>
                      <w:kern w:val="0"/>
                      <w:szCs w:val="21"/>
                    </w:rPr>
                  </w:pPr>
                </w:p>
              </w:tc>
              <w:tc>
                <w:tcPr>
                  <w:tcW w:w="1513" w:type="dxa"/>
                  <w:vMerge w:val="continue"/>
                  <w:shd w:val="clear" w:color="auto" w:fill="auto"/>
                  <w:vAlign w:val="center"/>
                </w:tcPr>
                <w:p>
                  <w:pPr>
                    <w:spacing w:line="360" w:lineRule="auto"/>
                    <w:ind w:firstLine="422"/>
                    <w:jc w:val="center"/>
                    <w:rPr>
                      <w:snapToGrid w:val="0"/>
                      <w:kern w:val="0"/>
                      <w:szCs w:val="21"/>
                    </w:rPr>
                  </w:pPr>
                </w:p>
              </w:tc>
              <w:tc>
                <w:tcPr>
                  <w:tcW w:w="1321" w:type="dxa"/>
                  <w:shd w:val="clear" w:color="auto" w:fill="auto"/>
                  <w:vAlign w:val="center"/>
                </w:tcPr>
                <w:p>
                  <w:pPr>
                    <w:spacing w:line="360" w:lineRule="auto"/>
                    <w:jc w:val="center"/>
                    <w:rPr>
                      <w:snapToGrid w:val="0"/>
                      <w:kern w:val="0"/>
                      <w:szCs w:val="21"/>
                    </w:rPr>
                  </w:pPr>
                  <w:r>
                    <w:rPr>
                      <w:snapToGrid w:val="0"/>
                      <w:kern w:val="0"/>
                      <w:szCs w:val="21"/>
                    </w:rPr>
                    <w:t>昼间</w:t>
                  </w:r>
                </w:p>
              </w:tc>
              <w:tc>
                <w:tcPr>
                  <w:tcW w:w="1648" w:type="dxa"/>
                  <w:shd w:val="clear" w:color="auto" w:fill="auto"/>
                  <w:vAlign w:val="center"/>
                </w:tcPr>
                <w:p>
                  <w:pPr>
                    <w:spacing w:line="360" w:lineRule="auto"/>
                    <w:jc w:val="center"/>
                    <w:rPr>
                      <w:snapToGrid w:val="0"/>
                      <w:kern w:val="0"/>
                      <w:szCs w:val="21"/>
                    </w:rPr>
                  </w:pPr>
                  <w:r>
                    <w:rPr>
                      <w:snapToGrid w:val="0"/>
                      <w:kern w:val="0"/>
                      <w:szCs w:val="21"/>
                    </w:rPr>
                    <w:t>夜间</w:t>
                  </w:r>
                </w:p>
              </w:tc>
              <w:tc>
                <w:tcPr>
                  <w:tcW w:w="1276" w:type="dxa"/>
                  <w:shd w:val="clear" w:color="auto" w:fill="auto"/>
                  <w:vAlign w:val="center"/>
                </w:tcPr>
                <w:p>
                  <w:pPr>
                    <w:spacing w:line="360" w:lineRule="auto"/>
                    <w:jc w:val="center"/>
                    <w:rPr>
                      <w:snapToGrid w:val="0"/>
                      <w:kern w:val="0"/>
                      <w:szCs w:val="21"/>
                    </w:rPr>
                  </w:pPr>
                  <w:r>
                    <w:rPr>
                      <w:snapToGrid w:val="0"/>
                      <w:kern w:val="0"/>
                      <w:szCs w:val="21"/>
                    </w:rPr>
                    <w:t>昼间</w:t>
                  </w:r>
                </w:p>
              </w:tc>
              <w:tc>
                <w:tcPr>
                  <w:tcW w:w="1442" w:type="dxa"/>
                  <w:shd w:val="clear" w:color="auto" w:fill="auto"/>
                  <w:vAlign w:val="center"/>
                </w:tcPr>
                <w:p>
                  <w:pPr>
                    <w:spacing w:line="360" w:lineRule="auto"/>
                    <w:jc w:val="center"/>
                    <w:rPr>
                      <w:snapToGrid w:val="0"/>
                      <w:kern w:val="0"/>
                      <w:szCs w:val="21"/>
                    </w:rPr>
                  </w:pPr>
                  <w:r>
                    <w:rPr>
                      <w:snapToGrid w:val="0"/>
                      <w:kern w:val="0"/>
                      <w:szCs w:val="21"/>
                    </w:rPr>
                    <w:t>夜间</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456" w:hRule="atLeast"/>
                <w:jc w:val="center"/>
              </w:trPr>
              <w:tc>
                <w:tcPr>
                  <w:tcW w:w="1642" w:type="dxa"/>
                  <w:shd w:val="clear" w:color="auto" w:fill="auto"/>
                  <w:vAlign w:val="center"/>
                </w:tcPr>
                <w:p>
                  <w:pPr>
                    <w:spacing w:line="360" w:lineRule="auto"/>
                    <w:jc w:val="center"/>
                    <w:rPr>
                      <w:snapToGrid w:val="0"/>
                      <w:kern w:val="0"/>
                      <w:szCs w:val="21"/>
                    </w:rPr>
                  </w:pPr>
                  <w:r>
                    <w:rPr>
                      <w:snapToGrid w:val="0"/>
                      <w:kern w:val="0"/>
                      <w:szCs w:val="21"/>
                    </w:rPr>
                    <w:t>西侧</w:t>
                  </w:r>
                  <w:r>
                    <w:rPr>
                      <w:rFonts w:hint="eastAsia"/>
                      <w:szCs w:val="21"/>
                    </w:rPr>
                    <w:t>蚕姑沟村</w:t>
                  </w:r>
                </w:p>
              </w:tc>
              <w:tc>
                <w:tcPr>
                  <w:tcW w:w="1513" w:type="dxa"/>
                  <w:shd w:val="clear" w:color="auto" w:fill="auto"/>
                  <w:vAlign w:val="center"/>
                </w:tcPr>
                <w:p>
                  <w:pPr>
                    <w:spacing w:line="360" w:lineRule="auto"/>
                    <w:jc w:val="center"/>
                    <w:rPr>
                      <w:snapToGrid w:val="0"/>
                      <w:kern w:val="0"/>
                      <w:szCs w:val="21"/>
                    </w:rPr>
                  </w:pPr>
                  <w:r>
                    <w:rPr>
                      <w:rFonts w:hint="eastAsia"/>
                      <w:snapToGrid w:val="0"/>
                      <w:kern w:val="0"/>
                      <w:szCs w:val="21"/>
                    </w:rPr>
                    <w:t>31.7</w:t>
                  </w:r>
                </w:p>
              </w:tc>
              <w:tc>
                <w:tcPr>
                  <w:tcW w:w="1321" w:type="dxa"/>
                  <w:shd w:val="clear" w:color="auto" w:fill="auto"/>
                  <w:vAlign w:val="center"/>
                </w:tcPr>
                <w:p>
                  <w:pPr>
                    <w:snapToGrid w:val="0"/>
                    <w:jc w:val="center"/>
                    <w:rPr>
                      <w:bCs/>
                      <w:szCs w:val="21"/>
                    </w:rPr>
                  </w:pPr>
                  <w:r>
                    <w:rPr>
                      <w:szCs w:val="21"/>
                    </w:rPr>
                    <w:t>56.4</w:t>
                  </w:r>
                </w:p>
              </w:tc>
              <w:tc>
                <w:tcPr>
                  <w:tcW w:w="1648" w:type="dxa"/>
                  <w:shd w:val="clear" w:color="auto" w:fill="auto"/>
                  <w:vAlign w:val="center"/>
                </w:tcPr>
                <w:p>
                  <w:pPr>
                    <w:snapToGrid w:val="0"/>
                    <w:jc w:val="center"/>
                    <w:rPr>
                      <w:bCs/>
                      <w:szCs w:val="21"/>
                    </w:rPr>
                  </w:pPr>
                  <w:r>
                    <w:rPr>
                      <w:szCs w:val="21"/>
                    </w:rPr>
                    <w:t>48.8</w:t>
                  </w:r>
                </w:p>
              </w:tc>
              <w:tc>
                <w:tcPr>
                  <w:tcW w:w="1276" w:type="dxa"/>
                  <w:shd w:val="clear" w:color="auto" w:fill="auto"/>
                  <w:vAlign w:val="center"/>
                </w:tcPr>
                <w:p>
                  <w:pPr>
                    <w:spacing w:line="360" w:lineRule="auto"/>
                    <w:jc w:val="center"/>
                    <w:rPr>
                      <w:snapToGrid w:val="0"/>
                      <w:kern w:val="0"/>
                      <w:szCs w:val="21"/>
                    </w:rPr>
                  </w:pPr>
                  <w:r>
                    <w:rPr>
                      <w:szCs w:val="21"/>
                    </w:rPr>
                    <w:t>56.4</w:t>
                  </w:r>
                </w:p>
              </w:tc>
              <w:tc>
                <w:tcPr>
                  <w:tcW w:w="1442" w:type="dxa"/>
                  <w:shd w:val="clear" w:color="auto" w:fill="auto"/>
                  <w:vAlign w:val="center"/>
                </w:tcPr>
                <w:p>
                  <w:pPr>
                    <w:spacing w:line="360" w:lineRule="auto"/>
                    <w:jc w:val="center"/>
                    <w:rPr>
                      <w:snapToGrid w:val="0"/>
                      <w:kern w:val="0"/>
                      <w:szCs w:val="21"/>
                    </w:rPr>
                  </w:pPr>
                  <w:r>
                    <w:rPr>
                      <w:szCs w:val="21"/>
                    </w:rPr>
                    <w:t>48.8</w:t>
                  </w:r>
                </w:p>
              </w:tc>
            </w:tr>
          </w:tbl>
          <w:p>
            <w:pPr>
              <w:pStyle w:val="108"/>
              <w:snapToGrid w:val="0"/>
              <w:spacing w:before="0" w:line="360" w:lineRule="auto"/>
              <w:ind w:firstLine="199" w:firstLineChars="83"/>
              <w:rPr>
                <w:lang w:val="en-US"/>
              </w:rPr>
            </w:pPr>
            <w:r>
              <w:rPr>
                <w:lang w:val="en-US"/>
              </w:rPr>
              <w:t>项目</w:t>
            </w:r>
            <w:r>
              <w:rPr>
                <w:rFonts w:hint="eastAsia"/>
                <w:lang w:val="en-US"/>
              </w:rPr>
              <w:t>声源分布及</w:t>
            </w:r>
            <w:r>
              <w:rPr>
                <w:lang w:val="en-US"/>
              </w:rPr>
              <w:t>噪声预测等声级线图见</w:t>
            </w:r>
            <w:r>
              <w:rPr>
                <w:rFonts w:hint="eastAsia"/>
                <w:lang w:val="en-US"/>
              </w:rPr>
              <w:t>附图8</w:t>
            </w:r>
            <w:r>
              <w:rPr>
                <w:lang w:val="en-US"/>
              </w:rPr>
              <w:t>。</w:t>
            </w:r>
          </w:p>
          <w:p>
            <w:pPr>
              <w:spacing w:line="360" w:lineRule="auto"/>
              <w:ind w:firstLine="480" w:firstLineChars="200"/>
              <w:rPr>
                <w:sz w:val="24"/>
                <w:szCs w:val="24"/>
              </w:rPr>
            </w:pPr>
            <w:r>
              <w:rPr>
                <w:sz w:val="24"/>
                <w:szCs w:val="24"/>
              </w:rPr>
              <w:t>由</w:t>
            </w:r>
            <w:r>
              <w:rPr>
                <w:rFonts w:hint="eastAsia"/>
                <w:sz w:val="24"/>
                <w:szCs w:val="24"/>
              </w:rPr>
              <w:t>上表</w:t>
            </w:r>
            <w:r>
              <w:rPr>
                <w:sz w:val="24"/>
                <w:szCs w:val="24"/>
              </w:rPr>
              <w:t>可知，项目建成</w:t>
            </w:r>
            <w:r>
              <w:rPr>
                <w:rFonts w:hint="eastAsia"/>
                <w:sz w:val="24"/>
                <w:szCs w:val="24"/>
              </w:rPr>
              <w:t>后，</w:t>
            </w:r>
            <w:r>
              <w:rPr>
                <w:sz w:val="24"/>
                <w:szCs w:val="24"/>
              </w:rPr>
              <w:t>噪声控制措施实施及设备正常工作情况下，</w:t>
            </w:r>
            <w:r>
              <w:rPr>
                <w:rFonts w:hint="eastAsia"/>
                <w:sz w:val="24"/>
                <w:szCs w:val="24"/>
              </w:rPr>
              <w:t>厂</w:t>
            </w:r>
            <w:r>
              <w:rPr>
                <w:sz w:val="24"/>
                <w:szCs w:val="24"/>
              </w:rPr>
              <w:t>界</w:t>
            </w:r>
            <w:r>
              <w:rPr>
                <w:rFonts w:hint="eastAsia"/>
                <w:sz w:val="24"/>
                <w:szCs w:val="24"/>
              </w:rPr>
              <w:t>噪声贡献值满足</w:t>
            </w:r>
            <w:r>
              <w:rPr>
                <w:sz w:val="24"/>
                <w:szCs w:val="24"/>
              </w:rPr>
              <w:t>《工业企业厂界环境噪声排放标准》</w:t>
            </w:r>
            <w:r>
              <w:rPr>
                <w:rFonts w:hint="eastAsia"/>
                <w:sz w:val="24"/>
                <w:szCs w:val="24"/>
              </w:rPr>
              <w:t>（</w:t>
            </w:r>
            <w:r>
              <w:rPr>
                <w:sz w:val="24"/>
                <w:szCs w:val="24"/>
              </w:rPr>
              <w:t>GB12348-2008</w:t>
            </w:r>
            <w:r>
              <w:rPr>
                <w:rFonts w:hint="eastAsia"/>
                <w:sz w:val="24"/>
                <w:szCs w:val="24"/>
              </w:rPr>
              <w:t>）</w:t>
            </w:r>
            <w:r>
              <w:rPr>
                <w:sz w:val="24"/>
                <w:szCs w:val="24"/>
              </w:rPr>
              <w:t>中的</w:t>
            </w:r>
            <w:r>
              <w:rPr>
                <w:rFonts w:hint="eastAsia"/>
                <w:sz w:val="24"/>
                <w:szCs w:val="24"/>
              </w:rPr>
              <w:t>2</w:t>
            </w:r>
            <w:r>
              <w:rPr>
                <w:sz w:val="24"/>
                <w:szCs w:val="24"/>
              </w:rPr>
              <w:t>类标准</w:t>
            </w:r>
            <w:r>
              <w:rPr>
                <w:rFonts w:hint="eastAsia"/>
                <w:sz w:val="24"/>
                <w:szCs w:val="24"/>
              </w:rPr>
              <w:t>。项目运营期噪声在蚕姑沟村满足</w:t>
            </w:r>
            <w:r>
              <w:rPr>
                <w:rFonts w:hAnsi="宋体"/>
                <w:sz w:val="24"/>
              </w:rPr>
              <w:t>《声环境质量标准》</w:t>
            </w:r>
            <w:r>
              <w:rPr>
                <w:rFonts w:hint="eastAsia"/>
                <w:sz w:val="24"/>
              </w:rPr>
              <w:t>（</w:t>
            </w:r>
            <w:r>
              <w:rPr>
                <w:sz w:val="24"/>
              </w:rPr>
              <w:t>GB3096-2008</w:t>
            </w:r>
            <w:r>
              <w:rPr>
                <w:rFonts w:hint="eastAsia"/>
                <w:sz w:val="24"/>
              </w:rPr>
              <w:t>）</w:t>
            </w:r>
            <w:r>
              <w:rPr>
                <w:rFonts w:hAnsi="宋体"/>
                <w:sz w:val="24"/>
              </w:rPr>
              <w:t>中的</w:t>
            </w:r>
            <w:r>
              <w:rPr>
                <w:sz w:val="24"/>
              </w:rPr>
              <w:t>2</w:t>
            </w:r>
            <w:r>
              <w:rPr>
                <w:rFonts w:hAnsi="宋体"/>
                <w:sz w:val="24"/>
              </w:rPr>
              <w:t>类标准</w:t>
            </w:r>
            <w:r>
              <w:rPr>
                <w:rFonts w:hint="eastAsia" w:hAnsi="宋体"/>
                <w:sz w:val="24"/>
              </w:rPr>
              <w:t>，通过预测可知，项目运营期通过噪声通过有效的隔声、减振、距离衰减后，营运期设备噪声对周边环境敏感保护目标影响小</w:t>
            </w:r>
            <w:r>
              <w:rPr>
                <w:sz w:val="24"/>
                <w:szCs w:val="24"/>
              </w:rPr>
              <w:t>。</w:t>
            </w:r>
          </w:p>
          <w:p>
            <w:pPr>
              <w:spacing w:line="360" w:lineRule="auto"/>
              <w:ind w:firstLine="480" w:firstLineChars="200"/>
              <w:rPr>
                <w:rFonts w:hint="eastAsia"/>
                <w:sz w:val="24"/>
                <w:szCs w:val="24"/>
              </w:rPr>
            </w:pPr>
            <w:r>
              <w:rPr>
                <w:rFonts w:hint="eastAsia"/>
                <w:sz w:val="24"/>
                <w:szCs w:val="24"/>
              </w:rPr>
              <w:t>（4）拟采取的降噪措施</w:t>
            </w:r>
          </w:p>
          <w:p>
            <w:pPr>
              <w:spacing w:line="360" w:lineRule="auto"/>
              <w:ind w:firstLine="480" w:firstLineChars="200"/>
              <w:rPr>
                <w:sz w:val="24"/>
              </w:rPr>
            </w:pPr>
            <w:r>
              <w:rPr>
                <w:rFonts w:hAnsi="宋体"/>
                <w:sz w:val="24"/>
              </w:rPr>
              <w:t>评价建议采取以下措施降噪：</w:t>
            </w:r>
          </w:p>
          <w:p>
            <w:pPr>
              <w:spacing w:line="360" w:lineRule="auto"/>
              <w:ind w:firstLine="480" w:firstLineChars="200"/>
              <w:rPr>
                <w:sz w:val="24"/>
              </w:rPr>
            </w:pPr>
            <w:r>
              <w:rPr>
                <w:rFonts w:ascii="宋体" w:hAnsi="宋体"/>
                <w:sz w:val="24"/>
              </w:rPr>
              <w:t>①</w:t>
            </w:r>
            <w:r>
              <w:rPr>
                <w:rFonts w:hint="eastAsia" w:hAnsi="宋体"/>
                <w:sz w:val="24"/>
              </w:rPr>
              <w:t>将生产车间在远离村庄的东侧布置，产生噪声的粉碎机、搅拌机等生产设备置于封闭的车间内。</w:t>
            </w:r>
          </w:p>
          <w:p>
            <w:pPr>
              <w:spacing w:line="360" w:lineRule="auto"/>
              <w:ind w:firstLine="480" w:firstLineChars="200"/>
              <w:rPr>
                <w:rFonts w:hAnsi="宋体"/>
                <w:sz w:val="24"/>
              </w:rPr>
            </w:pPr>
            <w:r>
              <w:rPr>
                <w:rFonts w:ascii="宋体" w:hAnsi="宋体"/>
                <w:sz w:val="24"/>
              </w:rPr>
              <w:t>②</w:t>
            </w:r>
            <w:r>
              <w:rPr>
                <w:rFonts w:hint="eastAsia" w:hAnsi="宋体"/>
                <w:sz w:val="24"/>
              </w:rPr>
              <w:t>尽量选用低噪声设备，并对设备采取减振、隔声处理。</w:t>
            </w:r>
          </w:p>
          <w:p>
            <w:pPr>
              <w:spacing w:line="360" w:lineRule="auto"/>
              <w:ind w:firstLine="480" w:firstLineChars="200"/>
              <w:rPr>
                <w:rFonts w:ascii="宋体" w:hAnsi="宋体" w:cs="宋体"/>
                <w:sz w:val="24"/>
              </w:rPr>
            </w:pPr>
            <w:r>
              <w:rPr>
                <w:rFonts w:hAnsi="宋体"/>
                <w:sz w:val="24"/>
              </w:rPr>
              <w:t>③</w:t>
            </w:r>
            <w:r>
              <w:rPr>
                <w:rFonts w:hint="eastAsia" w:ascii="宋体" w:hAnsi="宋体" w:cs="宋体"/>
                <w:sz w:val="24"/>
              </w:rPr>
              <w:t>加强设备养护管理，在设备生产运转时必须定期对其进行检查，保证设备正常运转，建立设备定期维护、保养的管理制度，以防止设备故障形成的非正常生产噪声；加强职工环保意识教育，提倡文明生产。</w:t>
            </w:r>
          </w:p>
          <w:p>
            <w:pPr>
              <w:spacing w:line="360" w:lineRule="auto"/>
              <w:ind w:firstLine="480" w:firstLineChars="200"/>
              <w:rPr>
                <w:rFonts w:ascii="宋体" w:hAnsi="宋体" w:cs="宋体"/>
                <w:sz w:val="24"/>
              </w:rPr>
            </w:pPr>
            <w:r>
              <w:rPr>
                <w:rFonts w:hint="eastAsia" w:ascii="宋体" w:hAnsi="宋体" w:cs="宋体"/>
                <w:sz w:val="24"/>
              </w:rPr>
              <w:t>④合理安排生产时间，敏感时段高噪设备停止运行。</w:t>
            </w:r>
          </w:p>
          <w:p>
            <w:pPr>
              <w:spacing w:line="360" w:lineRule="auto"/>
              <w:ind w:firstLine="480" w:firstLineChars="200"/>
              <w:rPr>
                <w:rFonts w:ascii="宋体" w:hAnsi="宋体" w:cs="宋体"/>
                <w:sz w:val="24"/>
              </w:rPr>
            </w:pPr>
            <w:r>
              <w:rPr>
                <w:rFonts w:hint="eastAsia" w:ascii="宋体" w:hAnsi="宋体" w:cs="宋体"/>
                <w:sz w:val="24"/>
              </w:rPr>
              <w:t>⑤加强车间周围和道路两侧绿化，以其屏蔽作用使噪声得到不同程度的阻隔，减少其对周围环境的影响。</w:t>
            </w:r>
          </w:p>
          <w:p>
            <w:pPr>
              <w:spacing w:line="360" w:lineRule="auto"/>
              <w:ind w:firstLine="480" w:firstLineChars="200"/>
              <w:rPr>
                <w:sz w:val="24"/>
              </w:rPr>
            </w:pPr>
            <w:r>
              <w:rPr>
                <w:rFonts w:hAnsi="宋体"/>
                <w:sz w:val="24"/>
              </w:rPr>
              <w:t>经过对噪声源及其传播途径采取以上方式处理后，不会对周围声环境造成较大的影响。</w:t>
            </w:r>
          </w:p>
          <w:p>
            <w:pPr>
              <w:spacing w:line="360" w:lineRule="auto"/>
              <w:ind w:firstLine="482" w:firstLineChars="200"/>
              <w:rPr>
                <w:b/>
                <w:sz w:val="24"/>
              </w:rPr>
            </w:pPr>
            <w:r>
              <w:rPr>
                <w:rFonts w:hint="eastAsia"/>
                <w:b/>
                <w:sz w:val="24"/>
              </w:rPr>
              <w:t>四</w:t>
            </w:r>
            <w:r>
              <w:rPr>
                <w:rFonts w:hAnsi="宋体"/>
                <w:b/>
                <w:sz w:val="24"/>
              </w:rPr>
              <w:t>、固体废物</w:t>
            </w:r>
            <w:r>
              <w:rPr>
                <w:rFonts w:hint="eastAsia" w:hAnsi="宋体"/>
                <w:b/>
                <w:sz w:val="24"/>
              </w:rPr>
              <w:t>影响分析</w:t>
            </w:r>
          </w:p>
          <w:p>
            <w:pPr>
              <w:spacing w:line="360" w:lineRule="auto"/>
              <w:ind w:firstLine="480" w:firstLineChars="200"/>
              <w:rPr>
                <w:rFonts w:hAnsi="宋体"/>
                <w:sz w:val="24"/>
              </w:rPr>
            </w:pPr>
            <w:r>
              <w:rPr>
                <w:rFonts w:hAnsi="宋体"/>
                <w:sz w:val="24"/>
              </w:rPr>
              <w:t>项目营运期产生的固体废物主要是</w:t>
            </w:r>
            <w:r>
              <w:rPr>
                <w:rFonts w:hint="eastAsia" w:hAnsi="宋体"/>
                <w:sz w:val="24"/>
              </w:rPr>
              <w:t>生产过程中产生的废砖坯及少量生活垃圾。</w:t>
            </w:r>
          </w:p>
          <w:p>
            <w:pPr>
              <w:spacing w:line="360" w:lineRule="auto"/>
              <w:ind w:firstLine="480" w:firstLineChars="200"/>
              <w:rPr>
                <w:rFonts w:hAnsi="宋体"/>
                <w:sz w:val="24"/>
              </w:rPr>
            </w:pPr>
            <w:r>
              <w:rPr>
                <w:rFonts w:hint="eastAsia" w:hAnsi="宋体"/>
                <w:sz w:val="24"/>
              </w:rPr>
              <w:t>（1）废砖坯</w:t>
            </w:r>
          </w:p>
          <w:p>
            <w:pPr>
              <w:spacing w:line="360" w:lineRule="auto"/>
              <w:ind w:firstLine="480" w:firstLineChars="200"/>
              <w:rPr>
                <w:rFonts w:hAnsi="宋体"/>
                <w:sz w:val="24"/>
              </w:rPr>
            </w:pPr>
            <w:r>
              <w:rPr>
                <w:rFonts w:hint="eastAsia" w:hAnsi="宋体"/>
                <w:sz w:val="24"/>
              </w:rPr>
              <w:t>项目营运</w:t>
            </w:r>
            <w:r>
              <w:rPr>
                <w:rFonts w:hAnsi="宋体"/>
                <w:sz w:val="24"/>
              </w:rPr>
              <w:t>期切块过程中会产生不合格的湿</w:t>
            </w:r>
            <w:r>
              <w:rPr>
                <w:rFonts w:hint="eastAsia" w:hAnsi="宋体"/>
                <w:sz w:val="24"/>
              </w:rPr>
              <w:t>坯</w:t>
            </w:r>
            <w:r>
              <w:rPr>
                <w:rFonts w:hAnsi="宋体"/>
                <w:sz w:val="24"/>
              </w:rPr>
              <w:t>、烧结过程中会产生不合格的焙烧</w:t>
            </w:r>
            <w:r>
              <w:rPr>
                <w:rFonts w:hint="eastAsia" w:hAnsi="宋体"/>
                <w:sz w:val="24"/>
              </w:rPr>
              <w:t>砖，根据设计参数，</w:t>
            </w:r>
            <w:r>
              <w:rPr>
                <w:rFonts w:hAnsi="宋体"/>
                <w:sz w:val="24"/>
              </w:rPr>
              <w:t>不合格产生</w:t>
            </w:r>
            <w:r>
              <w:rPr>
                <w:sz w:val="24"/>
              </w:rPr>
              <w:t>量按照</w:t>
            </w:r>
            <w:r>
              <w:rPr>
                <w:rFonts w:hint="eastAsia"/>
                <w:sz w:val="24"/>
              </w:rPr>
              <w:t>原料量2</w:t>
            </w:r>
            <w:r>
              <w:rPr>
                <w:sz w:val="24"/>
              </w:rPr>
              <w:t>%核算，约为</w:t>
            </w:r>
            <w:r>
              <w:rPr>
                <w:rFonts w:hint="eastAsia"/>
                <w:sz w:val="24"/>
              </w:rPr>
              <w:t>3380t</w:t>
            </w:r>
            <w:r>
              <w:rPr>
                <w:sz w:val="24"/>
              </w:rPr>
              <w:t>/a，本项目生</w:t>
            </w:r>
            <w:r>
              <w:rPr>
                <w:rFonts w:hAnsi="宋体"/>
                <w:sz w:val="24"/>
              </w:rPr>
              <w:t>产过程中</w:t>
            </w:r>
            <w:r>
              <w:rPr>
                <w:rFonts w:hint="eastAsia" w:hAnsi="宋体"/>
                <w:sz w:val="24"/>
              </w:rPr>
              <w:t>产生的</w:t>
            </w:r>
            <w:r>
              <w:rPr>
                <w:rFonts w:hAnsi="宋体"/>
                <w:sz w:val="24"/>
              </w:rPr>
              <w:t>不合格湿坯</w:t>
            </w:r>
            <w:r>
              <w:rPr>
                <w:rFonts w:hint="eastAsia" w:hAnsi="宋体"/>
                <w:sz w:val="24"/>
              </w:rPr>
              <w:t>和不合格焙烧砖均返回到成型车间，全部重新回用于生产线。</w:t>
            </w:r>
          </w:p>
          <w:p>
            <w:pPr>
              <w:spacing w:line="360" w:lineRule="auto"/>
              <w:ind w:firstLine="480" w:firstLineChars="200"/>
              <w:rPr>
                <w:rFonts w:hAnsi="宋体"/>
                <w:sz w:val="24"/>
              </w:rPr>
            </w:pPr>
            <w:r>
              <w:rPr>
                <w:rFonts w:hint="eastAsia" w:hAnsi="宋体"/>
                <w:sz w:val="24"/>
              </w:rPr>
              <w:t>（2）废机油</w:t>
            </w:r>
          </w:p>
          <w:p>
            <w:pPr>
              <w:spacing w:line="360" w:lineRule="auto"/>
              <w:ind w:firstLine="480" w:firstLineChars="200"/>
              <w:rPr>
                <w:rFonts w:hAnsi="宋体"/>
                <w:color w:val="0070C0"/>
                <w:sz w:val="24"/>
              </w:rPr>
            </w:pPr>
            <w:r>
              <w:rPr>
                <w:rFonts w:hint="eastAsia" w:hAnsi="宋体"/>
                <w:sz w:val="24"/>
              </w:rPr>
              <w:t>危</w:t>
            </w:r>
            <w:r>
              <w:rPr>
                <w:rFonts w:hint="eastAsia" w:hAnsi="宋体"/>
                <w:color w:val="0070C0"/>
                <w:sz w:val="24"/>
              </w:rPr>
              <w:t>险废物主要为设备维修过程中的废机油</w:t>
            </w:r>
            <w:r>
              <w:rPr>
                <w:rFonts w:hint="eastAsia" w:hAnsi="宋体"/>
                <w:color w:val="FF0000"/>
                <w:sz w:val="24"/>
              </w:rPr>
              <w:t>，危废代码为900-217-08</w:t>
            </w:r>
            <w:r>
              <w:rPr>
                <w:rFonts w:hint="eastAsia" w:hAnsi="宋体"/>
                <w:color w:val="0070C0"/>
                <w:sz w:val="24"/>
              </w:rPr>
              <w:t>，根据《国家危险废物名录（2016）》，分类收集后存储于危险废物暂存间，定期交由有资质单位处理。</w:t>
            </w:r>
          </w:p>
          <w:p>
            <w:pPr>
              <w:spacing w:line="360" w:lineRule="auto"/>
              <w:ind w:firstLine="480" w:firstLineChars="200"/>
              <w:rPr>
                <w:rFonts w:hAnsi="宋体"/>
                <w:color w:val="0070C0"/>
                <w:sz w:val="24"/>
              </w:rPr>
            </w:pPr>
            <w:r>
              <w:rPr>
                <w:rFonts w:hint="eastAsia" w:hAnsi="宋体"/>
                <w:color w:val="0070C0"/>
                <w:sz w:val="24"/>
              </w:rPr>
              <w:t>本项目设危废暂存间1座，位于厂房东北角，占地面积5m</w:t>
            </w:r>
            <w:r>
              <w:rPr>
                <w:rFonts w:hint="eastAsia" w:hAnsi="宋体"/>
                <w:color w:val="0070C0"/>
                <w:sz w:val="24"/>
                <w:vertAlign w:val="superscript"/>
              </w:rPr>
              <w:t>2</w:t>
            </w:r>
            <w:r>
              <w:rPr>
                <w:rFonts w:hint="eastAsia" w:hAnsi="宋体"/>
                <w:color w:val="0070C0"/>
                <w:sz w:val="24"/>
              </w:rPr>
              <w:t>，用于存储危险废物。按照《危险废物贮存污染控制标准》（GB18597-2001）修改单相关规定处置，配置专门的危废贮存容器，并设置显目的危废标识牌。存储时使用符合标准的容器盛装，不相容的危险废物分开存放，同时记录危险废物的名称、来源、数量、特性和包装容器的类别、入库日期、存放库位、废物出库日期等。保证危险废物得到安全合理的处置。危险废物贮存容器选择必须做好防渗、防雨、防漏、防滴、防晒的要求。</w:t>
            </w:r>
          </w:p>
          <w:p>
            <w:pPr>
              <w:spacing w:line="360" w:lineRule="auto"/>
              <w:ind w:firstLine="480" w:firstLineChars="200"/>
              <w:rPr>
                <w:rFonts w:hAnsi="宋体"/>
                <w:sz w:val="24"/>
              </w:rPr>
            </w:pPr>
            <w:r>
              <w:rPr>
                <w:rFonts w:hint="eastAsia" w:hAnsi="宋体"/>
                <w:sz w:val="24"/>
              </w:rPr>
              <w:t>（3）生活垃圾</w:t>
            </w:r>
          </w:p>
          <w:p>
            <w:pPr>
              <w:spacing w:line="360" w:lineRule="auto"/>
              <w:ind w:firstLine="480" w:firstLineChars="200"/>
              <w:rPr>
                <w:rFonts w:hAnsi="宋体"/>
                <w:bCs/>
                <w:sz w:val="24"/>
              </w:rPr>
            </w:pPr>
            <w:r>
              <w:rPr>
                <w:rFonts w:hAnsi="宋体"/>
                <w:sz w:val="24"/>
              </w:rPr>
              <w:t>项目</w:t>
            </w:r>
            <w:r>
              <w:rPr>
                <w:rFonts w:hint="eastAsia" w:hAnsi="宋体"/>
                <w:sz w:val="24"/>
              </w:rPr>
              <w:t>营运</w:t>
            </w:r>
            <w:r>
              <w:rPr>
                <w:rFonts w:hAnsi="宋体"/>
                <w:sz w:val="24"/>
              </w:rPr>
              <w:t>期劳动定员为</w:t>
            </w:r>
            <w:r>
              <w:rPr>
                <w:rFonts w:hint="eastAsia" w:hAnsi="宋体"/>
                <w:sz w:val="24"/>
              </w:rPr>
              <w:t>82</w:t>
            </w:r>
            <w:r>
              <w:rPr>
                <w:rFonts w:hAnsi="宋体"/>
                <w:sz w:val="24"/>
              </w:rPr>
              <w:t>人，人均产生生活垃圾按</w:t>
            </w:r>
            <w:r>
              <w:rPr>
                <w:rFonts w:hint="eastAsia" w:hAnsi="宋体"/>
                <w:sz w:val="24"/>
              </w:rPr>
              <w:t>0.5</w:t>
            </w:r>
            <w:r>
              <w:rPr>
                <w:rFonts w:hAnsi="宋体"/>
                <w:sz w:val="24"/>
              </w:rPr>
              <w:t>kg/d计，则项目运营期生活垃圾产生量</w:t>
            </w:r>
            <w:r>
              <w:rPr>
                <w:rFonts w:hint="eastAsia" w:hAnsi="宋体"/>
                <w:sz w:val="24"/>
              </w:rPr>
              <w:t>约</w:t>
            </w:r>
            <w:r>
              <w:rPr>
                <w:rFonts w:hAnsi="宋体"/>
                <w:sz w:val="24"/>
              </w:rPr>
              <w:t>为</w:t>
            </w:r>
            <w:r>
              <w:rPr>
                <w:rFonts w:hint="eastAsia" w:hAnsi="宋体"/>
                <w:sz w:val="24"/>
              </w:rPr>
              <w:t>12.3</w:t>
            </w:r>
            <w:r>
              <w:rPr>
                <w:rFonts w:hAnsi="宋体"/>
                <w:sz w:val="24"/>
              </w:rPr>
              <w:t>t/a</w:t>
            </w:r>
            <w:r>
              <w:rPr>
                <w:rFonts w:hint="eastAsia" w:hAnsi="宋体"/>
                <w:sz w:val="24"/>
              </w:rPr>
              <w:t>。</w:t>
            </w:r>
            <w:r>
              <w:rPr>
                <w:rFonts w:hAnsi="宋体"/>
                <w:bCs/>
                <w:sz w:val="24"/>
              </w:rPr>
              <w:t>在现场配置一定数量的垃圾箱，及时清运至当地环卫部门指定的垃圾填埋场，避免孽生苍蝇、产生恶臭，影响施工人员和周围的卫生环境。</w:t>
            </w:r>
          </w:p>
          <w:p>
            <w:pPr>
              <w:spacing w:line="360" w:lineRule="auto"/>
              <w:ind w:firstLine="480" w:firstLineChars="200"/>
              <w:rPr>
                <w:rFonts w:hAnsi="宋体"/>
                <w:color w:val="FF0000"/>
                <w:sz w:val="24"/>
              </w:rPr>
            </w:pPr>
            <w:r>
              <w:rPr>
                <w:rFonts w:hint="eastAsia" w:hAnsi="宋体"/>
                <w:color w:val="FF0000"/>
                <w:sz w:val="24"/>
              </w:rPr>
              <w:t>职工餐厅使用过程中产生餐厨垃圾，餐厨垃圾产生量约为2.4t/a，废油脂产生量约为0.2t/a。餐厨垃圾集中收集交相关回收单位处置，其中，废油脂交由有资质单位处置。</w:t>
            </w:r>
          </w:p>
          <w:p>
            <w:pPr>
              <w:spacing w:line="240" w:lineRule="atLeast"/>
              <w:jc w:val="center"/>
              <w:rPr>
                <w:b/>
              </w:rPr>
            </w:pPr>
            <w:r>
              <w:rPr>
                <w:rFonts w:hint="eastAsia"/>
                <w:b/>
              </w:rPr>
              <w:t>表52   项目固体废物产生量及处置情况</w:t>
            </w:r>
          </w:p>
          <w:tbl>
            <w:tblPr>
              <w:tblStyle w:val="24"/>
              <w:tblW w:w="8824"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04"/>
              <w:gridCol w:w="1692"/>
              <w:gridCol w:w="1163"/>
              <w:gridCol w:w="1133"/>
              <w:gridCol w:w="865"/>
              <w:gridCol w:w="1134"/>
              <w:gridCol w:w="213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4" w:type="dxa"/>
                  <w:vAlign w:val="center"/>
                </w:tcPr>
                <w:p>
                  <w:pPr>
                    <w:pStyle w:val="76"/>
                    <w:rPr>
                      <w:sz w:val="21"/>
                      <w:szCs w:val="21"/>
                    </w:rPr>
                  </w:pPr>
                  <w:r>
                    <w:rPr>
                      <w:sz w:val="21"/>
                      <w:szCs w:val="21"/>
                    </w:rPr>
                    <w:t>序号</w:t>
                  </w:r>
                </w:p>
              </w:tc>
              <w:tc>
                <w:tcPr>
                  <w:tcW w:w="1692" w:type="dxa"/>
                  <w:vAlign w:val="center"/>
                </w:tcPr>
                <w:p>
                  <w:pPr>
                    <w:pStyle w:val="76"/>
                    <w:rPr>
                      <w:sz w:val="21"/>
                      <w:szCs w:val="21"/>
                    </w:rPr>
                  </w:pPr>
                  <w:r>
                    <w:rPr>
                      <w:sz w:val="21"/>
                      <w:szCs w:val="21"/>
                    </w:rPr>
                    <w:t>名称</w:t>
                  </w:r>
                </w:p>
              </w:tc>
              <w:tc>
                <w:tcPr>
                  <w:tcW w:w="1163" w:type="dxa"/>
                  <w:vAlign w:val="center"/>
                </w:tcPr>
                <w:p>
                  <w:pPr>
                    <w:pStyle w:val="76"/>
                    <w:rPr>
                      <w:sz w:val="21"/>
                      <w:szCs w:val="21"/>
                    </w:rPr>
                  </w:pPr>
                  <w:r>
                    <w:rPr>
                      <w:rFonts w:hint="eastAsia"/>
                      <w:sz w:val="21"/>
                      <w:szCs w:val="21"/>
                    </w:rPr>
                    <w:t>属性</w:t>
                  </w:r>
                </w:p>
              </w:tc>
              <w:tc>
                <w:tcPr>
                  <w:tcW w:w="1133" w:type="dxa"/>
                  <w:vAlign w:val="center"/>
                </w:tcPr>
                <w:p>
                  <w:pPr>
                    <w:pStyle w:val="76"/>
                    <w:rPr>
                      <w:sz w:val="21"/>
                      <w:szCs w:val="21"/>
                    </w:rPr>
                  </w:pPr>
                  <w:r>
                    <w:rPr>
                      <w:rFonts w:hint="eastAsia"/>
                      <w:sz w:val="21"/>
                      <w:szCs w:val="21"/>
                    </w:rPr>
                    <w:t>产生工序</w:t>
                  </w:r>
                </w:p>
              </w:tc>
              <w:tc>
                <w:tcPr>
                  <w:tcW w:w="865" w:type="dxa"/>
                  <w:vAlign w:val="center"/>
                </w:tcPr>
                <w:p>
                  <w:pPr>
                    <w:pStyle w:val="76"/>
                    <w:rPr>
                      <w:sz w:val="21"/>
                      <w:szCs w:val="21"/>
                    </w:rPr>
                  </w:pPr>
                  <w:r>
                    <w:rPr>
                      <w:sz w:val="21"/>
                      <w:szCs w:val="21"/>
                    </w:rPr>
                    <w:t>产生量</w:t>
                  </w:r>
                </w:p>
              </w:tc>
              <w:tc>
                <w:tcPr>
                  <w:tcW w:w="1134" w:type="dxa"/>
                  <w:vAlign w:val="center"/>
                </w:tcPr>
                <w:p>
                  <w:pPr>
                    <w:pStyle w:val="76"/>
                    <w:rPr>
                      <w:sz w:val="21"/>
                      <w:szCs w:val="21"/>
                    </w:rPr>
                  </w:pPr>
                  <w:r>
                    <w:rPr>
                      <w:sz w:val="21"/>
                      <w:szCs w:val="21"/>
                    </w:rPr>
                    <w:t>主要成分</w:t>
                  </w:r>
                </w:p>
              </w:tc>
              <w:tc>
                <w:tcPr>
                  <w:tcW w:w="2133" w:type="dxa"/>
                  <w:vAlign w:val="center"/>
                </w:tcPr>
                <w:p>
                  <w:pPr>
                    <w:pStyle w:val="76"/>
                    <w:rPr>
                      <w:sz w:val="21"/>
                      <w:szCs w:val="21"/>
                    </w:rPr>
                  </w:pPr>
                  <w:r>
                    <w:rPr>
                      <w:sz w:val="21"/>
                      <w:szCs w:val="21"/>
                    </w:rPr>
                    <w:t>处置方式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4" w:type="dxa"/>
                  <w:vAlign w:val="center"/>
                </w:tcPr>
                <w:p>
                  <w:pPr>
                    <w:pStyle w:val="76"/>
                    <w:rPr>
                      <w:sz w:val="21"/>
                      <w:szCs w:val="21"/>
                    </w:rPr>
                  </w:pPr>
                  <w:r>
                    <w:rPr>
                      <w:sz w:val="21"/>
                      <w:szCs w:val="21"/>
                    </w:rPr>
                    <w:t>1</w:t>
                  </w:r>
                </w:p>
              </w:tc>
              <w:tc>
                <w:tcPr>
                  <w:tcW w:w="1692" w:type="dxa"/>
                  <w:vAlign w:val="center"/>
                </w:tcPr>
                <w:p>
                  <w:pPr>
                    <w:pStyle w:val="76"/>
                    <w:rPr>
                      <w:sz w:val="21"/>
                      <w:szCs w:val="21"/>
                    </w:rPr>
                  </w:pPr>
                  <w:r>
                    <w:rPr>
                      <w:rFonts w:hint="eastAsia"/>
                      <w:sz w:val="21"/>
                      <w:szCs w:val="21"/>
                    </w:rPr>
                    <w:t>废瓦坯</w:t>
                  </w:r>
                </w:p>
              </w:tc>
              <w:tc>
                <w:tcPr>
                  <w:tcW w:w="1163" w:type="dxa"/>
                  <w:vAlign w:val="center"/>
                </w:tcPr>
                <w:p>
                  <w:pPr>
                    <w:pStyle w:val="76"/>
                    <w:rPr>
                      <w:sz w:val="21"/>
                      <w:szCs w:val="21"/>
                    </w:rPr>
                  </w:pPr>
                  <w:r>
                    <w:rPr>
                      <w:rFonts w:hint="eastAsia"/>
                      <w:sz w:val="21"/>
                      <w:szCs w:val="21"/>
                    </w:rPr>
                    <w:t>一般固废</w:t>
                  </w:r>
                </w:p>
              </w:tc>
              <w:tc>
                <w:tcPr>
                  <w:tcW w:w="1133" w:type="dxa"/>
                  <w:vAlign w:val="center"/>
                </w:tcPr>
                <w:p>
                  <w:pPr>
                    <w:pStyle w:val="76"/>
                    <w:rPr>
                      <w:sz w:val="21"/>
                      <w:szCs w:val="21"/>
                    </w:rPr>
                  </w:pPr>
                  <w:r>
                    <w:rPr>
                      <w:rFonts w:hint="eastAsia"/>
                      <w:sz w:val="21"/>
                      <w:szCs w:val="21"/>
                    </w:rPr>
                    <w:t>隧道窑</w:t>
                  </w:r>
                </w:p>
              </w:tc>
              <w:tc>
                <w:tcPr>
                  <w:tcW w:w="865" w:type="dxa"/>
                  <w:vAlign w:val="center"/>
                </w:tcPr>
                <w:p>
                  <w:pPr>
                    <w:pStyle w:val="76"/>
                    <w:rPr>
                      <w:sz w:val="21"/>
                      <w:szCs w:val="21"/>
                    </w:rPr>
                  </w:pPr>
                  <w:r>
                    <w:rPr>
                      <w:rFonts w:hint="eastAsia"/>
                      <w:sz w:val="21"/>
                      <w:szCs w:val="21"/>
                    </w:rPr>
                    <w:t>3380</w:t>
                  </w:r>
                  <w:r>
                    <w:rPr>
                      <w:sz w:val="21"/>
                      <w:szCs w:val="21"/>
                    </w:rPr>
                    <w:t>t/a</w:t>
                  </w:r>
                </w:p>
              </w:tc>
              <w:tc>
                <w:tcPr>
                  <w:tcW w:w="1134" w:type="dxa"/>
                  <w:vAlign w:val="center"/>
                </w:tcPr>
                <w:p>
                  <w:pPr>
                    <w:pStyle w:val="76"/>
                    <w:rPr>
                      <w:sz w:val="21"/>
                      <w:szCs w:val="21"/>
                    </w:rPr>
                  </w:pPr>
                  <w:r>
                    <w:rPr>
                      <w:rFonts w:hint="eastAsia"/>
                      <w:sz w:val="21"/>
                      <w:szCs w:val="21"/>
                    </w:rPr>
                    <w:t>粘土</w:t>
                  </w:r>
                </w:p>
              </w:tc>
              <w:tc>
                <w:tcPr>
                  <w:tcW w:w="2133" w:type="dxa"/>
                  <w:vAlign w:val="center"/>
                </w:tcPr>
                <w:p>
                  <w:pPr>
                    <w:pStyle w:val="76"/>
                    <w:rPr>
                      <w:sz w:val="21"/>
                      <w:szCs w:val="21"/>
                    </w:rPr>
                  </w:pPr>
                  <w:r>
                    <w:rPr>
                      <w:rFonts w:hint="eastAsia"/>
                      <w:sz w:val="21"/>
                      <w:szCs w:val="21"/>
                    </w:rPr>
                    <w:t>回用于生产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04" w:type="dxa"/>
                  <w:vAlign w:val="center"/>
                </w:tcPr>
                <w:p>
                  <w:pPr>
                    <w:pStyle w:val="76"/>
                    <w:rPr>
                      <w:sz w:val="21"/>
                      <w:szCs w:val="21"/>
                    </w:rPr>
                  </w:pPr>
                  <w:r>
                    <w:rPr>
                      <w:rFonts w:hint="eastAsia"/>
                      <w:sz w:val="21"/>
                      <w:szCs w:val="21"/>
                    </w:rPr>
                    <w:t>2</w:t>
                  </w:r>
                </w:p>
              </w:tc>
              <w:tc>
                <w:tcPr>
                  <w:tcW w:w="1692" w:type="dxa"/>
                  <w:vAlign w:val="center"/>
                </w:tcPr>
                <w:p>
                  <w:pPr>
                    <w:pStyle w:val="76"/>
                    <w:rPr>
                      <w:sz w:val="21"/>
                      <w:szCs w:val="21"/>
                    </w:rPr>
                  </w:pPr>
                  <w:r>
                    <w:rPr>
                      <w:rFonts w:hint="eastAsia"/>
                      <w:sz w:val="21"/>
                      <w:szCs w:val="21"/>
                    </w:rPr>
                    <w:t>废机油</w:t>
                  </w:r>
                </w:p>
              </w:tc>
              <w:tc>
                <w:tcPr>
                  <w:tcW w:w="1163" w:type="dxa"/>
                  <w:vAlign w:val="center"/>
                </w:tcPr>
                <w:p>
                  <w:pPr>
                    <w:pStyle w:val="76"/>
                    <w:rPr>
                      <w:sz w:val="21"/>
                      <w:szCs w:val="21"/>
                    </w:rPr>
                  </w:pPr>
                  <w:r>
                    <w:rPr>
                      <w:rFonts w:hint="eastAsia"/>
                      <w:sz w:val="21"/>
                      <w:szCs w:val="21"/>
                    </w:rPr>
                    <w:t>危险废物</w:t>
                  </w:r>
                </w:p>
              </w:tc>
              <w:tc>
                <w:tcPr>
                  <w:tcW w:w="1133" w:type="dxa"/>
                  <w:vAlign w:val="center"/>
                </w:tcPr>
                <w:p>
                  <w:pPr>
                    <w:pStyle w:val="76"/>
                    <w:rPr>
                      <w:sz w:val="21"/>
                      <w:szCs w:val="21"/>
                    </w:rPr>
                  </w:pPr>
                  <w:r>
                    <w:rPr>
                      <w:rFonts w:hint="eastAsia"/>
                      <w:sz w:val="21"/>
                      <w:szCs w:val="21"/>
                    </w:rPr>
                    <w:t>设备维修</w:t>
                  </w:r>
                </w:p>
              </w:tc>
              <w:tc>
                <w:tcPr>
                  <w:tcW w:w="865" w:type="dxa"/>
                  <w:vAlign w:val="center"/>
                </w:tcPr>
                <w:p>
                  <w:pPr>
                    <w:pStyle w:val="76"/>
                    <w:rPr>
                      <w:sz w:val="21"/>
                      <w:szCs w:val="21"/>
                    </w:rPr>
                  </w:pPr>
                  <w:r>
                    <w:rPr>
                      <w:rFonts w:hint="eastAsia"/>
                      <w:sz w:val="21"/>
                      <w:szCs w:val="21"/>
                    </w:rPr>
                    <w:t>0.05</w:t>
                  </w:r>
                  <w:r>
                    <w:rPr>
                      <w:sz w:val="21"/>
                      <w:szCs w:val="21"/>
                    </w:rPr>
                    <w:t xml:space="preserve"> t/a</w:t>
                  </w:r>
                </w:p>
              </w:tc>
              <w:tc>
                <w:tcPr>
                  <w:tcW w:w="1134" w:type="dxa"/>
                  <w:vAlign w:val="center"/>
                </w:tcPr>
                <w:p>
                  <w:pPr>
                    <w:pStyle w:val="76"/>
                    <w:rPr>
                      <w:sz w:val="21"/>
                      <w:szCs w:val="21"/>
                    </w:rPr>
                  </w:pPr>
                  <w:r>
                    <w:rPr>
                      <w:rFonts w:hint="eastAsia"/>
                      <w:sz w:val="21"/>
                      <w:szCs w:val="21"/>
                    </w:rPr>
                    <w:t>矿物油</w:t>
                  </w:r>
                </w:p>
              </w:tc>
              <w:tc>
                <w:tcPr>
                  <w:tcW w:w="2133" w:type="dxa"/>
                  <w:vAlign w:val="center"/>
                </w:tcPr>
                <w:p>
                  <w:pPr>
                    <w:pStyle w:val="76"/>
                    <w:rPr>
                      <w:sz w:val="21"/>
                      <w:szCs w:val="21"/>
                    </w:rPr>
                  </w:pPr>
                  <w:r>
                    <w:rPr>
                      <w:rFonts w:hint="eastAsia"/>
                      <w:sz w:val="21"/>
                      <w:szCs w:val="21"/>
                    </w:rPr>
                    <w:t>交有资质单位处置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704" w:type="dxa"/>
                  <w:vAlign w:val="center"/>
                </w:tcPr>
                <w:p>
                  <w:pPr>
                    <w:pStyle w:val="76"/>
                    <w:rPr>
                      <w:sz w:val="21"/>
                      <w:szCs w:val="21"/>
                    </w:rPr>
                  </w:pPr>
                  <w:r>
                    <w:rPr>
                      <w:rFonts w:hint="eastAsia"/>
                      <w:sz w:val="21"/>
                      <w:szCs w:val="21"/>
                    </w:rPr>
                    <w:t>3</w:t>
                  </w:r>
                </w:p>
              </w:tc>
              <w:tc>
                <w:tcPr>
                  <w:tcW w:w="1692" w:type="dxa"/>
                  <w:vAlign w:val="center"/>
                </w:tcPr>
                <w:p>
                  <w:pPr>
                    <w:pStyle w:val="76"/>
                    <w:rPr>
                      <w:sz w:val="21"/>
                      <w:szCs w:val="21"/>
                    </w:rPr>
                  </w:pPr>
                  <w:r>
                    <w:rPr>
                      <w:sz w:val="21"/>
                      <w:szCs w:val="21"/>
                    </w:rPr>
                    <w:t>生活垃圾</w:t>
                  </w:r>
                </w:p>
              </w:tc>
              <w:tc>
                <w:tcPr>
                  <w:tcW w:w="1163" w:type="dxa"/>
                  <w:vAlign w:val="center"/>
                </w:tcPr>
                <w:p>
                  <w:pPr>
                    <w:pStyle w:val="76"/>
                    <w:rPr>
                      <w:sz w:val="21"/>
                      <w:szCs w:val="21"/>
                    </w:rPr>
                  </w:pPr>
                  <w:r>
                    <w:rPr>
                      <w:rFonts w:hint="eastAsia"/>
                      <w:sz w:val="21"/>
                      <w:szCs w:val="21"/>
                    </w:rPr>
                    <w:t>一般固废</w:t>
                  </w:r>
                </w:p>
              </w:tc>
              <w:tc>
                <w:tcPr>
                  <w:tcW w:w="1133" w:type="dxa"/>
                  <w:vAlign w:val="center"/>
                </w:tcPr>
                <w:p>
                  <w:pPr>
                    <w:pStyle w:val="76"/>
                    <w:rPr>
                      <w:sz w:val="21"/>
                      <w:szCs w:val="21"/>
                    </w:rPr>
                  </w:pPr>
                  <w:r>
                    <w:rPr>
                      <w:rFonts w:hint="eastAsia"/>
                      <w:sz w:val="21"/>
                      <w:szCs w:val="21"/>
                    </w:rPr>
                    <w:t>厂区</w:t>
                  </w:r>
                </w:p>
              </w:tc>
              <w:tc>
                <w:tcPr>
                  <w:tcW w:w="865" w:type="dxa"/>
                  <w:vAlign w:val="center"/>
                </w:tcPr>
                <w:p>
                  <w:pPr>
                    <w:pStyle w:val="76"/>
                    <w:rPr>
                      <w:sz w:val="21"/>
                      <w:szCs w:val="21"/>
                    </w:rPr>
                  </w:pPr>
                  <w:r>
                    <w:rPr>
                      <w:rFonts w:hint="eastAsia"/>
                      <w:sz w:val="21"/>
                      <w:szCs w:val="21"/>
                    </w:rPr>
                    <w:t>12.3</w:t>
                  </w:r>
                  <w:r>
                    <w:rPr>
                      <w:sz w:val="21"/>
                      <w:szCs w:val="21"/>
                    </w:rPr>
                    <w:t>t/a</w:t>
                  </w:r>
                </w:p>
              </w:tc>
              <w:tc>
                <w:tcPr>
                  <w:tcW w:w="1134" w:type="dxa"/>
                  <w:vAlign w:val="center"/>
                </w:tcPr>
                <w:p>
                  <w:pPr>
                    <w:pStyle w:val="76"/>
                    <w:rPr>
                      <w:sz w:val="21"/>
                      <w:szCs w:val="21"/>
                    </w:rPr>
                  </w:pPr>
                  <w:r>
                    <w:rPr>
                      <w:sz w:val="21"/>
                      <w:szCs w:val="21"/>
                    </w:rPr>
                    <w:t>生活垃圾</w:t>
                  </w:r>
                </w:p>
              </w:tc>
              <w:tc>
                <w:tcPr>
                  <w:tcW w:w="2133" w:type="dxa"/>
                  <w:vAlign w:val="center"/>
                </w:tcPr>
                <w:p>
                  <w:pPr>
                    <w:pStyle w:val="76"/>
                    <w:rPr>
                      <w:sz w:val="21"/>
                      <w:szCs w:val="21"/>
                    </w:rPr>
                  </w:pPr>
                  <w:r>
                    <w:rPr>
                      <w:rFonts w:hint="eastAsia"/>
                      <w:sz w:val="21"/>
                      <w:szCs w:val="21"/>
                    </w:rPr>
                    <w:t>委托</w:t>
                  </w:r>
                  <w:r>
                    <w:rPr>
                      <w:sz w:val="21"/>
                      <w:szCs w:val="21"/>
                    </w:rPr>
                    <w:t>环卫</w:t>
                  </w:r>
                  <w:r>
                    <w:rPr>
                      <w:rFonts w:hint="eastAsia"/>
                      <w:sz w:val="21"/>
                      <w:szCs w:val="21"/>
                    </w:rPr>
                    <w:t>部门</w:t>
                  </w:r>
                  <w:r>
                    <w:rPr>
                      <w:sz w:val="21"/>
                      <w:szCs w:val="21"/>
                    </w:rPr>
                    <w:t>清运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704" w:type="dxa"/>
                  <w:vAlign w:val="center"/>
                </w:tcPr>
                <w:p>
                  <w:pPr>
                    <w:pStyle w:val="76"/>
                    <w:rPr>
                      <w:sz w:val="21"/>
                      <w:szCs w:val="21"/>
                    </w:rPr>
                  </w:pPr>
                  <w:r>
                    <w:rPr>
                      <w:rFonts w:hint="eastAsia"/>
                      <w:color w:val="FF0000"/>
                      <w:sz w:val="21"/>
                      <w:szCs w:val="21"/>
                    </w:rPr>
                    <w:t>4</w:t>
                  </w:r>
                </w:p>
              </w:tc>
              <w:tc>
                <w:tcPr>
                  <w:tcW w:w="1692" w:type="dxa"/>
                  <w:vAlign w:val="center"/>
                </w:tcPr>
                <w:p>
                  <w:pPr>
                    <w:pStyle w:val="76"/>
                    <w:rPr>
                      <w:sz w:val="21"/>
                      <w:szCs w:val="21"/>
                    </w:rPr>
                  </w:pPr>
                  <w:r>
                    <w:rPr>
                      <w:rFonts w:hint="eastAsia"/>
                      <w:color w:val="FF0000"/>
                      <w:sz w:val="21"/>
                      <w:szCs w:val="21"/>
                    </w:rPr>
                    <w:t>餐厨垃圾</w:t>
                  </w:r>
                </w:p>
              </w:tc>
              <w:tc>
                <w:tcPr>
                  <w:tcW w:w="1163" w:type="dxa"/>
                  <w:vAlign w:val="center"/>
                </w:tcPr>
                <w:p>
                  <w:pPr>
                    <w:pStyle w:val="76"/>
                    <w:rPr>
                      <w:sz w:val="21"/>
                      <w:szCs w:val="21"/>
                    </w:rPr>
                  </w:pPr>
                  <w:r>
                    <w:rPr>
                      <w:rFonts w:hint="eastAsia"/>
                      <w:color w:val="FF0000"/>
                      <w:sz w:val="21"/>
                      <w:szCs w:val="21"/>
                    </w:rPr>
                    <w:t>一般固废</w:t>
                  </w:r>
                </w:p>
              </w:tc>
              <w:tc>
                <w:tcPr>
                  <w:tcW w:w="1133" w:type="dxa"/>
                  <w:vAlign w:val="center"/>
                </w:tcPr>
                <w:p>
                  <w:pPr>
                    <w:pStyle w:val="76"/>
                    <w:rPr>
                      <w:sz w:val="21"/>
                      <w:szCs w:val="21"/>
                    </w:rPr>
                  </w:pPr>
                  <w:r>
                    <w:rPr>
                      <w:rFonts w:hint="eastAsia"/>
                      <w:color w:val="FF0000"/>
                      <w:sz w:val="21"/>
                      <w:szCs w:val="21"/>
                    </w:rPr>
                    <w:t>餐厅</w:t>
                  </w:r>
                </w:p>
              </w:tc>
              <w:tc>
                <w:tcPr>
                  <w:tcW w:w="865" w:type="dxa"/>
                  <w:vAlign w:val="center"/>
                </w:tcPr>
                <w:p>
                  <w:pPr>
                    <w:pStyle w:val="76"/>
                    <w:rPr>
                      <w:sz w:val="21"/>
                      <w:szCs w:val="21"/>
                    </w:rPr>
                  </w:pPr>
                  <w:r>
                    <w:rPr>
                      <w:rFonts w:hint="eastAsia"/>
                      <w:color w:val="FF0000"/>
                      <w:sz w:val="21"/>
                      <w:szCs w:val="21"/>
                    </w:rPr>
                    <w:t>2.4t/a</w:t>
                  </w:r>
                </w:p>
              </w:tc>
              <w:tc>
                <w:tcPr>
                  <w:tcW w:w="1134" w:type="dxa"/>
                  <w:vAlign w:val="center"/>
                </w:tcPr>
                <w:p>
                  <w:pPr>
                    <w:pStyle w:val="76"/>
                    <w:rPr>
                      <w:sz w:val="21"/>
                      <w:szCs w:val="21"/>
                    </w:rPr>
                  </w:pPr>
                  <w:r>
                    <w:rPr>
                      <w:rFonts w:hint="eastAsia"/>
                      <w:color w:val="FF0000"/>
                      <w:sz w:val="21"/>
                      <w:szCs w:val="21"/>
                    </w:rPr>
                    <w:t>餐厨废物</w:t>
                  </w:r>
                </w:p>
              </w:tc>
              <w:tc>
                <w:tcPr>
                  <w:tcW w:w="2133" w:type="dxa"/>
                  <w:vAlign w:val="center"/>
                </w:tcPr>
                <w:p>
                  <w:pPr>
                    <w:pStyle w:val="76"/>
                    <w:rPr>
                      <w:sz w:val="21"/>
                      <w:szCs w:val="21"/>
                    </w:rPr>
                  </w:pPr>
                  <w:r>
                    <w:rPr>
                      <w:rFonts w:hint="eastAsia"/>
                      <w:color w:val="FF0000"/>
                      <w:sz w:val="21"/>
                      <w:szCs w:val="21"/>
                    </w:rPr>
                    <w:t>交专业回收单位回收处置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3" w:hRule="atLeast"/>
              </w:trPr>
              <w:tc>
                <w:tcPr>
                  <w:tcW w:w="704" w:type="dxa"/>
                  <w:vAlign w:val="center"/>
                </w:tcPr>
                <w:p>
                  <w:pPr>
                    <w:pStyle w:val="76"/>
                    <w:rPr>
                      <w:sz w:val="21"/>
                      <w:szCs w:val="21"/>
                    </w:rPr>
                  </w:pPr>
                  <w:r>
                    <w:rPr>
                      <w:rFonts w:hint="eastAsia"/>
                      <w:color w:val="FF0000"/>
                      <w:sz w:val="21"/>
                      <w:szCs w:val="21"/>
                    </w:rPr>
                    <w:t>5</w:t>
                  </w:r>
                </w:p>
              </w:tc>
              <w:tc>
                <w:tcPr>
                  <w:tcW w:w="1692" w:type="dxa"/>
                  <w:vAlign w:val="center"/>
                </w:tcPr>
                <w:p>
                  <w:pPr>
                    <w:pStyle w:val="76"/>
                    <w:rPr>
                      <w:sz w:val="21"/>
                      <w:szCs w:val="21"/>
                    </w:rPr>
                  </w:pPr>
                  <w:r>
                    <w:rPr>
                      <w:rFonts w:hint="eastAsia"/>
                      <w:color w:val="FF0000"/>
                      <w:sz w:val="21"/>
                      <w:szCs w:val="21"/>
                    </w:rPr>
                    <w:t>废油脂</w:t>
                  </w:r>
                </w:p>
              </w:tc>
              <w:tc>
                <w:tcPr>
                  <w:tcW w:w="1163" w:type="dxa"/>
                  <w:vAlign w:val="center"/>
                </w:tcPr>
                <w:p>
                  <w:pPr>
                    <w:pStyle w:val="76"/>
                    <w:rPr>
                      <w:sz w:val="21"/>
                      <w:szCs w:val="21"/>
                    </w:rPr>
                  </w:pPr>
                  <w:r>
                    <w:rPr>
                      <w:rFonts w:hint="eastAsia"/>
                      <w:color w:val="FF0000"/>
                      <w:sz w:val="21"/>
                      <w:szCs w:val="21"/>
                    </w:rPr>
                    <w:t>一般固废</w:t>
                  </w:r>
                </w:p>
              </w:tc>
              <w:tc>
                <w:tcPr>
                  <w:tcW w:w="1133" w:type="dxa"/>
                  <w:vAlign w:val="center"/>
                </w:tcPr>
                <w:p>
                  <w:pPr>
                    <w:pStyle w:val="76"/>
                    <w:rPr>
                      <w:sz w:val="21"/>
                      <w:szCs w:val="21"/>
                    </w:rPr>
                  </w:pPr>
                  <w:r>
                    <w:rPr>
                      <w:rFonts w:hint="eastAsia"/>
                      <w:color w:val="FF0000"/>
                      <w:sz w:val="21"/>
                      <w:szCs w:val="21"/>
                    </w:rPr>
                    <w:t>餐厅</w:t>
                  </w:r>
                </w:p>
              </w:tc>
              <w:tc>
                <w:tcPr>
                  <w:tcW w:w="865" w:type="dxa"/>
                  <w:vAlign w:val="center"/>
                </w:tcPr>
                <w:p>
                  <w:pPr>
                    <w:pStyle w:val="76"/>
                    <w:rPr>
                      <w:sz w:val="21"/>
                      <w:szCs w:val="21"/>
                    </w:rPr>
                  </w:pPr>
                  <w:r>
                    <w:rPr>
                      <w:rFonts w:hint="eastAsia"/>
                      <w:color w:val="FF0000"/>
                      <w:sz w:val="21"/>
                      <w:szCs w:val="21"/>
                    </w:rPr>
                    <w:t>0.2t/a</w:t>
                  </w:r>
                </w:p>
              </w:tc>
              <w:tc>
                <w:tcPr>
                  <w:tcW w:w="1134" w:type="dxa"/>
                  <w:vAlign w:val="center"/>
                </w:tcPr>
                <w:p>
                  <w:pPr>
                    <w:pStyle w:val="76"/>
                    <w:rPr>
                      <w:sz w:val="21"/>
                      <w:szCs w:val="21"/>
                    </w:rPr>
                  </w:pPr>
                  <w:r>
                    <w:rPr>
                      <w:rFonts w:hint="eastAsia"/>
                      <w:color w:val="FF0000"/>
                      <w:sz w:val="21"/>
                      <w:szCs w:val="21"/>
                    </w:rPr>
                    <w:t>油脂</w:t>
                  </w:r>
                </w:p>
              </w:tc>
              <w:tc>
                <w:tcPr>
                  <w:tcW w:w="2133" w:type="dxa"/>
                  <w:vAlign w:val="center"/>
                </w:tcPr>
                <w:p>
                  <w:pPr>
                    <w:pStyle w:val="76"/>
                    <w:rPr>
                      <w:sz w:val="21"/>
                      <w:szCs w:val="21"/>
                    </w:rPr>
                  </w:pPr>
                  <w:r>
                    <w:rPr>
                      <w:rFonts w:hint="eastAsia"/>
                      <w:color w:val="FF0000"/>
                      <w:sz w:val="21"/>
                      <w:szCs w:val="21"/>
                    </w:rPr>
                    <w:t>交有资质单位处置</w:t>
                  </w:r>
                </w:p>
              </w:tc>
            </w:tr>
          </w:tbl>
          <w:p>
            <w:pPr>
              <w:spacing w:line="360" w:lineRule="auto"/>
              <w:ind w:firstLine="480" w:firstLineChars="200"/>
              <w:rPr>
                <w:sz w:val="24"/>
              </w:rPr>
            </w:pPr>
            <w:r>
              <w:rPr>
                <w:sz w:val="24"/>
              </w:rPr>
              <w:t>在对固体废物实行妥善处置的前提下，对环境的影响不大。</w:t>
            </w:r>
          </w:p>
          <w:p>
            <w:pPr>
              <w:pStyle w:val="11"/>
              <w:spacing w:line="360" w:lineRule="auto"/>
              <w:ind w:firstLine="482" w:firstLineChars="200"/>
              <w:rPr>
                <w:rFonts w:hAnsi="宋体"/>
                <w:b/>
                <w:bCs/>
                <w:kern w:val="2"/>
                <w:sz w:val="24"/>
                <w:lang w:val="en-US"/>
              </w:rPr>
            </w:pPr>
            <w:r>
              <w:rPr>
                <w:rFonts w:hint="eastAsia"/>
                <w:b/>
                <w:bCs/>
                <w:kern w:val="2"/>
                <w:sz w:val="24"/>
                <w:lang w:val="en-US"/>
              </w:rPr>
              <w:t>五</w:t>
            </w:r>
            <w:r>
              <w:rPr>
                <w:rFonts w:hAnsi="宋体"/>
                <w:b/>
                <w:bCs/>
                <w:kern w:val="2"/>
                <w:sz w:val="24"/>
                <w:lang w:val="en-US"/>
              </w:rPr>
              <w:t>、</w:t>
            </w:r>
            <w:r>
              <w:rPr>
                <w:rFonts w:hint="eastAsia" w:hAnsi="宋体"/>
                <w:b/>
                <w:bCs/>
                <w:kern w:val="2"/>
                <w:sz w:val="24"/>
                <w:lang w:val="en-US"/>
              </w:rPr>
              <w:t>土壤环境影响分析</w:t>
            </w:r>
          </w:p>
          <w:p>
            <w:pPr>
              <w:pStyle w:val="11"/>
              <w:spacing w:line="360" w:lineRule="auto"/>
              <w:ind w:firstLineChars="200"/>
              <w:rPr>
                <w:rFonts w:hAnsi="宋体"/>
                <w:bCs/>
                <w:color w:val="FF0000"/>
                <w:kern w:val="2"/>
                <w:sz w:val="24"/>
                <w:lang w:val="en-US"/>
              </w:rPr>
            </w:pPr>
            <w:r>
              <w:rPr>
                <w:rFonts w:hint="eastAsia" w:hAnsi="宋体"/>
                <w:bCs/>
                <w:color w:val="FF0000"/>
                <w:kern w:val="2"/>
                <w:sz w:val="24"/>
                <w:lang w:val="en-US"/>
              </w:rPr>
              <w:t>本项目属于污染类项目，根据《环境影响评价技术导则 土壤环境》（HJ964-2016）附录A.1，为金属冶炼和压延加工及非金属矿物制品行业中的其他，确定本项目的土壤环境影响评价项目类别为Ⅲ类建设项目。</w:t>
            </w:r>
          </w:p>
          <w:p>
            <w:pPr>
              <w:pStyle w:val="11"/>
              <w:spacing w:line="360" w:lineRule="auto"/>
              <w:ind w:firstLineChars="200"/>
              <w:rPr>
                <w:rFonts w:hAnsi="宋体"/>
                <w:bCs/>
                <w:kern w:val="2"/>
                <w:sz w:val="24"/>
                <w:lang w:val="en-US"/>
              </w:rPr>
            </w:pPr>
            <w:r>
              <w:rPr>
                <w:rFonts w:hint="eastAsia" w:hAnsi="宋体"/>
                <w:bCs/>
                <w:kern w:val="2"/>
                <w:sz w:val="24"/>
                <w:lang w:val="en-US"/>
              </w:rPr>
              <w:t>将建设项目占地规模分为大型（≥50 hm</w:t>
            </w:r>
            <w:r>
              <w:rPr>
                <w:rFonts w:hint="eastAsia" w:hAnsi="宋体"/>
                <w:bCs/>
                <w:kern w:val="2"/>
                <w:sz w:val="24"/>
                <w:vertAlign w:val="superscript"/>
                <w:lang w:val="en-US"/>
              </w:rPr>
              <w:t>2</w:t>
            </w:r>
            <w:r>
              <w:rPr>
                <w:rFonts w:hint="eastAsia" w:hAnsi="宋体"/>
                <w:bCs/>
                <w:kern w:val="2"/>
                <w:sz w:val="24"/>
                <w:lang w:val="en-US"/>
              </w:rPr>
              <w:t>）、中型（5~50 hm</w:t>
            </w:r>
            <w:r>
              <w:rPr>
                <w:rFonts w:hint="eastAsia" w:hAnsi="宋体"/>
                <w:bCs/>
                <w:kern w:val="2"/>
                <w:sz w:val="24"/>
                <w:vertAlign w:val="superscript"/>
                <w:lang w:val="en-US"/>
              </w:rPr>
              <w:t>2</w:t>
            </w:r>
            <w:r>
              <w:rPr>
                <w:rFonts w:hint="eastAsia" w:hAnsi="宋体"/>
                <w:bCs/>
                <w:kern w:val="2"/>
                <w:sz w:val="24"/>
                <w:lang w:val="en-US"/>
              </w:rPr>
              <w:t>）、小型（≤5 hm</w:t>
            </w:r>
            <w:r>
              <w:rPr>
                <w:rFonts w:hint="eastAsia" w:hAnsi="宋体"/>
                <w:bCs/>
                <w:kern w:val="2"/>
                <w:sz w:val="24"/>
                <w:vertAlign w:val="superscript"/>
                <w:lang w:val="en-US"/>
              </w:rPr>
              <w:t>2</w:t>
            </w:r>
            <w:r>
              <w:rPr>
                <w:rFonts w:hint="eastAsia" w:hAnsi="宋体"/>
                <w:bCs/>
                <w:kern w:val="2"/>
                <w:sz w:val="24"/>
                <w:lang w:val="en-US"/>
              </w:rPr>
              <w:t>），本项目占地主要为永久占地。本项目占地14hm</w:t>
            </w:r>
            <w:r>
              <w:rPr>
                <w:rFonts w:hint="eastAsia" w:hAnsi="宋体"/>
                <w:bCs/>
                <w:kern w:val="2"/>
                <w:sz w:val="24"/>
                <w:vertAlign w:val="superscript"/>
                <w:lang w:val="en-US"/>
              </w:rPr>
              <w:t>2</w:t>
            </w:r>
            <w:r>
              <w:rPr>
                <w:rFonts w:hint="eastAsia" w:hAnsi="宋体"/>
                <w:bCs/>
                <w:kern w:val="2"/>
                <w:sz w:val="24"/>
                <w:lang w:val="en-US"/>
              </w:rPr>
              <w:t>，属于中型。项目周围有耕地、果园，属敏感，因此，</w:t>
            </w:r>
            <w:r>
              <w:rPr>
                <w:rFonts w:hint="eastAsia" w:hAnsi="宋体"/>
                <w:bCs/>
                <w:color w:val="FF0000"/>
                <w:kern w:val="2"/>
                <w:sz w:val="24"/>
                <w:lang w:val="en-US"/>
              </w:rPr>
              <w:t>项目土壤为三级评价。</w:t>
            </w:r>
          </w:p>
          <w:p>
            <w:pPr>
              <w:pStyle w:val="11"/>
              <w:spacing w:line="360" w:lineRule="auto"/>
              <w:ind w:firstLineChars="200"/>
              <w:rPr>
                <w:rFonts w:hAnsi="宋体"/>
                <w:bCs/>
                <w:kern w:val="2"/>
                <w:sz w:val="24"/>
                <w:lang w:val="en-US"/>
              </w:rPr>
            </w:pPr>
            <w:r>
              <w:rPr>
                <w:rFonts w:hint="eastAsia" w:hAnsi="宋体"/>
                <w:bCs/>
                <w:kern w:val="2"/>
                <w:sz w:val="24"/>
                <w:lang w:val="en-US"/>
              </w:rPr>
              <w:t>根据国家土壤信息平台查询，项目所在地土壤属于土娄土，为土垫旱耕人为土。</w:t>
            </w:r>
          </w:p>
          <w:p>
            <w:pPr>
              <w:pStyle w:val="18"/>
              <w:spacing w:before="312" w:after="120"/>
              <w:rPr>
                <w:rFonts w:eastAsia="宋体"/>
                <w:b/>
                <w:bCs w:val="0"/>
                <w:kern w:val="2"/>
                <w:szCs w:val="20"/>
                <w:lang w:val="en-US"/>
              </w:rPr>
            </w:pPr>
            <w:r>
              <w:rPr>
                <w:rFonts w:hint="eastAsia" w:eastAsia="宋体"/>
                <w:b/>
                <w:bCs w:val="0"/>
                <w:kern w:val="2"/>
                <w:szCs w:val="20"/>
                <w:lang w:val="en-US"/>
              </w:rPr>
              <w:t>表53</w:t>
            </w:r>
            <w:r>
              <w:rPr>
                <w:rFonts w:hint="eastAsia" w:eastAsia="宋体"/>
                <w:b/>
                <w:bCs w:val="0"/>
                <w:kern w:val="2"/>
                <w:szCs w:val="20"/>
                <w:lang w:val="en-US"/>
              </w:rPr>
              <w:tab/>
            </w:r>
            <w:r>
              <w:rPr>
                <w:rFonts w:hint="eastAsia" w:eastAsia="宋体"/>
                <w:b/>
                <w:bCs w:val="0"/>
                <w:kern w:val="2"/>
                <w:szCs w:val="20"/>
                <w:lang w:val="en-US"/>
              </w:rPr>
              <w:t>土壤理化特性调查表</w:t>
            </w:r>
          </w:p>
          <w:tbl>
            <w:tblPr>
              <w:tblStyle w:val="112"/>
              <w:tblW w:w="8549" w:type="dxa"/>
              <w:tblInd w:w="110" w:type="dxa"/>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442"/>
              <w:gridCol w:w="2026"/>
              <w:gridCol w:w="6081"/>
            </w:tblGrid>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468" w:type="dxa"/>
                  <w:gridSpan w:val="2"/>
                  <w:vAlign w:val="center"/>
                </w:tcPr>
                <w:p>
                  <w:pPr>
                    <w:pStyle w:val="76"/>
                    <w:autoSpaceDE/>
                    <w:autoSpaceDN/>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层次</w:t>
                  </w:r>
                </w:p>
              </w:tc>
              <w:tc>
                <w:tcPr>
                  <w:tcW w:w="6081" w:type="dxa"/>
                  <w:vAlign w:val="center"/>
                </w:tcPr>
                <w:p>
                  <w:pPr>
                    <w:pStyle w:val="76"/>
                    <w:autoSpaceDE/>
                    <w:autoSpaceDN/>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表层</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442" w:type="dxa"/>
                  <w:vMerge w:val="restart"/>
                  <w:vAlign w:val="center"/>
                </w:tcPr>
                <w:p>
                  <w:pPr>
                    <w:pStyle w:val="76"/>
                    <w:autoSpaceDE w:val="0"/>
                    <w:autoSpaceDN w:val="0"/>
                    <w:rPr>
                      <w:rFonts w:ascii="Times New Roman" w:hAnsi="Times New Roman" w:eastAsia="宋体" w:cs="Times New Roman"/>
                      <w:sz w:val="14"/>
                      <w:szCs w:val="22"/>
                      <w:lang w:eastAsia="zh-CN"/>
                    </w:rPr>
                  </w:pPr>
                </w:p>
                <w:p>
                  <w:pPr>
                    <w:pStyle w:val="76"/>
                    <w:autoSpaceDE/>
                    <w:autoSpaceDN/>
                    <w:rPr>
                      <w:rFonts w:ascii="Times New Roman" w:hAnsi="Times New Roman" w:eastAsia="宋体" w:cs="Times New Roman"/>
                      <w:szCs w:val="22"/>
                      <w:lang w:eastAsia="zh-CN"/>
                    </w:rPr>
                  </w:pPr>
                  <w:r>
                    <w:rPr>
                      <w:rFonts w:ascii="Times New Roman" w:hAnsi="Times New Roman" w:eastAsia="宋体" w:cs="Times New Roman"/>
                      <w:sz w:val="21"/>
                      <w:szCs w:val="21"/>
                      <w:lang w:eastAsia="zh-CN"/>
                    </w:rPr>
                    <w:t>现场记录</w:t>
                  </w:r>
                </w:p>
              </w:tc>
              <w:tc>
                <w:tcPr>
                  <w:tcW w:w="2026" w:type="dxa"/>
                  <w:vAlign w:val="center"/>
                </w:tcPr>
                <w:p>
                  <w:pPr>
                    <w:pStyle w:val="76"/>
                    <w:autoSpaceDE/>
                    <w:autoSpaceDN/>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颜色</w:t>
                  </w:r>
                </w:p>
              </w:tc>
              <w:tc>
                <w:tcPr>
                  <w:tcW w:w="6081" w:type="dxa"/>
                  <w:vAlign w:val="center"/>
                </w:tcPr>
                <w:p>
                  <w:pPr>
                    <w:pStyle w:val="76"/>
                    <w:autoSpaceDE/>
                    <w:autoSpaceDN/>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棕色褐色</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442" w:type="dxa"/>
                  <w:vMerge w:val="continue"/>
                  <w:vAlign w:val="center"/>
                </w:tcPr>
                <w:p>
                  <w:pPr>
                    <w:pStyle w:val="76"/>
                    <w:autoSpaceDE w:val="0"/>
                    <w:autoSpaceDN w:val="0"/>
                    <w:rPr>
                      <w:rFonts w:ascii="Times New Roman" w:hAnsi="Times New Roman" w:eastAsia="宋体" w:cs="Times New Roman"/>
                      <w:sz w:val="2"/>
                      <w:szCs w:val="2"/>
                      <w:lang w:eastAsia="zh-CN"/>
                    </w:rPr>
                  </w:pPr>
                </w:p>
              </w:tc>
              <w:tc>
                <w:tcPr>
                  <w:tcW w:w="2026" w:type="dxa"/>
                  <w:vAlign w:val="center"/>
                </w:tcPr>
                <w:p>
                  <w:pPr>
                    <w:pStyle w:val="76"/>
                    <w:autoSpaceDE/>
                    <w:autoSpaceDN/>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结构</w:t>
                  </w:r>
                </w:p>
              </w:tc>
              <w:tc>
                <w:tcPr>
                  <w:tcW w:w="6081" w:type="dxa"/>
                  <w:vAlign w:val="center"/>
                </w:tcPr>
                <w:p>
                  <w:pPr>
                    <w:pStyle w:val="76"/>
                    <w:autoSpaceDE/>
                    <w:autoSpaceDN/>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块状结构</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442" w:type="dxa"/>
                  <w:vMerge w:val="continue"/>
                  <w:vAlign w:val="center"/>
                </w:tcPr>
                <w:p>
                  <w:pPr>
                    <w:pStyle w:val="76"/>
                    <w:autoSpaceDE w:val="0"/>
                    <w:autoSpaceDN w:val="0"/>
                    <w:rPr>
                      <w:rFonts w:ascii="Times New Roman" w:hAnsi="Times New Roman" w:eastAsia="宋体" w:cs="Times New Roman"/>
                      <w:sz w:val="2"/>
                      <w:szCs w:val="2"/>
                      <w:lang w:eastAsia="zh-CN"/>
                    </w:rPr>
                  </w:pPr>
                </w:p>
              </w:tc>
              <w:tc>
                <w:tcPr>
                  <w:tcW w:w="2026" w:type="dxa"/>
                  <w:vAlign w:val="center"/>
                </w:tcPr>
                <w:p>
                  <w:pPr>
                    <w:pStyle w:val="76"/>
                    <w:autoSpaceDE/>
                    <w:autoSpaceDN/>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质地</w:t>
                  </w:r>
                </w:p>
              </w:tc>
              <w:tc>
                <w:tcPr>
                  <w:tcW w:w="6081" w:type="dxa"/>
                  <w:vAlign w:val="center"/>
                </w:tcPr>
                <w:p>
                  <w:pPr>
                    <w:pStyle w:val="76"/>
                    <w:autoSpaceDE/>
                    <w:autoSpaceDN/>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粘壤土</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442" w:type="dxa"/>
                  <w:vMerge w:val="continue"/>
                  <w:vAlign w:val="center"/>
                </w:tcPr>
                <w:p>
                  <w:pPr>
                    <w:pStyle w:val="76"/>
                    <w:autoSpaceDE w:val="0"/>
                    <w:autoSpaceDN w:val="0"/>
                    <w:rPr>
                      <w:rFonts w:ascii="Times New Roman" w:hAnsi="Times New Roman" w:eastAsia="宋体" w:cs="Times New Roman"/>
                      <w:sz w:val="2"/>
                      <w:szCs w:val="2"/>
                      <w:lang w:eastAsia="zh-CN"/>
                    </w:rPr>
                  </w:pPr>
                </w:p>
              </w:tc>
              <w:tc>
                <w:tcPr>
                  <w:tcW w:w="2026" w:type="dxa"/>
                  <w:vAlign w:val="center"/>
                </w:tcPr>
                <w:p>
                  <w:pPr>
                    <w:pStyle w:val="76"/>
                    <w:autoSpaceDE/>
                    <w:autoSpaceDN/>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砂砾含量</w:t>
                  </w:r>
                </w:p>
              </w:tc>
              <w:tc>
                <w:tcPr>
                  <w:tcW w:w="6081" w:type="dxa"/>
                  <w:vAlign w:val="center"/>
                </w:tcPr>
                <w:p>
                  <w:pPr>
                    <w:pStyle w:val="76"/>
                    <w:autoSpaceDE/>
                    <w:autoSpaceDN/>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&lt;50%</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442" w:type="dxa"/>
                  <w:vMerge w:val="continue"/>
                  <w:vAlign w:val="center"/>
                </w:tcPr>
                <w:p>
                  <w:pPr>
                    <w:pStyle w:val="76"/>
                    <w:autoSpaceDE w:val="0"/>
                    <w:autoSpaceDN w:val="0"/>
                    <w:rPr>
                      <w:rFonts w:ascii="Times New Roman" w:hAnsi="Times New Roman" w:eastAsia="宋体" w:cs="Times New Roman"/>
                      <w:sz w:val="2"/>
                      <w:szCs w:val="2"/>
                      <w:lang w:eastAsia="zh-CN"/>
                    </w:rPr>
                  </w:pPr>
                </w:p>
              </w:tc>
              <w:tc>
                <w:tcPr>
                  <w:tcW w:w="2026" w:type="dxa"/>
                  <w:vAlign w:val="center"/>
                </w:tcPr>
                <w:p>
                  <w:pPr>
                    <w:pStyle w:val="76"/>
                    <w:autoSpaceDE/>
                    <w:autoSpaceDN/>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其他异物</w:t>
                  </w:r>
                </w:p>
              </w:tc>
              <w:tc>
                <w:tcPr>
                  <w:tcW w:w="6081" w:type="dxa"/>
                  <w:vAlign w:val="center"/>
                </w:tcPr>
                <w:p>
                  <w:pPr>
                    <w:pStyle w:val="76"/>
                    <w:autoSpaceDE/>
                    <w:autoSpaceDN/>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无</w:t>
                  </w:r>
                </w:p>
              </w:tc>
            </w:tr>
          </w:tbl>
          <w:p>
            <w:pPr>
              <w:pStyle w:val="11"/>
              <w:spacing w:line="360" w:lineRule="auto"/>
              <w:ind w:firstLineChars="200"/>
              <w:rPr>
                <w:rFonts w:hAnsi="宋体"/>
                <w:bCs/>
                <w:color w:val="7030A0"/>
                <w:kern w:val="2"/>
                <w:sz w:val="24"/>
                <w:lang w:val="en-US"/>
              </w:rPr>
            </w:pPr>
            <w:r>
              <w:rPr>
                <w:rFonts w:hint="eastAsia" w:hAnsi="宋体"/>
                <w:bCs/>
                <w:kern w:val="2"/>
                <w:sz w:val="24"/>
                <w:lang w:val="en-US"/>
              </w:rPr>
              <w:t>项目运行期对土壤环境的影响主要集中在土壤污染方面，废水、固废的随意排放及废气排放的长期沉积、累积影响，均可能会对土壤造成污染。本项目废水、固废全部综合利用，废气均达标排放。项目</w:t>
            </w:r>
            <w:r>
              <w:rPr>
                <w:rFonts w:hint="eastAsia" w:hAnsi="宋体"/>
                <w:bCs/>
                <w:color w:val="7030A0"/>
                <w:kern w:val="2"/>
                <w:sz w:val="24"/>
                <w:lang w:val="en-US"/>
              </w:rPr>
              <w:t>生产区地面全部硬化硬化</w:t>
            </w:r>
            <w:r>
              <w:rPr>
                <w:rFonts w:hint="eastAsia" w:hAnsi="宋体"/>
                <w:bCs/>
                <w:color w:val="00B050"/>
                <w:kern w:val="2"/>
                <w:sz w:val="24"/>
                <w:lang w:val="en-US"/>
              </w:rPr>
              <w:t>，化粪池采用防渗结构，</w:t>
            </w:r>
            <w:r>
              <w:rPr>
                <w:rFonts w:hint="eastAsia" w:hAnsi="宋体"/>
                <w:bCs/>
                <w:color w:val="7030A0"/>
                <w:kern w:val="2"/>
                <w:sz w:val="24"/>
                <w:lang w:val="en-US"/>
              </w:rPr>
              <w:t>防止污染物渗入土壤。通过采取以上措施，可以有效防止土壤环境污染。</w:t>
            </w:r>
          </w:p>
          <w:p>
            <w:pPr>
              <w:jc w:val="center"/>
              <w:rPr>
                <w:b/>
              </w:rPr>
            </w:pPr>
            <w:r>
              <w:rPr>
                <w:rFonts w:hint="eastAsia"/>
                <w:b/>
              </w:rPr>
              <w:t>表54</w:t>
            </w:r>
            <w:r>
              <w:rPr>
                <w:b/>
              </w:rPr>
              <w:t xml:space="preserve"> </w:t>
            </w:r>
            <w:r>
              <w:rPr>
                <w:rFonts w:hint="eastAsia"/>
                <w:b/>
              </w:rPr>
              <w:t>土壤环境影响评价自查表</w:t>
            </w:r>
          </w:p>
          <w:tbl>
            <w:tblPr>
              <w:tblStyle w:val="112"/>
              <w:tblW w:w="8709" w:type="dxa"/>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7"/>
              <w:gridCol w:w="1670"/>
              <w:gridCol w:w="1596"/>
              <w:gridCol w:w="1159"/>
              <w:gridCol w:w="1106"/>
              <w:gridCol w:w="25"/>
              <w:gridCol w:w="1156"/>
              <w:gridCol w:w="20"/>
              <w:gridCol w:w="28"/>
              <w:gridCol w:w="1507"/>
              <w:gridCol w:w="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2" w:hRule="atLeast"/>
              </w:trPr>
              <w:tc>
                <w:tcPr>
                  <w:tcW w:w="2097" w:type="dxa"/>
                  <w:gridSpan w:val="2"/>
                  <w:tcBorders>
                    <w:top w:val="single" w:color="auto" w:sz="12" w:space="0"/>
                    <w:left w:val="nil"/>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工作内容</w:t>
                  </w:r>
                </w:p>
              </w:tc>
              <w:tc>
                <w:tcPr>
                  <w:tcW w:w="5042" w:type="dxa"/>
                  <w:gridSpan w:val="5"/>
                  <w:tcBorders>
                    <w:top w:val="single" w:color="auto" w:sz="12" w:space="0"/>
                    <w:left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rPr>
                    <w:t>完成情况</w:t>
                  </w:r>
                </w:p>
              </w:tc>
              <w:tc>
                <w:tcPr>
                  <w:tcW w:w="1555" w:type="dxa"/>
                  <w:gridSpan w:val="3"/>
                  <w:tcBorders>
                    <w:top w:val="single" w:color="auto" w:sz="12" w:space="0"/>
                    <w:left w:val="single" w:color="000000" w:sz="6" w:space="0"/>
                    <w:right w:val="nil"/>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1" w:hRule="atLeast"/>
              </w:trPr>
              <w:tc>
                <w:tcPr>
                  <w:tcW w:w="427" w:type="dxa"/>
                  <w:vMerge w:val="restart"/>
                  <w:tcBorders>
                    <w:left w:val="nil"/>
                    <w:bottom w:val="single" w:color="000000" w:sz="6" w:space="0"/>
                    <w:right w:val="single" w:color="000000" w:sz="6" w:space="0"/>
                  </w:tcBorders>
                  <w:vAlign w:val="center"/>
                </w:tcPr>
                <w:p>
                  <w:pPr>
                    <w:pStyle w:val="113"/>
                    <w:spacing w:line="316" w:lineRule="auto"/>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影响识别</w:t>
                  </w:r>
                </w:p>
              </w:tc>
              <w:tc>
                <w:tcPr>
                  <w:tcW w:w="1670" w:type="dxa"/>
                  <w:tcBorders>
                    <w:left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影响类型</w:t>
                  </w:r>
                </w:p>
              </w:tc>
              <w:tc>
                <w:tcPr>
                  <w:tcW w:w="5042" w:type="dxa"/>
                  <w:gridSpan w:val="5"/>
                  <w:tcBorders>
                    <w:left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污染影响型</w:t>
                  </w:r>
                  <w:r>
                    <w:rPr>
                      <w:rFonts w:ascii="Segoe UI Symbol" w:hAnsi="Segoe UI Symbol" w:eastAsia="宋体" w:cs="Segoe UI Symbol"/>
                      <w:color w:val="FF0000"/>
                      <w:sz w:val="21"/>
                      <w:szCs w:val="21"/>
                      <w:lang w:eastAsia="zh-CN"/>
                    </w:rPr>
                    <w:t>☑</w:t>
                  </w:r>
                  <w:r>
                    <w:rPr>
                      <w:rFonts w:ascii="Times New Roman" w:hAnsi="Times New Roman" w:eastAsia="宋体" w:cs="Times New Roman"/>
                      <w:color w:val="FF0000"/>
                      <w:sz w:val="21"/>
                      <w:szCs w:val="21"/>
                      <w:lang w:eastAsia="zh-CN"/>
                    </w:rPr>
                    <w:t>；生态影响型□；两种兼有□</w:t>
                  </w:r>
                </w:p>
              </w:tc>
              <w:tc>
                <w:tcPr>
                  <w:tcW w:w="1555" w:type="dxa"/>
                  <w:gridSpan w:val="3"/>
                  <w:tcBorders>
                    <w:left w:val="single" w:color="000000" w:sz="6" w:space="0"/>
                    <w:right w:val="nil"/>
                  </w:tcBorders>
                  <w:vAlign w:val="center"/>
                </w:tcPr>
                <w:p>
                  <w:pPr>
                    <w:pStyle w:val="113"/>
                    <w:jc w:val="center"/>
                    <w:rPr>
                      <w:rFonts w:ascii="Times New Roman" w:hAnsi="Times New Roman" w:eastAsia="宋体" w:cs="Times New Roman"/>
                      <w:color w:val="FF0000"/>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624"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zh-CN"/>
                    </w:rPr>
                  </w:pPr>
                </w:p>
              </w:tc>
              <w:tc>
                <w:tcPr>
                  <w:tcW w:w="1670" w:type="dxa"/>
                  <w:tcBorders>
                    <w:left w:val="single" w:color="000000" w:sz="6" w:space="0"/>
                    <w:bottom w:val="single" w:color="000000" w:sz="4"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土地利用类型</w:t>
                  </w:r>
                </w:p>
              </w:tc>
              <w:tc>
                <w:tcPr>
                  <w:tcW w:w="5042" w:type="dxa"/>
                  <w:gridSpan w:val="5"/>
                  <w:tcBorders>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建设用地</w:t>
                  </w:r>
                  <w:r>
                    <w:rPr>
                      <w:rFonts w:ascii="Segoe UI Symbol" w:hAnsi="Segoe UI Symbol" w:eastAsia="宋体" w:cs="Segoe UI Symbol"/>
                      <w:color w:val="FF0000"/>
                      <w:sz w:val="21"/>
                      <w:szCs w:val="21"/>
                      <w:lang w:eastAsia="zh-CN"/>
                    </w:rPr>
                    <w:t>☑</w:t>
                  </w:r>
                  <w:r>
                    <w:rPr>
                      <w:rFonts w:ascii="Times New Roman" w:hAnsi="Times New Roman" w:eastAsia="宋体" w:cs="Times New Roman"/>
                      <w:color w:val="FF0000"/>
                      <w:sz w:val="21"/>
                      <w:szCs w:val="21"/>
                      <w:lang w:eastAsia="zh-CN"/>
                    </w:rPr>
                    <w:t>；农用地□；未利用地□</w:t>
                  </w:r>
                </w:p>
              </w:tc>
              <w:tc>
                <w:tcPr>
                  <w:tcW w:w="1555" w:type="dxa"/>
                  <w:gridSpan w:val="3"/>
                  <w:tcBorders>
                    <w:left w:val="single" w:color="000000" w:sz="6" w:space="0"/>
                    <w:bottom w:val="single" w:color="000000" w:sz="4" w:space="0"/>
                    <w:right w:val="nil"/>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土地利用类型图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2"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tcBorders>
                    <w:top w:val="single" w:color="000000" w:sz="4"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占地规模</w:t>
                  </w:r>
                </w:p>
              </w:tc>
              <w:tc>
                <w:tcPr>
                  <w:tcW w:w="5042" w:type="dxa"/>
                  <w:gridSpan w:val="5"/>
                  <w:tcBorders>
                    <w:top w:val="single" w:color="000000" w:sz="6" w:space="0"/>
                    <w:left w:val="single" w:color="000000" w:sz="6" w:space="0"/>
                    <w:bottom w:val="single" w:color="000000" w:sz="6" w:space="0"/>
                    <w:right w:val="single" w:color="000000" w:sz="6" w:space="0"/>
                  </w:tcBorders>
                  <w:vAlign w:val="center"/>
                </w:tcPr>
                <w:p>
                  <w:pPr>
                    <w:pStyle w:val="113"/>
                    <w:tabs>
                      <w:tab w:val="left" w:pos="1370"/>
                    </w:tabs>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w:t>
                  </w:r>
                  <w:r>
                    <w:rPr>
                      <w:rFonts w:ascii="Times New Roman" w:hAnsi="Times New Roman" w:eastAsia="宋体" w:cs="Times New Roman"/>
                      <w:color w:val="FF0000"/>
                      <w:sz w:val="21"/>
                      <w:szCs w:val="21"/>
                      <w:lang w:eastAsia="zh-CN"/>
                    </w:rPr>
                    <w:t>14</w:t>
                  </w:r>
                  <w:r>
                    <w:rPr>
                      <w:rFonts w:ascii="Times New Roman" w:hAnsi="Times New Roman" w:eastAsia="宋体" w:cs="Times New Roman"/>
                      <w:color w:val="FF0000"/>
                      <w:sz w:val="21"/>
                      <w:szCs w:val="21"/>
                    </w:rPr>
                    <w:t>）hm</w:t>
                  </w:r>
                  <w:r>
                    <w:rPr>
                      <w:rFonts w:ascii="Times New Roman" w:hAnsi="Times New Roman" w:eastAsia="宋体" w:cs="Times New Roman"/>
                      <w:color w:val="FF0000"/>
                      <w:position w:val="6"/>
                      <w:sz w:val="21"/>
                      <w:szCs w:val="21"/>
                    </w:rPr>
                    <w:t>2</w:t>
                  </w:r>
                </w:p>
              </w:tc>
              <w:tc>
                <w:tcPr>
                  <w:tcW w:w="1555" w:type="dxa"/>
                  <w:gridSpan w:val="3"/>
                  <w:tcBorders>
                    <w:top w:val="single" w:color="000000" w:sz="4"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敏感目标信息</w:t>
                  </w:r>
                </w:p>
              </w:tc>
              <w:tc>
                <w:tcPr>
                  <w:tcW w:w="5042" w:type="dxa"/>
                  <w:gridSpan w:val="5"/>
                  <w:tcBorders>
                    <w:top w:val="single" w:color="000000" w:sz="6" w:space="0"/>
                    <w:left w:val="single" w:color="000000" w:sz="6" w:space="0"/>
                    <w:bottom w:val="single" w:color="000000" w:sz="6" w:space="0"/>
                    <w:right w:val="nil"/>
                  </w:tcBorders>
                  <w:vAlign w:val="center"/>
                </w:tcPr>
                <w:p>
                  <w:pPr>
                    <w:pStyle w:val="113"/>
                    <w:tabs>
                      <w:tab w:val="left" w:pos="1639"/>
                      <w:tab w:val="left" w:pos="3530"/>
                    </w:tabs>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敏感目标（农田）、方位（W）、距离（10m）</w:t>
                  </w:r>
                </w:p>
              </w:tc>
              <w:tc>
                <w:tcPr>
                  <w:tcW w:w="20" w:type="dxa"/>
                  <w:tcBorders>
                    <w:top w:val="single" w:color="000000" w:sz="6" w:space="0"/>
                    <w:left w:val="nil"/>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w:t>
                  </w:r>
                </w:p>
              </w:tc>
              <w:tc>
                <w:tcPr>
                  <w:tcW w:w="28" w:type="dxa"/>
                  <w:tcBorders>
                    <w:top w:val="single" w:color="000000" w:sz="6" w:space="0"/>
                    <w:left w:val="nil"/>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p>
              </w:tc>
              <w:tc>
                <w:tcPr>
                  <w:tcW w:w="1522" w:type="dxa"/>
                  <w:gridSpan w:val="2"/>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影响途径</w:t>
                  </w:r>
                </w:p>
              </w:tc>
              <w:tc>
                <w:tcPr>
                  <w:tcW w:w="5042" w:type="dxa"/>
                  <w:gridSpan w:val="5"/>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大气沉降</w:t>
                  </w:r>
                  <w:r>
                    <w:rPr>
                      <w:rFonts w:ascii="Segoe UI Symbol" w:hAnsi="Segoe UI Symbol" w:eastAsia="宋体" w:cs="Segoe UI Symbol"/>
                      <w:color w:val="FF0000"/>
                      <w:sz w:val="21"/>
                      <w:szCs w:val="21"/>
                      <w:lang w:eastAsia="zh-CN"/>
                    </w:rPr>
                    <w:t>☑</w:t>
                  </w:r>
                  <w:r>
                    <w:rPr>
                      <w:rFonts w:ascii="Times New Roman" w:hAnsi="Times New Roman" w:eastAsia="宋体" w:cs="Times New Roman"/>
                      <w:color w:val="FF0000"/>
                      <w:sz w:val="21"/>
                      <w:szCs w:val="21"/>
                      <w:lang w:eastAsia="zh-CN"/>
                    </w:rPr>
                    <w:t>；地面漫流□；垂直入渗□；地下水位□；其他（  ）</w:t>
                  </w:r>
                </w:p>
              </w:tc>
              <w:tc>
                <w:tcPr>
                  <w:tcW w:w="20" w:type="dxa"/>
                  <w:tcBorders>
                    <w:top w:val="single" w:color="000000" w:sz="6" w:space="0"/>
                    <w:left w:val="nil"/>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w:t>
                  </w:r>
                </w:p>
              </w:tc>
              <w:tc>
                <w:tcPr>
                  <w:tcW w:w="28" w:type="dxa"/>
                  <w:tcBorders>
                    <w:top w:val="single" w:color="000000" w:sz="6" w:space="0"/>
                    <w:left w:val="nil"/>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p>
              </w:tc>
              <w:tc>
                <w:tcPr>
                  <w:tcW w:w="1522" w:type="dxa"/>
                  <w:gridSpan w:val="2"/>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1"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全部污染物</w:t>
                  </w:r>
                </w:p>
              </w:tc>
              <w:tc>
                <w:tcPr>
                  <w:tcW w:w="5042" w:type="dxa"/>
                  <w:gridSpan w:val="5"/>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w:t>
                  </w:r>
                </w:p>
              </w:tc>
              <w:tc>
                <w:tcPr>
                  <w:tcW w:w="1555" w:type="dxa"/>
                  <w:gridSpan w:val="3"/>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2"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特征因子</w:t>
                  </w:r>
                </w:p>
              </w:tc>
              <w:tc>
                <w:tcPr>
                  <w:tcW w:w="5042" w:type="dxa"/>
                  <w:gridSpan w:val="5"/>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lang w:eastAsia="zh-CN"/>
                    </w:rPr>
                    <w:t>/</w:t>
                  </w:r>
                </w:p>
              </w:tc>
              <w:tc>
                <w:tcPr>
                  <w:tcW w:w="1555" w:type="dxa"/>
                  <w:gridSpan w:val="3"/>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623"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所属土壤环境影响评价项目类别</w:t>
                  </w:r>
                </w:p>
              </w:tc>
              <w:tc>
                <w:tcPr>
                  <w:tcW w:w="5042" w:type="dxa"/>
                  <w:gridSpan w:val="5"/>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Ⅰ类□；Ⅱ类；Ⅲ类</w:t>
                  </w:r>
                  <w:r>
                    <w:rPr>
                      <w:rFonts w:ascii="Segoe UI Symbol" w:hAnsi="Segoe UI Symbol" w:eastAsia="宋体" w:cs="Segoe UI Symbol"/>
                      <w:color w:val="FF0000"/>
                      <w:sz w:val="21"/>
                      <w:szCs w:val="21"/>
                      <w:lang w:eastAsia="zh-CN"/>
                    </w:rPr>
                    <w:t>☑</w:t>
                  </w:r>
                  <w:r>
                    <w:rPr>
                      <w:rFonts w:ascii="Times New Roman" w:hAnsi="Times New Roman" w:eastAsia="宋体" w:cs="Times New Roman"/>
                      <w:color w:val="FF0000"/>
                      <w:sz w:val="21"/>
                      <w:szCs w:val="21"/>
                      <w:lang w:eastAsia="zh-CN"/>
                    </w:rPr>
                    <w:t>；Ⅳ类□</w:t>
                  </w:r>
                </w:p>
              </w:tc>
              <w:tc>
                <w:tcPr>
                  <w:tcW w:w="1555" w:type="dxa"/>
                  <w:gridSpan w:val="3"/>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gridAfter w:val="1"/>
                <w:wAfter w:w="15" w:type="dxa"/>
                <w:trHeight w:val="312"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zh-CN"/>
                    </w:rPr>
                  </w:pP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敏感程度</w:t>
                  </w:r>
                </w:p>
              </w:tc>
              <w:tc>
                <w:tcPr>
                  <w:tcW w:w="5042" w:type="dxa"/>
                  <w:gridSpan w:val="5"/>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敏感</w:t>
                  </w:r>
                  <w:r>
                    <w:rPr>
                      <w:rFonts w:ascii="Segoe UI Symbol" w:hAnsi="Segoe UI Symbol" w:eastAsia="宋体" w:cs="Segoe UI Symbol"/>
                      <w:color w:val="FF0000"/>
                      <w:sz w:val="21"/>
                      <w:szCs w:val="21"/>
                      <w:lang w:eastAsia="zh-CN"/>
                    </w:rPr>
                    <w:t>☑</w:t>
                  </w:r>
                  <w:r>
                    <w:rPr>
                      <w:rFonts w:ascii="Times New Roman" w:hAnsi="Times New Roman" w:eastAsia="宋体" w:cs="Times New Roman"/>
                      <w:color w:val="FF0000"/>
                      <w:sz w:val="21"/>
                      <w:szCs w:val="21"/>
                      <w:lang w:eastAsia="zh-CN"/>
                    </w:rPr>
                    <w:t>；较敏感□；不敏感□</w:t>
                  </w:r>
                </w:p>
              </w:tc>
              <w:tc>
                <w:tcPr>
                  <w:tcW w:w="1555" w:type="dxa"/>
                  <w:gridSpan w:val="3"/>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2" w:hRule="atLeast"/>
              </w:trPr>
              <w:tc>
                <w:tcPr>
                  <w:tcW w:w="2097" w:type="dxa"/>
                  <w:gridSpan w:val="2"/>
                  <w:tcBorders>
                    <w:top w:val="single" w:color="000000" w:sz="6" w:space="0"/>
                    <w:left w:val="nil"/>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评价工作等级</w:t>
                  </w:r>
                </w:p>
              </w:tc>
              <w:tc>
                <w:tcPr>
                  <w:tcW w:w="5042" w:type="dxa"/>
                  <w:gridSpan w:val="5"/>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一级□；二级□；三级</w:t>
                  </w:r>
                  <w:r>
                    <w:rPr>
                      <w:rFonts w:ascii="Segoe UI Symbol" w:hAnsi="Segoe UI Symbol" w:eastAsia="宋体" w:cs="Segoe UI Symbol"/>
                      <w:color w:val="FF0000"/>
                      <w:sz w:val="21"/>
                      <w:szCs w:val="21"/>
                      <w:lang w:eastAsia="zh-CN"/>
                    </w:rPr>
                    <w:t>☑</w:t>
                  </w:r>
                </w:p>
              </w:tc>
              <w:tc>
                <w:tcPr>
                  <w:tcW w:w="1555" w:type="dxa"/>
                  <w:gridSpan w:val="3"/>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1" w:hRule="atLeast"/>
              </w:trPr>
              <w:tc>
                <w:tcPr>
                  <w:tcW w:w="427" w:type="dxa"/>
                  <w:vMerge w:val="restart"/>
                  <w:tcBorders>
                    <w:top w:val="single" w:color="000000" w:sz="6" w:space="0"/>
                    <w:left w:val="nil"/>
                    <w:bottom w:val="single" w:color="000000" w:sz="6" w:space="0"/>
                    <w:right w:val="single" w:color="000000" w:sz="6" w:space="0"/>
                  </w:tcBorders>
                  <w:vAlign w:val="center"/>
                </w:tcPr>
                <w:p>
                  <w:pPr>
                    <w:pStyle w:val="113"/>
                    <w:spacing w:line="316" w:lineRule="auto"/>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现状调查内容</w:t>
                  </w: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资料收集</w:t>
                  </w:r>
                </w:p>
              </w:tc>
              <w:tc>
                <w:tcPr>
                  <w:tcW w:w="5042" w:type="dxa"/>
                  <w:gridSpan w:val="5"/>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a）</w:t>
                  </w:r>
                  <w:r>
                    <w:rPr>
                      <w:rFonts w:ascii="Segoe UI Symbol" w:hAnsi="Segoe UI Symbol" w:eastAsia="宋体" w:cs="Segoe UI Symbol"/>
                      <w:color w:val="FF0000"/>
                      <w:sz w:val="21"/>
                      <w:szCs w:val="21"/>
                      <w:lang w:eastAsia="zh-CN"/>
                    </w:rPr>
                    <w:t>☑</w:t>
                  </w:r>
                  <w:r>
                    <w:rPr>
                      <w:rFonts w:ascii="Times New Roman" w:hAnsi="Times New Roman" w:eastAsia="宋体" w:cs="Times New Roman"/>
                      <w:color w:val="FF0000"/>
                      <w:sz w:val="21"/>
                      <w:szCs w:val="21"/>
                    </w:rPr>
                    <w:t>；b）</w:t>
                  </w:r>
                  <w:r>
                    <w:rPr>
                      <w:rFonts w:ascii="Segoe UI Symbol" w:hAnsi="Segoe UI Symbol" w:eastAsia="宋体" w:cs="Segoe UI Symbol"/>
                      <w:color w:val="FF0000"/>
                      <w:sz w:val="21"/>
                      <w:szCs w:val="21"/>
                      <w:lang w:eastAsia="zh-CN"/>
                    </w:rPr>
                    <w:t>☑</w:t>
                  </w:r>
                  <w:r>
                    <w:rPr>
                      <w:rFonts w:ascii="Times New Roman" w:hAnsi="Times New Roman" w:eastAsia="宋体" w:cs="Times New Roman"/>
                      <w:color w:val="FF0000"/>
                      <w:sz w:val="21"/>
                      <w:szCs w:val="21"/>
                    </w:rPr>
                    <w:t>；c）□；d）</w:t>
                  </w:r>
                  <w:r>
                    <w:rPr>
                      <w:rFonts w:ascii="Segoe UI Symbol" w:hAnsi="Segoe UI Symbol" w:eastAsia="宋体" w:cs="Segoe UI Symbol"/>
                      <w:color w:val="FF0000"/>
                      <w:sz w:val="21"/>
                      <w:szCs w:val="21"/>
                      <w:lang w:eastAsia="zh-CN"/>
                    </w:rPr>
                    <w:t>☑</w:t>
                  </w:r>
                </w:p>
              </w:tc>
              <w:tc>
                <w:tcPr>
                  <w:tcW w:w="1555" w:type="dxa"/>
                  <w:gridSpan w:val="3"/>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2"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理化特性</w:t>
                  </w:r>
                </w:p>
              </w:tc>
              <w:tc>
                <w:tcPr>
                  <w:tcW w:w="5042" w:type="dxa"/>
                  <w:gridSpan w:val="5"/>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p>
              </w:tc>
              <w:tc>
                <w:tcPr>
                  <w:tcW w:w="1555" w:type="dxa"/>
                  <w:gridSpan w:val="3"/>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同附录C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09"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vMerge w:val="restart"/>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p>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现状监测点位</w:t>
                  </w:r>
                </w:p>
              </w:tc>
              <w:tc>
                <w:tcPr>
                  <w:tcW w:w="1596" w:type="dxa"/>
                  <w:tcBorders>
                    <w:top w:val="single" w:color="000000" w:sz="6" w:space="0"/>
                    <w:left w:val="single" w:color="000000" w:sz="6" w:space="0"/>
                    <w:bottom w:val="single" w:color="000000" w:sz="4" w:space="0"/>
                    <w:right w:val="single" w:color="000000" w:sz="4" w:space="0"/>
                  </w:tcBorders>
                  <w:vAlign w:val="center"/>
                </w:tcPr>
                <w:p>
                  <w:pPr>
                    <w:pStyle w:val="113"/>
                    <w:jc w:val="center"/>
                    <w:rPr>
                      <w:rFonts w:ascii="Times New Roman" w:hAnsi="Times New Roman" w:eastAsia="宋体" w:cs="Times New Roman"/>
                      <w:color w:val="FF0000"/>
                      <w:sz w:val="21"/>
                      <w:szCs w:val="21"/>
                    </w:rPr>
                  </w:pPr>
                </w:p>
              </w:tc>
              <w:tc>
                <w:tcPr>
                  <w:tcW w:w="1159" w:type="dxa"/>
                  <w:tcBorders>
                    <w:top w:val="single" w:color="000000" w:sz="6" w:space="0"/>
                    <w:left w:val="single" w:color="000000" w:sz="4" w:space="0"/>
                    <w:bottom w:val="single" w:color="000000" w:sz="4" w:space="0"/>
                    <w:right w:val="single" w:color="000000" w:sz="4"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占地范围内</w:t>
                  </w:r>
                </w:p>
              </w:tc>
              <w:tc>
                <w:tcPr>
                  <w:tcW w:w="1131" w:type="dxa"/>
                  <w:gridSpan w:val="2"/>
                  <w:tcBorders>
                    <w:top w:val="single" w:color="000000" w:sz="6" w:space="0"/>
                    <w:left w:val="single" w:color="000000" w:sz="4" w:space="0"/>
                    <w:bottom w:val="single" w:color="000000" w:sz="4" w:space="0"/>
                    <w:right w:val="single" w:color="000000" w:sz="4"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占地范围外</w:t>
                  </w:r>
                </w:p>
              </w:tc>
              <w:tc>
                <w:tcPr>
                  <w:tcW w:w="1156" w:type="dxa"/>
                  <w:tcBorders>
                    <w:top w:val="single" w:color="000000" w:sz="6" w:space="0"/>
                    <w:left w:val="single" w:color="000000" w:sz="4" w:space="0"/>
                    <w:bottom w:val="single" w:color="000000" w:sz="4"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深度</w:t>
                  </w:r>
                </w:p>
              </w:tc>
              <w:tc>
                <w:tcPr>
                  <w:tcW w:w="1555" w:type="dxa"/>
                  <w:gridSpan w:val="3"/>
                  <w:vMerge w:val="restart"/>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p>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点位布置图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2"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vMerge w:val="continue"/>
                  <w:tcBorders>
                    <w:top w:val="nil"/>
                    <w:left w:val="single" w:color="000000" w:sz="6" w:space="0"/>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596" w:type="dxa"/>
                  <w:tcBorders>
                    <w:top w:val="single" w:color="000000" w:sz="4" w:space="0"/>
                    <w:left w:val="single" w:color="000000" w:sz="6" w:space="0"/>
                    <w:bottom w:val="single" w:color="000000" w:sz="4" w:space="0"/>
                    <w:right w:val="single" w:color="000000" w:sz="4"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表层样点数</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lang w:eastAsia="zh-CN"/>
                    </w:rPr>
                    <w:t>3</w:t>
                  </w:r>
                </w:p>
              </w:tc>
              <w:tc>
                <w:tcPr>
                  <w:tcW w:w="1131" w:type="dxa"/>
                  <w:gridSpan w:val="2"/>
                  <w:tcBorders>
                    <w:top w:val="single" w:color="000000" w:sz="4" w:space="0"/>
                    <w:left w:val="single" w:color="000000" w:sz="4" w:space="0"/>
                    <w:bottom w:val="single" w:color="000000" w:sz="4" w:space="0"/>
                    <w:right w:val="single" w:color="000000" w:sz="4"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lang w:eastAsia="zh-CN"/>
                    </w:rPr>
                    <w:t>0</w:t>
                  </w:r>
                </w:p>
              </w:tc>
              <w:tc>
                <w:tcPr>
                  <w:tcW w:w="1156" w:type="dxa"/>
                  <w:tcBorders>
                    <w:top w:val="single" w:color="000000" w:sz="4" w:space="0"/>
                    <w:left w:val="single" w:color="000000" w:sz="4" w:space="0"/>
                    <w:bottom w:val="single" w:color="000000" w:sz="4"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lang w:eastAsia="zh-CN"/>
                    </w:rPr>
                    <w:t>0.5</w:t>
                  </w:r>
                </w:p>
              </w:tc>
              <w:tc>
                <w:tcPr>
                  <w:tcW w:w="1555" w:type="dxa"/>
                  <w:gridSpan w:val="3"/>
                  <w:vMerge w:val="continue"/>
                  <w:tcBorders>
                    <w:top w:val="nil"/>
                    <w:left w:val="single" w:color="000000" w:sz="6" w:space="0"/>
                    <w:bottom w:val="single" w:color="000000" w:sz="6" w:space="0"/>
                    <w:right w:val="nil"/>
                  </w:tcBorders>
                  <w:vAlign w:val="center"/>
                </w:tcPr>
                <w:p>
                  <w:pPr>
                    <w:autoSpaceDE w:val="0"/>
                    <w:autoSpaceDN w:val="0"/>
                    <w:jc w:val="center"/>
                    <w:rPr>
                      <w:rFonts w:ascii="Times New Roman" w:hAnsi="Times New Roman" w:eastAsia="宋体" w:cs="Times New Roman"/>
                      <w:color w:val="FF0000"/>
                      <w:szCs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4"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vMerge w:val="continue"/>
                  <w:tcBorders>
                    <w:top w:val="nil"/>
                    <w:left w:val="single" w:color="000000" w:sz="6" w:space="0"/>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596" w:type="dxa"/>
                  <w:tcBorders>
                    <w:top w:val="single" w:color="000000" w:sz="4" w:space="0"/>
                    <w:left w:val="single" w:color="000000" w:sz="6" w:space="0"/>
                    <w:bottom w:val="single" w:color="000000" w:sz="6" w:space="0"/>
                    <w:right w:val="single" w:color="000000" w:sz="4"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柱状样点数</w:t>
                  </w:r>
                </w:p>
              </w:tc>
              <w:tc>
                <w:tcPr>
                  <w:tcW w:w="1159" w:type="dxa"/>
                  <w:tcBorders>
                    <w:top w:val="single" w:color="000000" w:sz="4" w:space="0"/>
                    <w:left w:val="single" w:color="000000" w:sz="4" w:space="0"/>
                    <w:bottom w:val="single" w:color="000000" w:sz="6" w:space="0"/>
                    <w:right w:val="single" w:color="000000" w:sz="4" w:space="0"/>
                  </w:tcBorders>
                  <w:vAlign w:val="center"/>
                </w:tcPr>
                <w:p>
                  <w:pPr>
                    <w:pStyle w:val="113"/>
                    <w:jc w:val="center"/>
                    <w:rPr>
                      <w:rFonts w:ascii="Times New Roman" w:hAnsi="Times New Roman" w:eastAsia="宋体" w:cs="Times New Roman"/>
                      <w:color w:val="FF0000"/>
                      <w:sz w:val="21"/>
                      <w:szCs w:val="21"/>
                    </w:rPr>
                  </w:pPr>
                </w:p>
              </w:tc>
              <w:tc>
                <w:tcPr>
                  <w:tcW w:w="1131" w:type="dxa"/>
                  <w:gridSpan w:val="2"/>
                  <w:tcBorders>
                    <w:top w:val="single" w:color="000000" w:sz="4" w:space="0"/>
                    <w:left w:val="single" w:color="000000" w:sz="4" w:space="0"/>
                    <w:bottom w:val="single" w:color="000000" w:sz="6" w:space="0"/>
                    <w:right w:val="single" w:color="000000" w:sz="4" w:space="0"/>
                  </w:tcBorders>
                  <w:vAlign w:val="center"/>
                </w:tcPr>
                <w:p>
                  <w:pPr>
                    <w:pStyle w:val="113"/>
                    <w:jc w:val="center"/>
                    <w:rPr>
                      <w:rFonts w:ascii="Times New Roman" w:hAnsi="Times New Roman" w:eastAsia="宋体" w:cs="Times New Roman"/>
                      <w:color w:val="FF0000"/>
                      <w:sz w:val="21"/>
                      <w:szCs w:val="21"/>
                    </w:rPr>
                  </w:pPr>
                </w:p>
              </w:tc>
              <w:tc>
                <w:tcPr>
                  <w:tcW w:w="1156" w:type="dxa"/>
                  <w:tcBorders>
                    <w:top w:val="single" w:color="000000" w:sz="4" w:space="0"/>
                    <w:left w:val="single" w:color="000000" w:sz="4"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p>
              </w:tc>
              <w:tc>
                <w:tcPr>
                  <w:tcW w:w="1555" w:type="dxa"/>
                  <w:gridSpan w:val="3"/>
                  <w:vMerge w:val="continue"/>
                  <w:tcBorders>
                    <w:top w:val="nil"/>
                    <w:left w:val="single" w:color="000000" w:sz="6" w:space="0"/>
                    <w:bottom w:val="single" w:color="000000" w:sz="6" w:space="0"/>
                    <w:right w:val="nil"/>
                  </w:tcBorders>
                  <w:vAlign w:val="center"/>
                </w:tcPr>
                <w:p>
                  <w:pPr>
                    <w:autoSpaceDE w:val="0"/>
                    <w:autoSpaceDN w:val="0"/>
                    <w:jc w:val="center"/>
                    <w:rPr>
                      <w:rFonts w:ascii="Times New Roman" w:hAnsi="Times New Roman" w:eastAsia="宋体" w:cs="Times New Roman"/>
                      <w:color w:val="FF0000"/>
                      <w:szCs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1"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现状监测因子</w:t>
                  </w:r>
                </w:p>
              </w:tc>
              <w:tc>
                <w:tcPr>
                  <w:tcW w:w="5042"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zh-CN"/>
                    </w:rPr>
                  </w:pPr>
                  <w:r>
                    <w:rPr>
                      <w:rFonts w:ascii="Times New Roman" w:hAnsi="Times New Roman" w:eastAsia="宋体" w:cs="Times New Roman"/>
                      <w:color w:val="FF0000"/>
                      <w:szCs w:val="21"/>
                      <w:lang w:eastAsia="zh-CN"/>
                    </w:rPr>
                    <w:t>pH、砷、镉、铬（六价）、铜、铅、汞、镍；四氯化碳、氯仿、氯甲烷、1,1-二氯乙烷、1,2-二氯乙烷、1,1-二氯乙烯、顺-1,2-二氯乙烯、反-1,2-二氯乙烯、二氯甲烷、1,2-二氯丙烷、1,1,1,2-四氯乙烷、1,1,2,2-四氯乙烷、四氯乙烯、1,1,1-三氯乙烷、1,1,2-三氯乙烷、三氯乙烯、1,2,3-三氯丙烷、氯乙烯、苯、氯苯、1,2-二氯苯、1,4-二氯苯、乙苯、苯乙烯、甲苯、间二甲苯+对二甲苯、邻二甲苯；硝基苯、苯胺、2-氯酚、苯并[a]蒽、苯并[a]芘、苯并[b]荧蒽、苯并[k]荧蒽、䓛、二苯并[a, h]蒽、茚并[1,2,3-cd]芘、萘</w:t>
                  </w:r>
                </w:p>
              </w:tc>
              <w:tc>
                <w:tcPr>
                  <w:tcW w:w="1555" w:type="dxa"/>
                  <w:gridSpan w:val="3"/>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2" w:hRule="atLeast"/>
              </w:trPr>
              <w:tc>
                <w:tcPr>
                  <w:tcW w:w="427" w:type="dxa"/>
                  <w:vMerge w:val="restart"/>
                  <w:tcBorders>
                    <w:top w:val="single" w:color="000000" w:sz="6" w:space="0"/>
                    <w:left w:val="nil"/>
                    <w:bottom w:val="single" w:color="000000" w:sz="6" w:space="0"/>
                    <w:right w:val="single" w:color="000000" w:sz="6" w:space="0"/>
                  </w:tcBorders>
                  <w:vAlign w:val="center"/>
                </w:tcPr>
                <w:p>
                  <w:pPr>
                    <w:pStyle w:val="113"/>
                    <w:spacing w:line="316" w:lineRule="auto"/>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现状评</w:t>
                  </w:r>
                </w:p>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价</w:t>
                  </w: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评价因子</w:t>
                  </w:r>
                </w:p>
              </w:tc>
              <w:tc>
                <w:tcPr>
                  <w:tcW w:w="5042" w:type="dxa"/>
                  <w:gridSpan w:val="5"/>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lang w:eastAsia="zh-CN"/>
                    </w:rPr>
                    <w:t>监测因子</w:t>
                  </w:r>
                </w:p>
              </w:tc>
              <w:tc>
                <w:tcPr>
                  <w:tcW w:w="1555" w:type="dxa"/>
                  <w:gridSpan w:val="3"/>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11"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评价标准</w:t>
                  </w:r>
                </w:p>
              </w:tc>
              <w:tc>
                <w:tcPr>
                  <w:tcW w:w="5042" w:type="dxa"/>
                  <w:gridSpan w:val="5"/>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GB 15618□；GB 36600</w:t>
                  </w:r>
                  <w:r>
                    <w:rPr>
                      <w:rFonts w:ascii="Segoe UI Symbol" w:hAnsi="Segoe UI Symbol" w:eastAsia="宋体" w:cs="Segoe UI Symbol"/>
                      <w:color w:val="FF0000"/>
                      <w:sz w:val="21"/>
                      <w:szCs w:val="21"/>
                      <w:lang w:eastAsia="zh-CN"/>
                    </w:rPr>
                    <w:t>☑</w:t>
                  </w:r>
                  <w:r>
                    <w:rPr>
                      <w:rFonts w:ascii="Times New Roman" w:hAnsi="Times New Roman" w:eastAsia="宋体" w:cs="Times New Roman"/>
                      <w:color w:val="FF0000"/>
                      <w:sz w:val="21"/>
                      <w:szCs w:val="21"/>
                    </w:rPr>
                    <w:t>；表 D.1□；表 D.2□；其他（</w:t>
                  </w:r>
                </w:p>
              </w:tc>
              <w:tc>
                <w:tcPr>
                  <w:tcW w:w="20" w:type="dxa"/>
                  <w:tcBorders>
                    <w:top w:val="single" w:color="000000" w:sz="6" w:space="0"/>
                    <w:left w:val="nil"/>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w:t>
                  </w:r>
                </w:p>
              </w:tc>
              <w:tc>
                <w:tcPr>
                  <w:tcW w:w="28" w:type="dxa"/>
                  <w:tcBorders>
                    <w:top w:val="single" w:color="000000" w:sz="6" w:space="0"/>
                    <w:left w:val="nil"/>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p>
              </w:tc>
              <w:tc>
                <w:tcPr>
                  <w:tcW w:w="1522" w:type="dxa"/>
                  <w:gridSpan w:val="2"/>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594"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现状评价结论</w:t>
                  </w:r>
                </w:p>
              </w:tc>
              <w:tc>
                <w:tcPr>
                  <w:tcW w:w="5042" w:type="dxa"/>
                  <w:gridSpan w:val="5"/>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lang w:eastAsia="zh-CN"/>
                    </w:rPr>
                    <w:t>满足标准要求</w:t>
                  </w:r>
                </w:p>
              </w:tc>
              <w:tc>
                <w:tcPr>
                  <w:tcW w:w="1555" w:type="dxa"/>
                  <w:gridSpan w:val="3"/>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1" w:hRule="atLeast"/>
              </w:trPr>
              <w:tc>
                <w:tcPr>
                  <w:tcW w:w="427" w:type="dxa"/>
                  <w:vMerge w:val="restart"/>
                  <w:tcBorders>
                    <w:top w:val="single" w:color="000000" w:sz="6" w:space="0"/>
                    <w:left w:val="nil"/>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p>
                <w:p>
                  <w:pPr>
                    <w:pStyle w:val="113"/>
                    <w:spacing w:line="316" w:lineRule="auto"/>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影响预测</w:t>
                  </w: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预测因子</w:t>
                  </w:r>
                </w:p>
              </w:tc>
              <w:tc>
                <w:tcPr>
                  <w:tcW w:w="5042" w:type="dxa"/>
                  <w:gridSpan w:val="5"/>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hint="eastAsia" w:ascii="Times New Roman" w:hAnsi="Times New Roman" w:eastAsia="宋体" w:cs="Times New Roman"/>
                      <w:color w:val="FF0000"/>
                      <w:sz w:val="21"/>
                      <w:szCs w:val="21"/>
                      <w:lang w:eastAsia="zh-CN"/>
                    </w:rPr>
                    <w:t>/</w:t>
                  </w:r>
                </w:p>
              </w:tc>
              <w:tc>
                <w:tcPr>
                  <w:tcW w:w="1555" w:type="dxa"/>
                  <w:gridSpan w:val="3"/>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2"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预测方法</w:t>
                  </w:r>
                </w:p>
              </w:tc>
              <w:tc>
                <w:tcPr>
                  <w:tcW w:w="5042" w:type="dxa"/>
                  <w:gridSpan w:val="5"/>
                  <w:tcBorders>
                    <w:top w:val="single" w:color="000000" w:sz="6" w:space="0"/>
                    <w:left w:val="single" w:color="000000" w:sz="6" w:space="0"/>
                    <w:bottom w:val="single" w:color="000000" w:sz="6" w:space="0"/>
                    <w:right w:val="single" w:color="000000" w:sz="6" w:space="0"/>
                  </w:tcBorders>
                  <w:vAlign w:val="center"/>
                </w:tcPr>
                <w:p>
                  <w:pPr>
                    <w:pStyle w:val="113"/>
                    <w:tabs>
                      <w:tab w:val="left" w:pos="2930"/>
                    </w:tabs>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附录</w:t>
                  </w:r>
                  <w:r>
                    <w:rPr>
                      <w:rFonts w:ascii="Times New Roman" w:hAnsi="Times New Roman" w:eastAsia="宋体" w:cs="Times New Roman"/>
                      <w:color w:val="FF0000"/>
                      <w:spacing w:val="-46"/>
                      <w:sz w:val="21"/>
                      <w:szCs w:val="21"/>
                      <w:lang w:eastAsia="zh-CN"/>
                    </w:rPr>
                    <w:t xml:space="preserve"> </w:t>
                  </w:r>
                  <w:r>
                    <w:rPr>
                      <w:rFonts w:ascii="Times New Roman" w:hAnsi="Times New Roman" w:eastAsia="宋体" w:cs="Times New Roman"/>
                      <w:color w:val="FF0000"/>
                      <w:sz w:val="21"/>
                      <w:szCs w:val="21"/>
                      <w:lang w:eastAsia="zh-CN"/>
                    </w:rPr>
                    <w:t>E□；附录</w:t>
                  </w:r>
                  <w:r>
                    <w:rPr>
                      <w:rFonts w:ascii="Times New Roman" w:hAnsi="Times New Roman" w:eastAsia="宋体" w:cs="Times New Roman"/>
                      <w:color w:val="FF0000"/>
                      <w:spacing w:val="-46"/>
                      <w:sz w:val="21"/>
                      <w:szCs w:val="21"/>
                      <w:lang w:eastAsia="zh-CN"/>
                    </w:rPr>
                    <w:t xml:space="preserve"> </w:t>
                  </w:r>
                  <w:r>
                    <w:rPr>
                      <w:rFonts w:ascii="Times New Roman" w:hAnsi="Times New Roman" w:eastAsia="宋体" w:cs="Times New Roman"/>
                      <w:color w:val="FF0000"/>
                      <w:sz w:val="21"/>
                      <w:szCs w:val="21"/>
                      <w:lang w:eastAsia="zh-CN"/>
                    </w:rPr>
                    <w:t>F□；其他（</w:t>
                  </w:r>
                  <w:r>
                    <w:rPr>
                      <w:rFonts w:ascii="Times New Roman" w:hAnsi="Times New Roman" w:eastAsia="宋体" w:cs="Times New Roman"/>
                      <w:color w:val="FF0000"/>
                      <w:sz w:val="21"/>
                      <w:szCs w:val="21"/>
                      <w:lang w:eastAsia="zh-CN"/>
                    </w:rPr>
                    <w:tab/>
                  </w:r>
                  <w:r>
                    <w:rPr>
                      <w:rFonts w:ascii="Times New Roman" w:hAnsi="Times New Roman" w:eastAsia="宋体" w:cs="Times New Roman"/>
                      <w:color w:val="FF0000"/>
                      <w:sz w:val="21"/>
                      <w:szCs w:val="21"/>
                      <w:lang w:eastAsia="zh-CN"/>
                    </w:rPr>
                    <w:t>）</w:t>
                  </w:r>
                </w:p>
              </w:tc>
              <w:tc>
                <w:tcPr>
                  <w:tcW w:w="1555" w:type="dxa"/>
                  <w:gridSpan w:val="3"/>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623"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zh-CN"/>
                    </w:rPr>
                  </w:pP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lang w:eastAsia="zh-CN"/>
                    </w:rPr>
                  </w:pPr>
                </w:p>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预测分析内容</w:t>
                  </w:r>
                </w:p>
              </w:tc>
              <w:tc>
                <w:tcPr>
                  <w:tcW w:w="5042" w:type="dxa"/>
                  <w:gridSpan w:val="5"/>
                  <w:tcBorders>
                    <w:top w:val="single" w:color="000000" w:sz="6" w:space="0"/>
                    <w:left w:val="single" w:color="000000" w:sz="6" w:space="0"/>
                    <w:bottom w:val="single" w:color="000000" w:sz="6" w:space="0"/>
                    <w:right w:val="single" w:color="000000" w:sz="6" w:space="0"/>
                  </w:tcBorders>
                  <w:vAlign w:val="center"/>
                </w:tcPr>
                <w:p>
                  <w:pPr>
                    <w:pStyle w:val="113"/>
                    <w:tabs>
                      <w:tab w:val="left" w:pos="1639"/>
                    </w:tabs>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影响范围（ ）</w:t>
                  </w:r>
                </w:p>
                <w:p>
                  <w:pPr>
                    <w:pStyle w:val="113"/>
                    <w:tabs>
                      <w:tab w:val="left" w:pos="1639"/>
                    </w:tabs>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影响程度（</w:t>
                  </w:r>
                  <w:r>
                    <w:rPr>
                      <w:rFonts w:hint="eastAsia" w:ascii="Times New Roman" w:hAnsi="Times New Roman" w:eastAsia="宋体" w:cs="Times New Roman"/>
                      <w:color w:val="FF0000"/>
                      <w:sz w:val="21"/>
                      <w:szCs w:val="21"/>
                      <w:lang w:eastAsia="zh-CN"/>
                    </w:rPr>
                    <w:t xml:space="preserve"> </w:t>
                  </w:r>
                  <w:r>
                    <w:rPr>
                      <w:rFonts w:ascii="Times New Roman" w:hAnsi="Times New Roman" w:eastAsia="宋体" w:cs="Times New Roman"/>
                      <w:color w:val="FF0000"/>
                      <w:sz w:val="21"/>
                      <w:szCs w:val="21"/>
                      <w:lang w:eastAsia="zh-CN"/>
                    </w:rPr>
                    <w:t>）</w:t>
                  </w:r>
                </w:p>
              </w:tc>
              <w:tc>
                <w:tcPr>
                  <w:tcW w:w="1555" w:type="dxa"/>
                  <w:gridSpan w:val="3"/>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624"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zh-CN"/>
                    </w:rPr>
                  </w:pP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预测结论</w:t>
                  </w:r>
                </w:p>
              </w:tc>
              <w:tc>
                <w:tcPr>
                  <w:tcW w:w="5042" w:type="dxa"/>
                  <w:gridSpan w:val="5"/>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达标结论：a）</w:t>
                  </w:r>
                  <w:r>
                    <w:rPr>
                      <w:rFonts w:ascii="Segoe UI Symbol" w:hAnsi="Segoe UI Symbol" w:eastAsia="宋体" w:cs="Segoe UI Symbol"/>
                      <w:color w:val="FF0000"/>
                      <w:sz w:val="21"/>
                      <w:szCs w:val="21"/>
                      <w:lang w:eastAsia="zh-CN"/>
                    </w:rPr>
                    <w:t>☑</w:t>
                  </w:r>
                  <w:r>
                    <w:rPr>
                      <w:rFonts w:ascii="Times New Roman" w:hAnsi="Times New Roman" w:eastAsia="宋体" w:cs="Times New Roman"/>
                      <w:color w:val="FF0000"/>
                      <w:sz w:val="21"/>
                      <w:szCs w:val="21"/>
                      <w:lang w:eastAsia="zh-CN"/>
                    </w:rPr>
                    <w:t>；b）□；c）□</w:t>
                  </w:r>
                </w:p>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不达标结论：a）□；b）□</w:t>
                  </w:r>
                </w:p>
              </w:tc>
              <w:tc>
                <w:tcPr>
                  <w:tcW w:w="1555" w:type="dxa"/>
                  <w:gridSpan w:val="3"/>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7" w:type="dxa"/>
                  <w:vMerge w:val="restart"/>
                  <w:tcBorders>
                    <w:top w:val="single" w:color="000000" w:sz="6" w:space="0"/>
                    <w:left w:val="nil"/>
                    <w:bottom w:val="single" w:color="000000" w:sz="6" w:space="0"/>
                    <w:right w:val="single" w:color="000000" w:sz="6" w:space="0"/>
                  </w:tcBorders>
                  <w:vAlign w:val="center"/>
                </w:tcPr>
                <w:p>
                  <w:pPr>
                    <w:pStyle w:val="113"/>
                    <w:spacing w:line="316" w:lineRule="auto"/>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防治措施</w:t>
                  </w:r>
                </w:p>
              </w:tc>
              <w:tc>
                <w:tcPr>
                  <w:tcW w:w="1670" w:type="dxa"/>
                  <w:tcBorders>
                    <w:top w:val="single" w:color="000000" w:sz="6"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防控措施</w:t>
                  </w:r>
                </w:p>
              </w:tc>
              <w:tc>
                <w:tcPr>
                  <w:tcW w:w="5042" w:type="dxa"/>
                  <w:gridSpan w:val="5"/>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土壤环境质量现状保障□；源头控制</w:t>
                  </w:r>
                  <w:r>
                    <w:rPr>
                      <w:rFonts w:ascii="Segoe UI Symbol" w:hAnsi="Segoe UI Symbol" w:eastAsia="宋体" w:cs="Segoe UI Symbol"/>
                      <w:color w:val="FF0000"/>
                      <w:sz w:val="21"/>
                      <w:szCs w:val="21"/>
                      <w:lang w:eastAsia="zh-CN"/>
                    </w:rPr>
                    <w:t>☑</w:t>
                  </w:r>
                  <w:r>
                    <w:rPr>
                      <w:rFonts w:ascii="Times New Roman" w:hAnsi="Times New Roman" w:eastAsia="宋体" w:cs="Times New Roman"/>
                      <w:color w:val="FF0000"/>
                      <w:sz w:val="21"/>
                      <w:szCs w:val="21"/>
                      <w:lang w:eastAsia="zh-CN"/>
                    </w:rPr>
                    <w:t>；过程防控</w:t>
                  </w:r>
                  <w:r>
                    <w:rPr>
                      <w:rFonts w:ascii="Segoe UI Symbol" w:hAnsi="Segoe UI Symbol" w:eastAsia="宋体" w:cs="Segoe UI Symbol"/>
                      <w:color w:val="FF0000"/>
                      <w:sz w:val="21"/>
                      <w:szCs w:val="21"/>
                      <w:lang w:eastAsia="zh-CN"/>
                    </w:rPr>
                    <w:t>☑</w:t>
                  </w:r>
                  <w:r>
                    <w:rPr>
                      <w:rFonts w:ascii="Times New Roman" w:hAnsi="Times New Roman" w:eastAsia="宋体" w:cs="Times New Roman"/>
                      <w:color w:val="FF0000"/>
                      <w:sz w:val="21"/>
                      <w:szCs w:val="21"/>
                      <w:lang w:eastAsia="zh-CN"/>
                    </w:rPr>
                    <w:t>；其他（  ）</w:t>
                  </w:r>
                </w:p>
              </w:tc>
              <w:tc>
                <w:tcPr>
                  <w:tcW w:w="20" w:type="dxa"/>
                  <w:tcBorders>
                    <w:top w:val="single" w:color="000000" w:sz="6" w:space="0"/>
                    <w:left w:val="nil"/>
                    <w:bottom w:val="single" w:color="000000" w:sz="6" w:space="0"/>
                    <w:right w:val="nil"/>
                  </w:tcBorders>
                  <w:vAlign w:val="center"/>
                </w:tcPr>
                <w:p>
                  <w:pPr>
                    <w:pStyle w:val="113"/>
                    <w:jc w:val="center"/>
                    <w:rPr>
                      <w:rFonts w:ascii="Times New Roman" w:hAnsi="Times New Roman" w:eastAsia="宋体" w:cs="Times New Roman"/>
                      <w:color w:val="FF0000"/>
                      <w:sz w:val="21"/>
                      <w:szCs w:val="21"/>
                      <w:lang w:eastAsia="zh-CN"/>
                    </w:rPr>
                  </w:pPr>
                </w:p>
              </w:tc>
              <w:tc>
                <w:tcPr>
                  <w:tcW w:w="28" w:type="dxa"/>
                  <w:tcBorders>
                    <w:top w:val="single" w:color="000000" w:sz="6" w:space="0"/>
                    <w:left w:val="nil"/>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w:t>
                  </w:r>
                </w:p>
              </w:tc>
              <w:tc>
                <w:tcPr>
                  <w:tcW w:w="1522" w:type="dxa"/>
                  <w:gridSpan w:val="2"/>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2"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vMerge w:val="restart"/>
                  <w:tcBorders>
                    <w:top w:val="single" w:color="000000" w:sz="6" w:space="0"/>
                    <w:left w:val="single" w:color="000000" w:sz="6" w:space="0"/>
                    <w:bottom w:val="single" w:color="000000" w:sz="4"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跟踪监测</w:t>
                  </w:r>
                </w:p>
              </w:tc>
              <w:tc>
                <w:tcPr>
                  <w:tcW w:w="2755" w:type="dxa"/>
                  <w:gridSpan w:val="2"/>
                  <w:tcBorders>
                    <w:top w:val="single" w:color="000000" w:sz="6" w:space="0"/>
                    <w:left w:val="single" w:color="000000" w:sz="6" w:space="0"/>
                    <w:bottom w:val="single" w:color="000000" w:sz="6" w:space="0"/>
                    <w:right w:val="single" w:color="000000" w:sz="4"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监测点数</w:t>
                  </w:r>
                </w:p>
              </w:tc>
              <w:tc>
                <w:tcPr>
                  <w:tcW w:w="1106" w:type="dxa"/>
                  <w:tcBorders>
                    <w:top w:val="single" w:color="000000" w:sz="6" w:space="0"/>
                    <w:left w:val="single" w:color="000000" w:sz="4" w:space="0"/>
                    <w:bottom w:val="single" w:color="000000" w:sz="6" w:space="0"/>
                    <w:right w:val="single" w:color="000000" w:sz="4"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监测指标</w:t>
                  </w:r>
                </w:p>
              </w:tc>
              <w:tc>
                <w:tcPr>
                  <w:tcW w:w="1181" w:type="dxa"/>
                  <w:gridSpan w:val="2"/>
                  <w:tcBorders>
                    <w:top w:val="single" w:color="000000" w:sz="6" w:space="0"/>
                    <w:left w:val="single" w:color="000000" w:sz="4"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监测频次</w:t>
                  </w:r>
                </w:p>
              </w:tc>
              <w:tc>
                <w:tcPr>
                  <w:tcW w:w="1555" w:type="dxa"/>
                  <w:gridSpan w:val="3"/>
                  <w:vMerge w:val="restart"/>
                  <w:tcBorders>
                    <w:top w:val="single" w:color="000000" w:sz="6" w:space="0"/>
                    <w:left w:val="single" w:color="000000" w:sz="6" w:space="0"/>
                    <w:bottom w:val="single" w:color="000000" w:sz="6" w:space="0"/>
                    <w:right w:val="nil"/>
                  </w:tcBorders>
                  <w:vAlign w:val="center"/>
                </w:tcPr>
                <w:p>
                  <w:pPr>
                    <w:pStyle w:val="113"/>
                    <w:jc w:val="center"/>
                    <w:rPr>
                      <w:rFonts w:ascii="Times New Roman" w:hAnsi="Times New Roman" w:eastAsia="宋体" w:cs="Times New Roman"/>
                      <w:color w:val="FF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09"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vMerge w:val="continue"/>
                  <w:tcBorders>
                    <w:top w:val="nil"/>
                    <w:left w:val="single" w:color="000000" w:sz="6" w:space="0"/>
                    <w:bottom w:val="single" w:color="000000" w:sz="4"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2755" w:type="dxa"/>
                  <w:gridSpan w:val="2"/>
                  <w:tcBorders>
                    <w:top w:val="single" w:color="000000" w:sz="6" w:space="0"/>
                    <w:left w:val="single" w:color="000000" w:sz="6" w:space="0"/>
                    <w:bottom w:val="single" w:color="000000" w:sz="4" w:space="0"/>
                    <w:right w:val="single" w:color="000000" w:sz="4"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lang w:eastAsia="zh-CN"/>
                    </w:rPr>
                    <w:t>/</w:t>
                  </w:r>
                </w:p>
              </w:tc>
              <w:tc>
                <w:tcPr>
                  <w:tcW w:w="1106" w:type="dxa"/>
                  <w:tcBorders>
                    <w:top w:val="single" w:color="000000" w:sz="6" w:space="0"/>
                    <w:left w:val="single" w:color="000000" w:sz="4" w:space="0"/>
                    <w:bottom w:val="single" w:color="000000" w:sz="4" w:space="0"/>
                    <w:right w:val="single" w:color="000000" w:sz="4"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lang w:eastAsia="zh-CN"/>
                    </w:rPr>
                    <w:t>/</w:t>
                  </w:r>
                </w:p>
              </w:tc>
              <w:tc>
                <w:tcPr>
                  <w:tcW w:w="1181" w:type="dxa"/>
                  <w:gridSpan w:val="2"/>
                  <w:tcBorders>
                    <w:top w:val="single" w:color="000000" w:sz="6" w:space="0"/>
                    <w:left w:val="single" w:color="000000" w:sz="4" w:space="0"/>
                    <w:bottom w:val="single" w:color="000000" w:sz="4"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lang w:eastAsia="zh-CN"/>
                    </w:rPr>
                    <w:t>/</w:t>
                  </w:r>
                </w:p>
              </w:tc>
              <w:tc>
                <w:tcPr>
                  <w:tcW w:w="1555" w:type="dxa"/>
                  <w:gridSpan w:val="3"/>
                  <w:vMerge w:val="continue"/>
                  <w:tcBorders>
                    <w:top w:val="nil"/>
                    <w:left w:val="single" w:color="000000" w:sz="6" w:space="0"/>
                    <w:bottom w:val="single" w:color="000000" w:sz="6" w:space="0"/>
                    <w:right w:val="nil"/>
                  </w:tcBorders>
                  <w:vAlign w:val="center"/>
                </w:tcPr>
                <w:p>
                  <w:pPr>
                    <w:autoSpaceDE w:val="0"/>
                    <w:autoSpaceDN w:val="0"/>
                    <w:jc w:val="center"/>
                    <w:rPr>
                      <w:rFonts w:ascii="Times New Roman" w:hAnsi="Times New Roman" w:eastAsia="宋体" w:cs="Times New Roman"/>
                      <w:color w:val="FF0000"/>
                      <w:szCs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23" w:hRule="atLeast"/>
              </w:trPr>
              <w:tc>
                <w:tcPr>
                  <w:tcW w:w="427" w:type="dxa"/>
                  <w:vMerge w:val="continue"/>
                  <w:tcBorders>
                    <w:top w:val="nil"/>
                    <w:left w:val="nil"/>
                    <w:bottom w:val="single" w:color="000000" w:sz="6" w:space="0"/>
                    <w:right w:val="single" w:color="000000" w:sz="6" w:space="0"/>
                  </w:tcBorders>
                  <w:vAlign w:val="center"/>
                </w:tcPr>
                <w:p>
                  <w:pPr>
                    <w:autoSpaceDE w:val="0"/>
                    <w:autoSpaceDN w:val="0"/>
                    <w:jc w:val="center"/>
                    <w:rPr>
                      <w:rFonts w:ascii="Times New Roman" w:hAnsi="Times New Roman" w:eastAsia="宋体" w:cs="Times New Roman"/>
                      <w:color w:val="FF0000"/>
                      <w:szCs w:val="21"/>
                      <w:lang w:eastAsia="en-US"/>
                    </w:rPr>
                  </w:pPr>
                </w:p>
              </w:tc>
              <w:tc>
                <w:tcPr>
                  <w:tcW w:w="1670" w:type="dxa"/>
                  <w:tcBorders>
                    <w:top w:val="single" w:color="000000" w:sz="4"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信息公开指标</w:t>
                  </w:r>
                </w:p>
              </w:tc>
              <w:tc>
                <w:tcPr>
                  <w:tcW w:w="5042" w:type="dxa"/>
                  <w:gridSpan w:val="5"/>
                  <w:tcBorders>
                    <w:top w:val="single" w:color="000000" w:sz="4" w:space="0"/>
                    <w:left w:val="single" w:color="000000" w:sz="6" w:space="0"/>
                    <w:bottom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hint="eastAsia" w:ascii="Times New Roman" w:hAnsi="Times New Roman" w:eastAsia="宋体" w:cs="Times New Roman"/>
                      <w:color w:val="FF0000"/>
                      <w:sz w:val="21"/>
                      <w:szCs w:val="21"/>
                      <w:lang w:eastAsia="zh-CN"/>
                    </w:rPr>
                    <w:t>/</w:t>
                  </w:r>
                </w:p>
              </w:tc>
              <w:tc>
                <w:tcPr>
                  <w:tcW w:w="1555" w:type="dxa"/>
                  <w:gridSpan w:val="3"/>
                  <w:vMerge w:val="continue"/>
                  <w:tcBorders>
                    <w:top w:val="nil"/>
                    <w:left w:val="single" w:color="000000" w:sz="6" w:space="0"/>
                    <w:bottom w:val="single" w:color="000000" w:sz="6" w:space="0"/>
                    <w:right w:val="nil"/>
                  </w:tcBorders>
                  <w:vAlign w:val="center"/>
                </w:tcPr>
                <w:p>
                  <w:pPr>
                    <w:autoSpaceDE w:val="0"/>
                    <w:autoSpaceDN w:val="0"/>
                    <w:jc w:val="center"/>
                    <w:rPr>
                      <w:rFonts w:ascii="Times New Roman" w:hAnsi="Times New Roman" w:eastAsia="宋体" w:cs="Times New Roman"/>
                      <w:color w:val="FF0000"/>
                      <w:szCs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311" w:hRule="atLeast"/>
              </w:trPr>
              <w:tc>
                <w:tcPr>
                  <w:tcW w:w="2097" w:type="dxa"/>
                  <w:gridSpan w:val="2"/>
                  <w:tcBorders>
                    <w:top w:val="single" w:color="000000" w:sz="6" w:space="0"/>
                    <w:left w:val="nil"/>
                    <w:right w:val="single" w:color="000000" w:sz="6" w:space="0"/>
                  </w:tcBorders>
                  <w:vAlign w:val="center"/>
                </w:tcPr>
                <w:p>
                  <w:pPr>
                    <w:pStyle w:val="113"/>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评价结论</w:t>
                  </w:r>
                </w:p>
              </w:tc>
              <w:tc>
                <w:tcPr>
                  <w:tcW w:w="5042" w:type="dxa"/>
                  <w:gridSpan w:val="5"/>
                  <w:tcBorders>
                    <w:top w:val="single" w:color="000000" w:sz="6" w:space="0"/>
                    <w:left w:val="single" w:color="000000" w:sz="6" w:space="0"/>
                    <w:right w:val="single" w:color="000000" w:sz="6" w:space="0"/>
                  </w:tcBorders>
                  <w:vAlign w:val="center"/>
                </w:tcPr>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项目建设对土壤环境影响较小，项目建设可行</w:t>
                  </w:r>
                </w:p>
              </w:tc>
              <w:tc>
                <w:tcPr>
                  <w:tcW w:w="1555" w:type="dxa"/>
                  <w:gridSpan w:val="3"/>
                  <w:tcBorders>
                    <w:top w:val="single" w:color="000000" w:sz="6" w:space="0"/>
                    <w:left w:val="single" w:color="000000" w:sz="6" w:space="0"/>
                    <w:right w:val="nil"/>
                  </w:tcBorders>
                  <w:vAlign w:val="center"/>
                </w:tcPr>
                <w:p>
                  <w:pPr>
                    <w:pStyle w:val="113"/>
                    <w:jc w:val="center"/>
                    <w:rPr>
                      <w:rFonts w:ascii="Times New Roman" w:hAnsi="Times New Roman" w:eastAsia="宋体" w:cs="Times New Roman"/>
                      <w:color w:val="FF0000"/>
                      <w:sz w:val="21"/>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5" w:type="dxa"/>
                <w:trHeight w:val="623" w:hRule="atLeast"/>
              </w:trPr>
              <w:tc>
                <w:tcPr>
                  <w:tcW w:w="8694" w:type="dxa"/>
                  <w:gridSpan w:val="10"/>
                  <w:tcBorders>
                    <w:left w:val="nil"/>
                    <w:bottom w:val="single" w:color="auto" w:sz="12" w:space="0"/>
                    <w:right w:val="nil"/>
                  </w:tcBorders>
                  <w:vAlign w:val="center"/>
                </w:tcPr>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注 1：“□”为勾选项，可√；“（ ）”为内容填写项；“备注”为其他补充内容。</w:t>
                  </w:r>
                </w:p>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注 2：需要分别开展土壤环境影响评级工作的，分别填写自查表。</w:t>
                  </w:r>
                </w:p>
              </w:tc>
            </w:tr>
          </w:tbl>
          <w:p>
            <w:pPr>
              <w:pStyle w:val="11"/>
              <w:spacing w:line="360" w:lineRule="auto"/>
              <w:ind w:firstLine="482" w:firstLineChars="200"/>
              <w:rPr>
                <w:rFonts w:hAnsi="宋体"/>
                <w:b/>
                <w:bCs/>
                <w:kern w:val="2"/>
                <w:sz w:val="24"/>
                <w:lang w:val="en-US"/>
              </w:rPr>
            </w:pPr>
            <w:r>
              <w:rPr>
                <w:rFonts w:hint="eastAsia" w:hAnsi="宋体"/>
                <w:b/>
                <w:bCs/>
                <w:kern w:val="2"/>
                <w:sz w:val="24"/>
                <w:lang w:val="en-US"/>
              </w:rPr>
              <w:t>六、</w:t>
            </w:r>
            <w:r>
              <w:rPr>
                <w:rFonts w:hAnsi="宋体"/>
                <w:b/>
                <w:bCs/>
                <w:kern w:val="2"/>
                <w:sz w:val="24"/>
                <w:lang w:val="en-US"/>
              </w:rPr>
              <w:t>生态环境影响分析</w:t>
            </w:r>
          </w:p>
          <w:p>
            <w:pPr>
              <w:tabs>
                <w:tab w:val="left" w:pos="11"/>
              </w:tabs>
              <w:spacing w:line="360" w:lineRule="auto"/>
              <w:ind w:firstLine="480" w:firstLineChars="200"/>
              <w:rPr>
                <w:rFonts w:hAnsi="宋体"/>
                <w:bCs/>
                <w:color w:val="FF0000"/>
                <w:sz w:val="24"/>
              </w:rPr>
            </w:pPr>
            <w:r>
              <w:rPr>
                <w:rFonts w:hint="eastAsia" w:hAnsi="宋体"/>
                <w:bCs/>
                <w:color w:val="FF0000"/>
                <w:sz w:val="24"/>
              </w:rPr>
              <w:t>本项目所在区域属于一般区域，占地面积&lt;2km</w:t>
            </w:r>
            <w:r>
              <w:rPr>
                <w:rFonts w:hAnsi="宋体"/>
                <w:bCs/>
                <w:color w:val="FF0000"/>
                <w:sz w:val="24"/>
                <w:vertAlign w:val="superscript"/>
              </w:rPr>
              <w:t>3</w:t>
            </w:r>
            <w:r>
              <w:rPr>
                <w:rFonts w:hint="eastAsia" w:hAnsi="宋体"/>
                <w:bCs/>
                <w:color w:val="FF0000"/>
                <w:sz w:val="24"/>
              </w:rPr>
              <w:t>，生态评价为三级，主要利用已有资料进行分析。</w:t>
            </w:r>
          </w:p>
          <w:p>
            <w:pPr>
              <w:pStyle w:val="11"/>
              <w:spacing w:line="360" w:lineRule="auto"/>
              <w:ind w:firstLine="504" w:firstLineChars="200"/>
              <w:rPr>
                <w:rFonts w:hAnsi="宋体"/>
                <w:bCs/>
                <w:kern w:val="2"/>
                <w:sz w:val="24"/>
                <w:lang w:val="en-US"/>
              </w:rPr>
            </w:pPr>
            <w:r>
              <w:rPr>
                <w:rFonts w:hint="eastAsia" w:hAnsi="宋体"/>
                <w:spacing w:val="6"/>
                <w:sz w:val="24"/>
              </w:rPr>
              <w:t>1、项目厂区生态影响</w:t>
            </w:r>
          </w:p>
          <w:p>
            <w:pPr>
              <w:tabs>
                <w:tab w:val="left" w:pos="5175"/>
              </w:tabs>
              <w:spacing w:line="360" w:lineRule="auto"/>
              <w:ind w:firstLine="504" w:firstLineChars="200"/>
              <w:rPr>
                <w:rFonts w:hAnsi="宋体"/>
                <w:spacing w:val="6"/>
                <w:sz w:val="24"/>
              </w:rPr>
            </w:pPr>
            <w:r>
              <w:rPr>
                <w:rFonts w:hAnsi="宋体"/>
                <w:spacing w:val="6"/>
                <w:sz w:val="24"/>
              </w:rPr>
              <w:t>本项目的建设由于建设范围不大，且建设周期不长，主要是施工过程中土方开挖影响景观，项目建设完成之后，其影响也会消失，将不再对生态造成影响。本项目建成后可增加绿化面积</w:t>
            </w:r>
            <w:r>
              <w:rPr>
                <w:rFonts w:hint="eastAsia" w:hAnsi="宋体"/>
                <w:spacing w:val="6"/>
                <w:sz w:val="24"/>
              </w:rPr>
              <w:t>4000</w:t>
            </w:r>
            <w:r>
              <w:rPr>
                <w:rFonts w:hAnsi="宋体"/>
                <w:spacing w:val="6"/>
                <w:sz w:val="24"/>
              </w:rPr>
              <w:t>m</w:t>
            </w:r>
            <w:r>
              <w:rPr>
                <w:rFonts w:hAnsi="宋体"/>
                <w:spacing w:val="6"/>
                <w:sz w:val="24"/>
                <w:vertAlign w:val="superscript"/>
              </w:rPr>
              <w:t>2</w:t>
            </w:r>
            <w:r>
              <w:rPr>
                <w:rFonts w:hAnsi="宋体"/>
                <w:spacing w:val="6"/>
                <w:sz w:val="24"/>
              </w:rPr>
              <w:t>，对周围的环境起到一定的改善作用。</w:t>
            </w:r>
          </w:p>
          <w:p>
            <w:pPr>
              <w:tabs>
                <w:tab w:val="left" w:pos="5175"/>
              </w:tabs>
              <w:spacing w:line="360" w:lineRule="auto"/>
              <w:ind w:firstLine="504" w:firstLineChars="200"/>
              <w:rPr>
                <w:rFonts w:hAnsi="宋体"/>
                <w:spacing w:val="6"/>
                <w:sz w:val="24"/>
              </w:rPr>
            </w:pPr>
            <w:r>
              <w:rPr>
                <w:rFonts w:hint="eastAsia" w:hAnsi="宋体"/>
                <w:spacing w:val="6"/>
                <w:sz w:val="24"/>
              </w:rPr>
              <w:t>2、项目取土区开采生态影响</w:t>
            </w:r>
          </w:p>
          <w:p>
            <w:pPr>
              <w:tabs>
                <w:tab w:val="left" w:pos="5175"/>
              </w:tabs>
              <w:spacing w:line="360" w:lineRule="auto"/>
              <w:ind w:firstLine="504" w:firstLineChars="200"/>
              <w:rPr>
                <w:rFonts w:hAnsi="宋体"/>
                <w:color w:val="0070C0"/>
                <w:spacing w:val="6"/>
                <w:sz w:val="24"/>
              </w:rPr>
            </w:pPr>
            <w:r>
              <w:rPr>
                <w:rFonts w:hint="eastAsia" w:hAnsi="宋体"/>
                <w:spacing w:val="6"/>
                <w:sz w:val="24"/>
              </w:rPr>
              <w:t>本</w:t>
            </w:r>
            <w:r>
              <w:rPr>
                <w:rFonts w:hint="eastAsia" w:hAnsi="宋体"/>
                <w:color w:val="0070C0"/>
                <w:spacing w:val="6"/>
                <w:sz w:val="24"/>
              </w:rPr>
              <w:t>项目粘土区采用露天开采方式。粘土取土区在开采取土过程中，将会对生态环境产生一定影响。</w:t>
            </w:r>
          </w:p>
          <w:p>
            <w:pPr>
              <w:pStyle w:val="11"/>
              <w:spacing w:line="360" w:lineRule="auto"/>
              <w:ind w:firstLine="504" w:firstLineChars="200"/>
              <w:rPr>
                <w:rFonts w:hAnsi="宋体"/>
                <w:color w:val="0070C0"/>
                <w:spacing w:val="6"/>
                <w:sz w:val="24"/>
              </w:rPr>
            </w:pPr>
            <w:r>
              <w:rPr>
                <w:rFonts w:hint="eastAsia" w:hAnsi="宋体"/>
                <w:color w:val="0070C0"/>
                <w:spacing w:val="6"/>
                <w:sz w:val="24"/>
              </w:rPr>
              <w:t>（1）对植被的影响</w:t>
            </w:r>
          </w:p>
          <w:p>
            <w:pPr>
              <w:pStyle w:val="11"/>
              <w:spacing w:line="360" w:lineRule="auto"/>
              <w:ind w:firstLine="504" w:firstLineChars="200"/>
              <w:rPr>
                <w:rFonts w:hAnsi="宋体"/>
                <w:color w:val="0070C0"/>
                <w:spacing w:val="6"/>
                <w:sz w:val="24"/>
              </w:rPr>
            </w:pPr>
            <w:r>
              <w:rPr>
                <w:rFonts w:hint="eastAsia" w:hAnsi="宋体"/>
                <w:color w:val="0070C0"/>
                <w:spacing w:val="6"/>
                <w:sz w:val="24"/>
              </w:rPr>
              <w:t>项目占地的土地类型主要为草地，还有少量的旱地，粘土开采时，由于粘土的开采，需对取土区地表土层和植被进行剥离，以及机械碾压、施工人员践踏等，施工作业周围的植被将遭到不同程度的破坏，造成植物资源的减少，将对当地植物资源带来一定的负面影响。项目占地对植被破坏影响是短期的、可恢复的，待开采结束后可用于植被恢复或复耕。</w:t>
            </w:r>
          </w:p>
          <w:p>
            <w:pPr>
              <w:pStyle w:val="11"/>
              <w:spacing w:line="360" w:lineRule="auto"/>
              <w:ind w:firstLine="504" w:firstLineChars="200"/>
              <w:rPr>
                <w:rFonts w:hAnsi="宋体"/>
                <w:color w:val="0070C0"/>
                <w:spacing w:val="6"/>
                <w:sz w:val="24"/>
              </w:rPr>
            </w:pPr>
            <w:r>
              <w:rPr>
                <w:rFonts w:hint="eastAsia" w:hAnsi="宋体"/>
                <w:color w:val="0070C0"/>
                <w:spacing w:val="6"/>
                <w:sz w:val="24"/>
              </w:rPr>
              <w:t>由于取土区占用土地上原有的植被将被破坏，取土区边坡上的植被将难以恢复。但是取土区规模较小，植被总体影响不大。开采结束后将大部分土地复垦成可种植农作物的田地和宜林地，不能复垦的要植树种草，恢复生态环境。</w:t>
            </w:r>
          </w:p>
          <w:p>
            <w:pPr>
              <w:pStyle w:val="11"/>
              <w:spacing w:line="360" w:lineRule="auto"/>
              <w:ind w:firstLine="504" w:firstLineChars="200"/>
              <w:rPr>
                <w:rFonts w:hAnsi="宋体"/>
                <w:color w:val="0070C0"/>
                <w:spacing w:val="6"/>
                <w:sz w:val="24"/>
              </w:rPr>
            </w:pPr>
            <w:r>
              <w:rPr>
                <w:rFonts w:hint="eastAsia" w:hAnsi="宋体"/>
                <w:color w:val="0070C0"/>
                <w:spacing w:val="6"/>
                <w:sz w:val="24"/>
              </w:rPr>
              <w:t>项目周边无生态敏感点，没有需要特殊保护的生态环境，因此该项目建成后，不会造成生态环境的明显影响。</w:t>
            </w:r>
          </w:p>
          <w:p>
            <w:pPr>
              <w:pStyle w:val="11"/>
              <w:spacing w:line="360" w:lineRule="auto"/>
              <w:ind w:firstLine="504" w:firstLineChars="200"/>
              <w:rPr>
                <w:rFonts w:hAnsi="宋体"/>
                <w:color w:val="0070C0"/>
                <w:spacing w:val="6"/>
                <w:sz w:val="24"/>
              </w:rPr>
            </w:pPr>
            <w:r>
              <w:rPr>
                <w:rFonts w:hint="eastAsia" w:hAnsi="宋体"/>
                <w:color w:val="0070C0"/>
                <w:spacing w:val="6"/>
                <w:sz w:val="24"/>
              </w:rPr>
              <w:t>（2）对景观生态的影响</w:t>
            </w:r>
          </w:p>
          <w:p>
            <w:pPr>
              <w:pStyle w:val="11"/>
              <w:spacing w:line="360" w:lineRule="auto"/>
              <w:ind w:firstLine="504" w:firstLineChars="200"/>
              <w:rPr>
                <w:rFonts w:hAnsi="宋体"/>
                <w:color w:val="0070C0"/>
                <w:spacing w:val="6"/>
                <w:sz w:val="24"/>
              </w:rPr>
            </w:pPr>
            <w:r>
              <w:rPr>
                <w:rFonts w:hint="eastAsia" w:hAnsi="宋体"/>
                <w:color w:val="0070C0"/>
                <w:spacing w:val="6"/>
                <w:sz w:val="24"/>
              </w:rPr>
              <w:t>项目所在地属于农村自然景观生态体系，生产过程中，草地基质退化为局部工矿用地斑块。总体来看，项目生态评价范围的绿地基质骤减，景观斑块类型无变化，工矿用地成为生态评价区域的主要干扰入侵斑块，引起生境破碎化程度加剧，不利于当地景观生态体系的稳定。但是本项目边开采边进行植被恢复，在开采过程中及时复垦，降低工程裸露的区域，在开采结束时完成对占地区域进行植被恢复，逐步增加项目区绿地面积，与当地景观环境基质融为一体，对当地景观环境影响小。</w:t>
            </w:r>
          </w:p>
          <w:p>
            <w:pPr>
              <w:pStyle w:val="11"/>
              <w:spacing w:line="360" w:lineRule="auto"/>
              <w:ind w:firstLine="504" w:firstLineChars="200"/>
              <w:rPr>
                <w:rFonts w:hAnsi="宋体"/>
                <w:color w:val="0070C0"/>
                <w:spacing w:val="6"/>
                <w:sz w:val="24"/>
              </w:rPr>
            </w:pPr>
            <w:r>
              <w:rPr>
                <w:rFonts w:hint="eastAsia" w:hAnsi="宋体"/>
                <w:color w:val="0070C0"/>
                <w:spacing w:val="6"/>
                <w:sz w:val="24"/>
              </w:rPr>
              <w:t>（3）对陆生动物的影响</w:t>
            </w:r>
          </w:p>
          <w:p>
            <w:pPr>
              <w:pStyle w:val="11"/>
              <w:spacing w:line="360" w:lineRule="auto"/>
              <w:ind w:firstLine="504" w:firstLineChars="200"/>
              <w:rPr>
                <w:rFonts w:hAnsi="宋体"/>
                <w:color w:val="0070C0"/>
                <w:spacing w:val="6"/>
                <w:sz w:val="24"/>
              </w:rPr>
            </w:pPr>
            <w:r>
              <w:rPr>
                <w:rFonts w:hint="eastAsia" w:hAnsi="宋体"/>
                <w:color w:val="0070C0"/>
                <w:spacing w:val="6"/>
                <w:sz w:val="24"/>
              </w:rPr>
              <w:t>取土区范围未见大型野生动物出没，无国家重点保护珍惜野生动物及其栖息地分布，仅有田鼠、麻雀等小型野生动物出没。</w:t>
            </w:r>
          </w:p>
          <w:p>
            <w:pPr>
              <w:pStyle w:val="11"/>
              <w:spacing w:line="360" w:lineRule="auto"/>
              <w:ind w:firstLine="504" w:firstLineChars="200"/>
              <w:rPr>
                <w:rFonts w:hAnsi="宋体"/>
                <w:color w:val="0070C0"/>
                <w:spacing w:val="6"/>
                <w:sz w:val="24"/>
              </w:rPr>
            </w:pPr>
            <w:r>
              <w:rPr>
                <w:rFonts w:hint="eastAsia" w:hAnsi="宋体"/>
                <w:color w:val="0070C0"/>
                <w:spacing w:val="6"/>
                <w:sz w:val="24"/>
              </w:rPr>
              <w:t>本项目采用露天开采，开采过程中，地表剥离、粘土开采直接导致以取土区地表植被或表土作为栖息地或觅食场所的野生动物生存环境丧失，如鼠类、蚂蚁等，以及洞居、穴居的野生动物生境丧失，如鼠类、蛇类、兔类等；同时由于大型机械设备进驻，产生的噪声和振动必然使周边一定距离范围内的野生动物受到惊扰，迫使取土区范围内及周边的动物远离，迁徙到附近区域内生存，一段时间内，将导致取土区周边迁徙地内小型动物种群密度会有所上升。由于取土区周边主要为农田生态系统，其生境与取土区基本类似，因此，小型动物迁徙后，也能适应其生活，不会引起动物因食物短缺、生境变化等导致野生动物种群的消失。随着对开取土区进行植被恢复，取土区内植被覆盖度、植被种类将有所增加，生态环境将得到恢复和改善，将逐步恢复原有动物的生境，区域内动物的种群和数量也将得到回升。取土区开采对野生动物的影响是暂时的，不会导致野生动物物种的消失，开采活动结束后不利影响可得到一定程度的恢复。</w:t>
            </w:r>
          </w:p>
          <w:p>
            <w:pPr>
              <w:pStyle w:val="11"/>
              <w:spacing w:line="360" w:lineRule="auto"/>
              <w:ind w:firstLine="504" w:firstLineChars="200"/>
              <w:rPr>
                <w:rFonts w:hAnsi="宋体"/>
                <w:color w:val="0070C0"/>
                <w:spacing w:val="6"/>
                <w:sz w:val="24"/>
              </w:rPr>
            </w:pPr>
            <w:r>
              <w:rPr>
                <w:rFonts w:hint="eastAsia" w:hAnsi="宋体"/>
                <w:color w:val="0070C0"/>
                <w:spacing w:val="6"/>
                <w:sz w:val="24"/>
              </w:rPr>
              <w:t>（4）水土流失影响分析</w:t>
            </w:r>
          </w:p>
          <w:p>
            <w:pPr>
              <w:pStyle w:val="11"/>
              <w:spacing w:line="360" w:lineRule="auto"/>
              <w:ind w:firstLine="504" w:firstLineChars="200"/>
              <w:rPr>
                <w:rFonts w:hAnsi="宋体"/>
                <w:color w:val="0070C0"/>
                <w:spacing w:val="6"/>
                <w:sz w:val="24"/>
              </w:rPr>
            </w:pPr>
            <w:r>
              <w:rPr>
                <w:rFonts w:hint="eastAsia" w:hAnsi="宋体"/>
                <w:color w:val="0070C0"/>
                <w:spacing w:val="6"/>
                <w:sz w:val="24"/>
              </w:rPr>
              <w:t>本项目在粘土开采、取运过程中破坏原有的地表植被，土体被剥离和扰动，土壤可蚀性相应增加，抗侵蚀能力降低，地形切割加剧，从而导致土壤侵蚀程度加大，水土流失增加，同时，在开采过程中形成边坡，遇暴雨季节，雨水冲刷表土，更加容易造成水土流失，进而可能对周围的生态环境造成更大的危害，另外，一旦发生滑坡，取土区的水土将淹没地势低洼处的植被，破坏原来的生态系统。</w:t>
            </w:r>
          </w:p>
          <w:p>
            <w:pPr>
              <w:spacing w:line="360" w:lineRule="auto"/>
              <w:ind w:firstLine="480" w:firstLineChars="200"/>
              <w:rPr>
                <w:color w:val="FF0000"/>
                <w:sz w:val="24"/>
              </w:rPr>
            </w:pPr>
            <w:r>
              <w:rPr>
                <w:rFonts w:hint="eastAsia"/>
                <w:color w:val="FF0000"/>
                <w:sz w:val="24"/>
              </w:rPr>
              <w:t>3</w:t>
            </w:r>
            <w:r>
              <w:rPr>
                <w:color w:val="FF0000"/>
                <w:sz w:val="24"/>
              </w:rPr>
              <w:t>、</w:t>
            </w:r>
            <w:r>
              <w:rPr>
                <w:rFonts w:hint="eastAsia"/>
                <w:color w:val="FF0000"/>
                <w:sz w:val="24"/>
              </w:rPr>
              <w:t>取土场</w:t>
            </w:r>
            <w:r>
              <w:rPr>
                <w:color w:val="FF0000"/>
                <w:sz w:val="24"/>
              </w:rPr>
              <w:t>生态环境保护措施</w:t>
            </w:r>
          </w:p>
          <w:p>
            <w:pPr>
              <w:spacing w:line="360" w:lineRule="auto"/>
              <w:ind w:firstLine="480" w:firstLineChars="200"/>
              <w:rPr>
                <w:rFonts w:ascii="宋体" w:hAnsi="宋体"/>
                <w:color w:val="FF0000"/>
                <w:sz w:val="24"/>
              </w:rPr>
            </w:pPr>
            <w:r>
              <w:rPr>
                <w:rFonts w:hint="eastAsia" w:ascii="宋体" w:hAnsi="宋体"/>
                <w:color w:val="FF0000"/>
                <w:sz w:val="24"/>
              </w:rPr>
              <w:t>本项目取土场生态保护以“预防为主、防治结合”等原则，取土场生态保护为包括开采期间的生态保护，服务期满后的生态保护和生态恢复及必要的管理措施等全过程保护。根据项目情况，</w:t>
            </w:r>
            <w:r>
              <w:rPr>
                <w:rFonts w:hint="eastAsia"/>
                <w:color w:val="FF0000"/>
                <w:sz w:val="24"/>
              </w:rPr>
              <w:t>生态环境保护</w:t>
            </w:r>
            <w:r>
              <w:rPr>
                <w:rFonts w:hint="eastAsia" w:ascii="宋体" w:hAnsi="宋体"/>
                <w:color w:val="FF0000"/>
                <w:sz w:val="24"/>
              </w:rPr>
              <w:t>采取以下措施：</w:t>
            </w:r>
          </w:p>
          <w:p>
            <w:pPr>
              <w:tabs>
                <w:tab w:val="left" w:pos="5175"/>
              </w:tabs>
              <w:spacing w:line="360" w:lineRule="auto"/>
              <w:ind w:firstLine="504" w:firstLineChars="200"/>
              <w:rPr>
                <w:color w:val="0070C0"/>
                <w:spacing w:val="6"/>
                <w:sz w:val="24"/>
              </w:rPr>
            </w:pPr>
            <w:r>
              <w:rPr>
                <w:rFonts w:hint="eastAsia" w:hAnsi="宋体"/>
                <w:color w:val="0070C0"/>
                <w:spacing w:val="6"/>
                <w:sz w:val="24"/>
              </w:rPr>
              <w:t>（1）</w:t>
            </w:r>
            <w:r>
              <w:rPr>
                <w:color w:val="0070C0"/>
                <w:spacing w:val="6"/>
                <w:sz w:val="24"/>
              </w:rPr>
              <w:t>开采期</w:t>
            </w:r>
            <w:r>
              <w:rPr>
                <w:rFonts w:hint="eastAsia"/>
                <w:color w:val="0070C0"/>
                <w:spacing w:val="6"/>
                <w:sz w:val="24"/>
              </w:rPr>
              <w:t>生态保护</w:t>
            </w:r>
            <w:r>
              <w:rPr>
                <w:color w:val="0070C0"/>
                <w:spacing w:val="6"/>
                <w:sz w:val="24"/>
              </w:rPr>
              <w:t>措施</w:t>
            </w:r>
          </w:p>
          <w:p>
            <w:pPr>
              <w:tabs>
                <w:tab w:val="left" w:pos="5175"/>
              </w:tabs>
              <w:spacing w:line="360" w:lineRule="auto"/>
              <w:ind w:firstLine="504" w:firstLineChars="200"/>
              <w:rPr>
                <w:color w:val="0070C0"/>
                <w:spacing w:val="6"/>
                <w:sz w:val="24"/>
              </w:rPr>
            </w:pPr>
            <w:r>
              <w:rPr>
                <w:color w:val="0070C0"/>
                <w:spacing w:val="6"/>
                <w:sz w:val="24"/>
              </w:rPr>
              <w:t>按照</w:t>
            </w:r>
            <w:r>
              <w:rPr>
                <w:rFonts w:hint="eastAsia"/>
                <w:color w:val="0070C0"/>
                <w:spacing w:val="6"/>
                <w:sz w:val="24"/>
              </w:rPr>
              <w:t>“</w:t>
            </w:r>
            <w:r>
              <w:rPr>
                <w:color w:val="0070C0"/>
                <w:spacing w:val="6"/>
                <w:sz w:val="24"/>
              </w:rPr>
              <w:t>统一规划、源头控制、防复结合</w:t>
            </w:r>
            <w:r>
              <w:rPr>
                <w:rFonts w:hint="eastAsia"/>
                <w:color w:val="0070C0"/>
                <w:spacing w:val="6"/>
                <w:sz w:val="24"/>
              </w:rPr>
              <w:t>”</w:t>
            </w:r>
            <w:r>
              <w:rPr>
                <w:color w:val="0070C0"/>
                <w:spacing w:val="6"/>
                <w:sz w:val="24"/>
              </w:rPr>
              <w:t>的原则，在开采规划建设与过程中可以采取一些合理的措施，以减少和控制破坏土地的面积和程度。建设与生产中可采取如下措施控制和预防土地破坏：</w:t>
            </w:r>
          </w:p>
          <w:p>
            <w:pPr>
              <w:tabs>
                <w:tab w:val="left" w:pos="5175"/>
              </w:tabs>
              <w:spacing w:line="360" w:lineRule="auto"/>
              <w:ind w:firstLine="504" w:firstLineChars="200"/>
              <w:rPr>
                <w:color w:val="0070C0"/>
                <w:spacing w:val="6"/>
                <w:sz w:val="24"/>
              </w:rPr>
            </w:pPr>
            <w:r>
              <w:rPr>
                <w:rFonts w:hAnsi="宋体"/>
                <w:color w:val="0070C0"/>
                <w:spacing w:val="6"/>
                <w:sz w:val="24"/>
              </w:rPr>
              <w:t>①合理规划生产布局，减少破坏范围。建设和生产过程中应加强规划和施工管理，尽量缩小对土地的影响范围，各种生产建设活动应严格控制在规划区域内。</w:t>
            </w:r>
          </w:p>
          <w:p>
            <w:pPr>
              <w:tabs>
                <w:tab w:val="left" w:pos="5175"/>
              </w:tabs>
              <w:spacing w:line="360" w:lineRule="auto"/>
              <w:ind w:firstLine="504" w:firstLineChars="200"/>
              <w:rPr>
                <w:color w:val="0070C0"/>
                <w:spacing w:val="6"/>
                <w:sz w:val="24"/>
              </w:rPr>
            </w:pPr>
            <w:r>
              <w:rPr>
                <w:rFonts w:hAnsi="宋体"/>
                <w:color w:val="0070C0"/>
                <w:spacing w:val="6"/>
                <w:sz w:val="24"/>
              </w:rPr>
              <w:t>②表土剥离，保护珍贵熟土资源，耕作层土壤和表层土壤是经过多年耕作和植物作用而形成的熟化土壤，是深层生土所不能替代的，对于植物种子的萌发和幼苗的生长有着重要作用。因此，在进行土地复垦时，要保护和利用好表层的熟化土壤。首先要把表层的熟化土壤尽可能的剥离后再合适的地方贮存并加以养护以保持其肥力；待复垦工作开始时，平铺于土地表面，使其得到充分、有效的利用。</w:t>
            </w:r>
          </w:p>
          <w:p>
            <w:pPr>
              <w:tabs>
                <w:tab w:val="left" w:pos="5175"/>
              </w:tabs>
              <w:spacing w:line="360" w:lineRule="auto"/>
              <w:ind w:firstLine="504" w:firstLineChars="200"/>
              <w:rPr>
                <w:color w:val="0070C0"/>
                <w:spacing w:val="6"/>
                <w:sz w:val="24"/>
              </w:rPr>
            </w:pPr>
            <w:r>
              <w:rPr>
                <w:rFonts w:hAnsi="宋体"/>
                <w:color w:val="0070C0"/>
                <w:spacing w:val="6"/>
                <w:sz w:val="24"/>
              </w:rPr>
              <w:t>③</w:t>
            </w:r>
            <w:r>
              <w:rPr>
                <w:color w:val="0070C0"/>
                <w:spacing w:val="6"/>
                <w:sz w:val="24"/>
              </w:rPr>
              <w:t>建立完善的截水系统，防止坡面水漫坡流动、侵蚀土壤，造成水土流失。根据开采地形，在</w:t>
            </w:r>
            <w:r>
              <w:rPr>
                <w:rFonts w:hint="eastAsia"/>
                <w:color w:val="0070C0"/>
                <w:spacing w:val="6"/>
                <w:sz w:val="24"/>
              </w:rPr>
              <w:t>取土区</w:t>
            </w:r>
            <w:r>
              <w:rPr>
                <w:color w:val="0070C0"/>
                <w:spacing w:val="6"/>
                <w:sz w:val="24"/>
              </w:rPr>
              <w:t>布置截水沟，使两侧山坡水不至于沿开采坡面漫流。</w:t>
            </w:r>
          </w:p>
          <w:p>
            <w:pPr>
              <w:tabs>
                <w:tab w:val="left" w:pos="5175"/>
              </w:tabs>
              <w:spacing w:line="360" w:lineRule="auto"/>
              <w:ind w:firstLine="504" w:firstLineChars="200"/>
              <w:rPr>
                <w:color w:val="0070C0"/>
                <w:spacing w:val="6"/>
                <w:sz w:val="24"/>
              </w:rPr>
            </w:pPr>
            <w:r>
              <w:rPr>
                <w:rFonts w:hAnsi="宋体"/>
                <w:color w:val="0070C0"/>
                <w:spacing w:val="6"/>
                <w:sz w:val="24"/>
              </w:rPr>
              <w:t>④避开暴雨期剥土、堆土。</w:t>
            </w:r>
          </w:p>
          <w:p>
            <w:pPr>
              <w:tabs>
                <w:tab w:val="left" w:pos="5175"/>
              </w:tabs>
              <w:spacing w:line="360" w:lineRule="auto"/>
              <w:ind w:firstLine="504" w:firstLineChars="200"/>
              <w:rPr>
                <w:color w:val="0070C0"/>
                <w:spacing w:val="6"/>
                <w:sz w:val="24"/>
              </w:rPr>
            </w:pPr>
            <w:r>
              <w:rPr>
                <w:rFonts w:hAnsi="宋体"/>
                <w:color w:val="0070C0"/>
                <w:spacing w:val="6"/>
                <w:sz w:val="24"/>
              </w:rPr>
              <w:t>⑤对于开采后的削坡应有坡脚防护。</w:t>
            </w:r>
          </w:p>
          <w:p>
            <w:pPr>
              <w:tabs>
                <w:tab w:val="left" w:pos="5175"/>
              </w:tabs>
              <w:spacing w:line="360" w:lineRule="auto"/>
              <w:ind w:firstLine="504" w:firstLineChars="200"/>
              <w:rPr>
                <w:color w:val="0070C0"/>
                <w:spacing w:val="6"/>
                <w:sz w:val="24"/>
              </w:rPr>
            </w:pPr>
            <w:r>
              <w:rPr>
                <w:rFonts w:hAnsi="宋体"/>
                <w:color w:val="0070C0"/>
                <w:spacing w:val="6"/>
                <w:sz w:val="24"/>
              </w:rPr>
              <w:t>⑥削坡后因土质疏松可能产生碎落或塌方的坡脚，应修筑挡土墙予以防护。无论土质削坡</w:t>
            </w:r>
            <w:r>
              <w:rPr>
                <w:color w:val="0070C0"/>
                <w:spacing w:val="6"/>
                <w:sz w:val="24"/>
              </w:rPr>
              <w:t>还是石质削坡，都应在距坡脚1m处，开挖防洪排水渠，渠面尺寸根据坡面来水情况计算确定。</w:t>
            </w:r>
          </w:p>
          <w:p>
            <w:pPr>
              <w:tabs>
                <w:tab w:val="left" w:pos="5175"/>
              </w:tabs>
              <w:spacing w:line="360" w:lineRule="auto"/>
              <w:ind w:firstLine="504" w:firstLineChars="200"/>
              <w:rPr>
                <w:color w:val="0070C0"/>
                <w:spacing w:val="6"/>
                <w:sz w:val="24"/>
              </w:rPr>
            </w:pPr>
            <w:r>
              <w:rPr>
                <w:rFonts w:hAnsi="宋体"/>
                <w:color w:val="0070C0"/>
                <w:spacing w:val="6"/>
                <w:sz w:val="24"/>
              </w:rPr>
              <w:t>⑦开采后的削坡要采取植物护坡措施；在阶梯形平台，种植草类、灌木。</w:t>
            </w:r>
          </w:p>
          <w:p>
            <w:pPr>
              <w:tabs>
                <w:tab w:val="left" w:pos="5175"/>
              </w:tabs>
              <w:spacing w:line="360" w:lineRule="auto"/>
              <w:ind w:firstLine="504" w:firstLineChars="200"/>
              <w:rPr>
                <w:color w:val="0070C0"/>
                <w:spacing w:val="6"/>
                <w:sz w:val="24"/>
              </w:rPr>
            </w:pPr>
            <w:r>
              <w:rPr>
                <w:rFonts w:hint="eastAsia" w:hAnsi="宋体"/>
                <w:color w:val="0070C0"/>
                <w:spacing w:val="6"/>
                <w:sz w:val="24"/>
              </w:rPr>
              <w:t>（2）服务期满后生态保护</w:t>
            </w:r>
            <w:r>
              <w:rPr>
                <w:rFonts w:hAnsi="宋体"/>
                <w:color w:val="0070C0"/>
                <w:spacing w:val="6"/>
                <w:sz w:val="24"/>
              </w:rPr>
              <w:t>措施</w:t>
            </w:r>
          </w:p>
          <w:p>
            <w:pPr>
              <w:tabs>
                <w:tab w:val="left" w:pos="5175"/>
              </w:tabs>
              <w:spacing w:line="360" w:lineRule="auto"/>
              <w:ind w:firstLine="504" w:firstLineChars="200"/>
              <w:rPr>
                <w:color w:val="0070C0"/>
                <w:spacing w:val="6"/>
                <w:sz w:val="24"/>
              </w:rPr>
            </w:pPr>
            <w:r>
              <w:rPr>
                <w:rFonts w:hAnsi="宋体"/>
                <w:color w:val="0070C0"/>
                <w:spacing w:val="6"/>
                <w:sz w:val="24"/>
              </w:rPr>
              <w:t>①构筑物拆除工程措施</w:t>
            </w:r>
          </w:p>
          <w:p>
            <w:pPr>
              <w:tabs>
                <w:tab w:val="left" w:pos="5175"/>
              </w:tabs>
              <w:spacing w:line="360" w:lineRule="auto"/>
              <w:ind w:firstLine="504" w:firstLineChars="200"/>
              <w:rPr>
                <w:rFonts w:ascii="宋体" w:hAnsi="宋体"/>
                <w:color w:val="0070C0"/>
                <w:spacing w:val="6"/>
                <w:sz w:val="24"/>
              </w:rPr>
            </w:pPr>
            <w:r>
              <w:rPr>
                <w:rFonts w:hAnsi="宋体"/>
                <w:color w:val="0070C0"/>
                <w:spacing w:val="6"/>
                <w:sz w:val="24"/>
              </w:rPr>
              <w:t>粘土</w:t>
            </w:r>
            <w:r>
              <w:rPr>
                <w:rFonts w:hint="eastAsia" w:hAnsi="宋体"/>
                <w:color w:val="0070C0"/>
                <w:spacing w:val="6"/>
                <w:sz w:val="24"/>
              </w:rPr>
              <w:t>取土区</w:t>
            </w:r>
            <w:r>
              <w:rPr>
                <w:rFonts w:hAnsi="宋体"/>
                <w:color w:val="0070C0"/>
                <w:spacing w:val="6"/>
                <w:sz w:val="24"/>
              </w:rPr>
              <w:t>结束服务后，应及时拆除场地内建筑，消除建筑垃圾，覆盖表土。构筑物拆除流程</w:t>
            </w:r>
            <w:r>
              <w:rPr>
                <w:rFonts w:hint="eastAsia" w:ascii="宋体" w:hAnsi="宋体"/>
                <w:color w:val="0070C0"/>
                <w:spacing w:val="6"/>
                <w:sz w:val="24"/>
              </w:rPr>
              <w:t>按照复垦方案中的拆除工程设计。构筑物拆除工程主要为厂区生产车间等，拆除后的废渣运往当地渣场处理。</w:t>
            </w:r>
          </w:p>
          <w:p>
            <w:pPr>
              <w:tabs>
                <w:tab w:val="left" w:pos="5175"/>
              </w:tabs>
              <w:spacing w:line="360" w:lineRule="auto"/>
              <w:ind w:firstLine="504" w:firstLineChars="200"/>
              <w:rPr>
                <w:rFonts w:ascii="宋体" w:hAnsi="宋体"/>
                <w:color w:val="0070C0"/>
                <w:spacing w:val="6"/>
                <w:sz w:val="24"/>
              </w:rPr>
            </w:pPr>
            <w:r>
              <w:rPr>
                <w:rFonts w:hint="eastAsia" w:ascii="宋体" w:hAnsi="宋体"/>
                <w:color w:val="0070C0"/>
                <w:spacing w:val="6"/>
                <w:sz w:val="24"/>
              </w:rPr>
              <w:t>②土地平整工程措施</w:t>
            </w:r>
          </w:p>
          <w:p>
            <w:pPr>
              <w:tabs>
                <w:tab w:val="left" w:pos="5175"/>
              </w:tabs>
              <w:spacing w:line="360" w:lineRule="auto"/>
              <w:ind w:firstLine="504" w:firstLineChars="200"/>
              <w:rPr>
                <w:rFonts w:hAnsi="宋体"/>
                <w:color w:val="0070C0"/>
                <w:spacing w:val="6"/>
                <w:sz w:val="24"/>
              </w:rPr>
            </w:pPr>
            <w:r>
              <w:rPr>
                <w:rFonts w:hint="eastAsia" w:ascii="宋体" w:hAnsi="宋体"/>
                <w:color w:val="0070C0"/>
                <w:spacing w:val="6"/>
                <w:sz w:val="24"/>
              </w:rPr>
              <w:t>土地平整过程是复垦工作的主要工作内容之一。建设项目损坏土地后，使原有的土地形态发生改变，可能使土地的表层起伏不平，难以达到预期的土地利用方向。根据土地复垦标准，复垦为耕地的损坏土地平整后，地面坡</w:t>
            </w:r>
            <w:r>
              <w:rPr>
                <w:rFonts w:hAnsi="宋体"/>
                <w:color w:val="0070C0"/>
                <w:spacing w:val="6"/>
                <w:sz w:val="24"/>
              </w:rPr>
              <w:t>度不超过</w:t>
            </w:r>
            <w:r>
              <w:rPr>
                <w:color w:val="0070C0"/>
                <w:spacing w:val="6"/>
                <w:sz w:val="24"/>
              </w:rPr>
              <w:t>5°</w:t>
            </w:r>
            <w:r>
              <w:rPr>
                <w:rFonts w:hAnsi="宋体"/>
                <w:color w:val="0070C0"/>
                <w:spacing w:val="6"/>
                <w:sz w:val="24"/>
              </w:rPr>
              <w:t>。场地</w:t>
            </w:r>
            <w:r>
              <w:rPr>
                <w:rFonts w:hint="eastAsia" w:hAnsi="宋体"/>
                <w:color w:val="0070C0"/>
                <w:spacing w:val="6"/>
                <w:sz w:val="24"/>
              </w:rPr>
              <w:t>平整设计主要是复垦为耕地的区域。</w:t>
            </w:r>
          </w:p>
          <w:p>
            <w:pPr>
              <w:tabs>
                <w:tab w:val="left" w:pos="5175"/>
              </w:tabs>
              <w:spacing w:line="360" w:lineRule="auto"/>
              <w:ind w:firstLine="504" w:firstLineChars="200"/>
              <w:rPr>
                <w:rFonts w:hAnsi="宋体"/>
                <w:color w:val="0070C0"/>
                <w:spacing w:val="6"/>
                <w:sz w:val="24"/>
              </w:rPr>
            </w:pPr>
            <w:r>
              <w:rPr>
                <w:rFonts w:hint="eastAsia" w:hAnsi="宋体"/>
                <w:color w:val="0070C0"/>
                <w:spacing w:val="6"/>
                <w:sz w:val="24"/>
              </w:rPr>
              <w:t>③表土剥覆工程措施</w:t>
            </w:r>
          </w:p>
          <w:p>
            <w:pPr>
              <w:tabs>
                <w:tab w:val="left" w:pos="5175"/>
              </w:tabs>
              <w:spacing w:line="360" w:lineRule="auto"/>
              <w:ind w:firstLine="504" w:firstLineChars="200"/>
              <w:rPr>
                <w:color w:val="0070C0"/>
                <w:spacing w:val="6"/>
                <w:sz w:val="24"/>
              </w:rPr>
            </w:pPr>
            <w:r>
              <w:rPr>
                <w:rFonts w:hint="eastAsia"/>
                <w:color w:val="0070C0"/>
                <w:spacing w:val="6"/>
                <w:sz w:val="24"/>
              </w:rPr>
              <w:t>表土剥离：在土地复垦中对表土进行剥离是十分关键的一点，按照《土地复垦条例》，土地复垦义务人应当首先对拟损毁的草地等进行表土剥离，剥离的土壤用于被损毁土地的复垦。因此，在破坏土地前，须进行表土剥离工程，在开采过程中，对取土区域表土进行剥离并堆放在临时堆场，在以后开采过程中也会将剥离后的表土作为后期土地复垦的土源。</w:t>
            </w:r>
          </w:p>
          <w:p>
            <w:pPr>
              <w:tabs>
                <w:tab w:val="left" w:pos="5175"/>
              </w:tabs>
              <w:spacing w:line="360" w:lineRule="auto"/>
              <w:ind w:firstLine="504" w:firstLineChars="200"/>
              <w:rPr>
                <w:color w:val="0070C0"/>
                <w:spacing w:val="6"/>
                <w:sz w:val="24"/>
              </w:rPr>
            </w:pPr>
            <w:r>
              <w:rPr>
                <w:rFonts w:hint="eastAsia"/>
                <w:color w:val="0070C0"/>
                <w:spacing w:val="6"/>
                <w:sz w:val="24"/>
              </w:rPr>
              <w:t>表土堆放：剥离后的表土需要临时堆放，选择临时堆放场地应尽可能的避免易水蚀、风蚀和人为破坏的区域。如果剥离后的土壤需要长时间堆放，应该在临时堆放的土堆上播种一年生或多年生的草本植物，并在周围修建截水沟，挡土墙等降低土源的流失量。在堆放过程中，堆放高度不宜超过5m。</w:t>
            </w:r>
          </w:p>
          <w:p>
            <w:pPr>
              <w:tabs>
                <w:tab w:val="left" w:pos="5175"/>
              </w:tabs>
              <w:spacing w:line="360" w:lineRule="auto"/>
              <w:ind w:firstLine="504" w:firstLineChars="200"/>
              <w:rPr>
                <w:color w:val="0070C0"/>
                <w:spacing w:val="6"/>
                <w:sz w:val="24"/>
              </w:rPr>
            </w:pPr>
            <w:r>
              <w:rPr>
                <w:rFonts w:hint="eastAsia"/>
                <w:color w:val="0070C0"/>
                <w:spacing w:val="6"/>
                <w:sz w:val="24"/>
              </w:rPr>
              <w:t>表土覆盖：剥离的表土最好直接铺复在待复垦的场地内，覆土厚度根据待复垦土地的利用方向确定，覆土后需对场地进行平整，平整时需要人工平整。</w:t>
            </w:r>
          </w:p>
          <w:p>
            <w:pPr>
              <w:spacing w:line="460" w:lineRule="exact"/>
              <w:ind w:firstLine="504" w:firstLineChars="200"/>
              <w:rPr>
                <w:color w:val="0070C0"/>
                <w:sz w:val="24"/>
              </w:rPr>
            </w:pPr>
            <w:r>
              <w:rPr>
                <w:color w:val="0070C0"/>
                <w:spacing w:val="6"/>
                <w:sz w:val="24"/>
              </w:rPr>
              <w:t>此外，</w:t>
            </w:r>
            <w:r>
              <w:rPr>
                <w:color w:val="0070C0"/>
                <w:sz w:val="24"/>
              </w:rPr>
              <w:t>建设单位须设立生态环境治理恢复保证金，并列入企业成本，要做好资金使用管理，专款专用，保证建设资金及时足额到位，保障生态恢复工作顺利进行。</w:t>
            </w:r>
          </w:p>
          <w:p>
            <w:pPr>
              <w:tabs>
                <w:tab w:val="left" w:pos="5175"/>
              </w:tabs>
              <w:spacing w:line="360" w:lineRule="auto"/>
              <w:ind w:firstLine="480" w:firstLineChars="200"/>
              <w:rPr>
                <w:rFonts w:hAnsi="宋体"/>
                <w:color w:val="0070C0"/>
                <w:spacing w:val="6"/>
                <w:sz w:val="24"/>
              </w:rPr>
            </w:pPr>
            <w:r>
              <w:rPr>
                <w:rFonts w:hint="eastAsia"/>
                <w:color w:val="0070C0"/>
                <w:sz w:val="24"/>
              </w:rPr>
              <w:t>（3）服务期满后</w:t>
            </w:r>
            <w:r>
              <w:rPr>
                <w:rFonts w:hint="eastAsia" w:hAnsi="宋体"/>
                <w:color w:val="0070C0"/>
                <w:spacing w:val="6"/>
                <w:sz w:val="24"/>
              </w:rPr>
              <w:t>生态恢复方案</w:t>
            </w:r>
          </w:p>
          <w:p>
            <w:pPr>
              <w:tabs>
                <w:tab w:val="left" w:pos="5175"/>
              </w:tabs>
              <w:spacing w:line="360" w:lineRule="auto"/>
              <w:ind w:firstLine="480" w:firstLineChars="200"/>
              <w:rPr>
                <w:rFonts w:hAnsi="宋体"/>
                <w:color w:val="0070C0"/>
                <w:spacing w:val="6"/>
                <w:sz w:val="24"/>
              </w:rPr>
            </w:pPr>
            <w:r>
              <w:rPr>
                <w:rFonts w:hint="eastAsia" w:ascii="宋体" w:hAnsi="宋体"/>
                <w:color w:val="0070C0"/>
                <w:sz w:val="24"/>
              </w:rPr>
              <w:t>根据西安西科产业发展有限责任公司为本项目编制的《矿山地质环境保护与恢复治理方案》，结合项目生态环境现状，确定本项目服务期满后的生态综合整治目标为取土区植被恢复率达</w:t>
            </w:r>
            <w:r>
              <w:rPr>
                <w:color w:val="0070C0"/>
                <w:sz w:val="24"/>
              </w:rPr>
              <w:t>到100%</w:t>
            </w:r>
            <w:r>
              <w:rPr>
                <w:rFonts w:hint="eastAsia"/>
                <w:color w:val="0070C0"/>
                <w:sz w:val="24"/>
              </w:rPr>
              <w:t>。</w:t>
            </w:r>
          </w:p>
          <w:p>
            <w:pPr>
              <w:tabs>
                <w:tab w:val="left" w:pos="5175"/>
              </w:tabs>
              <w:spacing w:line="360" w:lineRule="auto"/>
              <w:ind w:firstLine="504" w:firstLineChars="200"/>
              <w:rPr>
                <w:rFonts w:ascii="宋体" w:hAnsi="宋体"/>
                <w:color w:val="0070C0"/>
                <w:spacing w:val="6"/>
                <w:sz w:val="24"/>
              </w:rPr>
            </w:pPr>
            <w:r>
              <w:rPr>
                <w:rFonts w:hint="eastAsia" w:ascii="宋体" w:hAnsi="宋体"/>
                <w:color w:val="0070C0"/>
                <w:spacing w:val="6"/>
                <w:sz w:val="24"/>
              </w:rPr>
              <w:t>①植被恢复考虑因素</w:t>
            </w:r>
          </w:p>
          <w:p>
            <w:pPr>
              <w:tabs>
                <w:tab w:val="left" w:pos="5175"/>
              </w:tabs>
              <w:spacing w:line="360" w:lineRule="auto"/>
              <w:ind w:firstLine="504" w:firstLineChars="200"/>
              <w:rPr>
                <w:rFonts w:hAnsi="宋体"/>
                <w:color w:val="0070C0"/>
                <w:spacing w:val="6"/>
                <w:sz w:val="24"/>
              </w:rPr>
            </w:pPr>
            <w:r>
              <w:rPr>
                <w:rFonts w:hint="eastAsia" w:hAnsi="宋体"/>
                <w:color w:val="0070C0"/>
                <w:spacing w:val="6"/>
                <w:sz w:val="24"/>
              </w:rPr>
              <w:t>露天取土破坏自然生态环境，植被复绿必须创造和解决土壤条件、营养条件、物理条件和植物物种条件等，需要考虑的因素主要有：土壤（pH、肥力、结构）、水分（植物生长的关键因子）、光照（为光合作用提供能量，必需条件）、温度（三基点温度影响植物代谢过程）、地形（海拔、坡度、地形地貌等）。</w:t>
            </w:r>
          </w:p>
          <w:p>
            <w:pPr>
              <w:tabs>
                <w:tab w:val="left" w:pos="5175"/>
              </w:tabs>
              <w:spacing w:line="360" w:lineRule="auto"/>
              <w:ind w:firstLine="504" w:firstLineChars="200"/>
              <w:rPr>
                <w:color w:val="0070C0"/>
                <w:spacing w:val="6"/>
                <w:sz w:val="24"/>
              </w:rPr>
            </w:pPr>
            <w:r>
              <w:rPr>
                <w:rFonts w:hint="eastAsia" w:ascii="宋体" w:hAnsi="宋体"/>
                <w:color w:val="0070C0"/>
                <w:spacing w:val="6"/>
                <w:sz w:val="24"/>
              </w:rPr>
              <w:t>②生态</w:t>
            </w:r>
            <w:r>
              <w:rPr>
                <w:rFonts w:hAnsi="宋体"/>
                <w:color w:val="0070C0"/>
                <w:spacing w:val="6"/>
                <w:sz w:val="24"/>
              </w:rPr>
              <w:t>复绿中土壤条件的创造</w:t>
            </w:r>
          </w:p>
          <w:p>
            <w:pPr>
              <w:spacing w:line="360" w:lineRule="auto"/>
              <w:ind w:firstLine="504" w:firstLineChars="200"/>
              <w:rPr>
                <w:rFonts w:hAnsi="宋体"/>
                <w:color w:val="0070C0"/>
                <w:spacing w:val="6"/>
                <w:sz w:val="24"/>
              </w:rPr>
            </w:pPr>
            <w:r>
              <w:rPr>
                <w:rFonts w:hAnsi="宋体"/>
                <w:color w:val="0070C0"/>
                <w:spacing w:val="6"/>
                <w:sz w:val="24"/>
              </w:rPr>
              <w:t>根据</w:t>
            </w:r>
            <w:r>
              <w:rPr>
                <w:rFonts w:hint="eastAsia" w:hAnsi="宋体"/>
                <w:color w:val="0070C0"/>
                <w:spacing w:val="6"/>
                <w:sz w:val="24"/>
              </w:rPr>
              <w:t>取土区</w:t>
            </w:r>
            <w:r>
              <w:rPr>
                <w:rFonts w:hAnsi="宋体"/>
                <w:color w:val="0070C0"/>
                <w:spacing w:val="6"/>
                <w:sz w:val="24"/>
              </w:rPr>
              <w:t>自身特点，结合边坡物理治理工程的手段可对</w:t>
            </w:r>
            <w:r>
              <w:rPr>
                <w:rFonts w:hint="eastAsia" w:hAnsi="宋体"/>
                <w:color w:val="0070C0"/>
                <w:spacing w:val="6"/>
                <w:sz w:val="24"/>
              </w:rPr>
              <w:t>取土区</w:t>
            </w:r>
            <w:r>
              <w:rPr>
                <w:rFonts w:hAnsi="宋体"/>
                <w:color w:val="0070C0"/>
                <w:spacing w:val="6"/>
                <w:sz w:val="24"/>
              </w:rPr>
              <w:t>进行一种或数种类型相结合的土壤条件的创造。本项目</w:t>
            </w:r>
            <w:r>
              <w:rPr>
                <w:rFonts w:hint="eastAsia" w:hAnsi="宋体"/>
                <w:color w:val="0070C0"/>
                <w:spacing w:val="6"/>
                <w:sz w:val="24"/>
              </w:rPr>
              <w:t>取土区</w:t>
            </w:r>
            <w:r>
              <w:rPr>
                <w:rFonts w:hAnsi="宋体"/>
                <w:color w:val="0070C0"/>
                <w:spacing w:val="6"/>
                <w:sz w:val="24"/>
              </w:rPr>
              <w:t>进行平整，然后对地表进行适当覆土，保证覆土厚度约为</w:t>
            </w:r>
            <w:r>
              <w:rPr>
                <w:color w:val="0070C0"/>
                <w:spacing w:val="6"/>
                <w:sz w:val="24"/>
              </w:rPr>
              <w:t>50cm</w:t>
            </w:r>
            <w:r>
              <w:rPr>
                <w:rFonts w:hAnsi="宋体"/>
                <w:color w:val="0070C0"/>
                <w:spacing w:val="6"/>
                <w:sz w:val="24"/>
              </w:rPr>
              <w:t>。</w:t>
            </w:r>
          </w:p>
          <w:p>
            <w:pPr>
              <w:spacing w:line="360" w:lineRule="auto"/>
              <w:ind w:firstLine="504" w:firstLineChars="200"/>
              <w:rPr>
                <w:rFonts w:hAnsi="宋体"/>
                <w:color w:val="0070C0"/>
                <w:spacing w:val="6"/>
                <w:sz w:val="24"/>
              </w:rPr>
            </w:pPr>
            <w:r>
              <w:rPr>
                <w:rFonts w:hint="eastAsia" w:ascii="宋体" w:hAnsi="宋体"/>
                <w:color w:val="0070C0"/>
                <w:spacing w:val="6"/>
                <w:sz w:val="24"/>
              </w:rPr>
              <w:t>③绿化方法</w:t>
            </w:r>
          </w:p>
          <w:p>
            <w:pPr>
              <w:spacing w:line="460" w:lineRule="exact"/>
              <w:ind w:firstLine="480" w:firstLineChars="200"/>
              <w:rPr>
                <w:color w:val="0070C0"/>
                <w:sz w:val="24"/>
              </w:rPr>
            </w:pPr>
            <w:r>
              <w:rPr>
                <w:rFonts w:hint="eastAsia"/>
                <w:color w:val="0070C0"/>
                <w:sz w:val="24"/>
              </w:rPr>
              <w:t>取土区在进行植被恢复措施中主要采用乔、灌、草相结合的方式，绿化方法主要有喷播法、撒播法等，喷播法主要用于坡面植被恢复，撒播法用于取土区地表的植被恢复。根据生态恢复方案，矿山服务期满后，计划种草90490m</w:t>
            </w:r>
            <w:r>
              <w:rPr>
                <w:rFonts w:hint="eastAsia"/>
                <w:color w:val="0070C0"/>
                <w:sz w:val="24"/>
                <w:vertAlign w:val="superscript"/>
              </w:rPr>
              <w:t>2</w:t>
            </w:r>
            <w:r>
              <w:rPr>
                <w:rFonts w:hint="eastAsia"/>
                <w:color w:val="0070C0"/>
                <w:sz w:val="24"/>
              </w:rPr>
              <w:t>，植树1</w:t>
            </w:r>
            <w:r>
              <w:rPr>
                <w:color w:val="0070C0"/>
                <w:sz w:val="24"/>
              </w:rPr>
              <w:t>0054</w:t>
            </w:r>
            <w:r>
              <w:rPr>
                <w:rFonts w:hint="eastAsia"/>
                <w:color w:val="0070C0"/>
                <w:sz w:val="24"/>
              </w:rPr>
              <w:t>棵，植被基本得到恢复。</w:t>
            </w:r>
          </w:p>
          <w:p>
            <w:pPr>
              <w:spacing w:line="360" w:lineRule="auto"/>
              <w:ind w:firstLine="504" w:firstLineChars="200"/>
              <w:rPr>
                <w:sz w:val="24"/>
              </w:rPr>
            </w:pPr>
            <w:r>
              <w:rPr>
                <w:rFonts w:hint="eastAsia" w:hAnsi="宋体"/>
                <w:spacing w:val="6"/>
                <w:sz w:val="24"/>
              </w:rPr>
              <w:t>（4）</w:t>
            </w:r>
            <w:r>
              <w:rPr>
                <w:sz w:val="24"/>
              </w:rPr>
              <w:t>管理措施</w:t>
            </w:r>
          </w:p>
          <w:p>
            <w:pPr>
              <w:spacing w:line="360" w:lineRule="auto"/>
              <w:ind w:firstLine="480" w:firstLineChars="200"/>
              <w:rPr>
                <w:sz w:val="24"/>
              </w:rPr>
            </w:pPr>
            <w:r>
              <w:rPr>
                <w:sz w:val="24"/>
              </w:rPr>
              <w:t>要落实</w:t>
            </w:r>
            <w:r>
              <w:rPr>
                <w:rFonts w:hint="eastAsia"/>
                <w:sz w:val="24"/>
              </w:rPr>
              <w:t>生态恢复资金以保证植被恢复工程的实施，在制定并实施生态管理措施时要注意一下方面：</w:t>
            </w:r>
          </w:p>
          <w:p>
            <w:pPr>
              <w:spacing w:line="360" w:lineRule="auto"/>
              <w:ind w:firstLine="480" w:firstLineChars="200"/>
              <w:rPr>
                <w:rFonts w:ascii="宋体" w:hAnsi="宋体"/>
                <w:sz w:val="24"/>
              </w:rPr>
            </w:pPr>
            <w:r>
              <w:rPr>
                <w:rFonts w:hint="eastAsia" w:ascii="宋体" w:hAnsi="宋体"/>
                <w:sz w:val="24"/>
              </w:rPr>
              <w:t>①加强管理，合理开采，严格控制目的性不强的地表剥离。</w:t>
            </w:r>
          </w:p>
          <w:p>
            <w:pPr>
              <w:numPr>
                <w:ilvl w:val="0"/>
                <w:numId w:val="3"/>
              </w:numPr>
              <w:spacing w:line="360" w:lineRule="auto"/>
              <w:rPr>
                <w:rFonts w:ascii="宋体" w:hAnsi="宋体"/>
                <w:sz w:val="24"/>
              </w:rPr>
            </w:pPr>
            <w:r>
              <w:rPr>
                <w:rFonts w:hint="eastAsia" w:ascii="宋体" w:hAnsi="宋体"/>
                <w:sz w:val="24"/>
              </w:rPr>
              <w:t>建设期实施绿化方案，并监督落实。</w:t>
            </w:r>
          </w:p>
          <w:p>
            <w:pPr>
              <w:numPr>
                <w:ilvl w:val="0"/>
                <w:numId w:val="3"/>
              </w:numPr>
              <w:spacing w:line="360" w:lineRule="auto"/>
              <w:rPr>
                <w:rFonts w:ascii="宋体" w:hAnsi="宋体"/>
                <w:sz w:val="24"/>
              </w:rPr>
            </w:pPr>
            <w:r>
              <w:rPr>
                <w:rFonts w:hint="eastAsia" w:ascii="宋体" w:hAnsi="宋体"/>
                <w:sz w:val="24"/>
              </w:rPr>
              <w:t>服务期满后，对废弃的开采设施及时进行处理，进行植被恢复。</w:t>
            </w:r>
          </w:p>
          <w:p>
            <w:pPr>
              <w:spacing w:line="360" w:lineRule="auto"/>
              <w:ind w:firstLine="480" w:firstLineChars="200"/>
              <w:rPr>
                <w:rFonts w:ascii="宋体" w:hAnsi="宋体"/>
                <w:sz w:val="24"/>
              </w:rPr>
            </w:pPr>
            <w:r>
              <w:rPr>
                <w:rFonts w:hint="eastAsia" w:ascii="宋体" w:hAnsi="宋体"/>
                <w:sz w:val="24"/>
              </w:rPr>
              <w:t>④对取土区开展定期巡视，形成制度，要注意坍塌、水土流失等事故发生的苗头和发展趋势，并及时采取生物措施或工程措施，防治地质灾害的发生。</w:t>
            </w:r>
          </w:p>
          <w:p>
            <w:pPr>
              <w:spacing w:line="360" w:lineRule="auto"/>
              <w:ind w:firstLine="480" w:firstLineChars="200"/>
              <w:rPr>
                <w:rFonts w:ascii="宋体" w:hAnsi="宋体"/>
                <w:sz w:val="24"/>
              </w:rPr>
            </w:pPr>
            <w:r>
              <w:rPr>
                <w:rFonts w:hint="eastAsia" w:ascii="宋体" w:hAnsi="宋体"/>
                <w:sz w:val="24"/>
              </w:rPr>
              <w:t>⑤建立管理体制，加强生态环境意识宣传，提高员工的生态环境保护素质，使其时刻注意自己的行为。</w:t>
            </w:r>
          </w:p>
          <w:p>
            <w:pPr>
              <w:spacing w:line="360" w:lineRule="auto"/>
              <w:ind w:firstLine="480" w:firstLineChars="200"/>
              <w:rPr>
                <w:rFonts w:ascii="宋体" w:hAnsi="宋体"/>
                <w:color w:val="7030A0"/>
                <w:sz w:val="24"/>
              </w:rPr>
            </w:pPr>
            <w:r>
              <w:rPr>
                <w:rFonts w:hint="eastAsia" w:ascii="宋体" w:hAnsi="宋体"/>
                <w:color w:val="7030A0"/>
                <w:sz w:val="24"/>
              </w:rPr>
              <w:t>4、生态影响评价结论</w:t>
            </w:r>
          </w:p>
          <w:p>
            <w:pPr>
              <w:spacing w:line="360" w:lineRule="auto"/>
              <w:ind w:firstLine="480" w:firstLineChars="200"/>
              <w:rPr>
                <w:rFonts w:ascii="宋体" w:hAnsi="宋体"/>
                <w:color w:val="7030A0"/>
                <w:sz w:val="24"/>
              </w:rPr>
            </w:pPr>
            <w:r>
              <w:rPr>
                <w:rFonts w:hint="eastAsia" w:ascii="宋体" w:hAnsi="宋体"/>
                <w:color w:val="7030A0"/>
                <w:sz w:val="24"/>
              </w:rPr>
              <w:t>项目建成后</w:t>
            </w:r>
            <w:r>
              <w:rPr>
                <w:rFonts w:ascii="宋体" w:hAnsi="宋体"/>
                <w:color w:val="7030A0"/>
                <w:sz w:val="24"/>
              </w:rPr>
              <w:t>厂区</w:t>
            </w:r>
            <w:r>
              <w:rPr>
                <w:rFonts w:hint="eastAsia" w:ascii="宋体" w:hAnsi="宋体"/>
                <w:color w:val="7030A0"/>
                <w:sz w:val="24"/>
              </w:rPr>
              <w:t>道路</w:t>
            </w:r>
            <w:r>
              <w:rPr>
                <w:rFonts w:ascii="宋体" w:hAnsi="宋体"/>
                <w:color w:val="7030A0"/>
                <w:sz w:val="24"/>
              </w:rPr>
              <w:t>硬化，道路两旁，车间前后的空地上栽种树木、花卉、草皮等</w:t>
            </w:r>
            <w:r>
              <w:rPr>
                <w:rFonts w:hint="eastAsia" w:ascii="宋体" w:hAnsi="宋体"/>
                <w:color w:val="7030A0"/>
                <w:sz w:val="24"/>
              </w:rPr>
              <w:t>，绿化面积将达到4000m</w:t>
            </w:r>
            <w:r>
              <w:rPr>
                <w:rFonts w:hint="eastAsia" w:ascii="宋体" w:hAnsi="宋体"/>
                <w:color w:val="7030A0"/>
                <w:sz w:val="24"/>
                <w:vertAlign w:val="superscript"/>
              </w:rPr>
              <w:t>2</w:t>
            </w:r>
            <w:r>
              <w:rPr>
                <w:rFonts w:ascii="宋体" w:hAnsi="宋体"/>
                <w:color w:val="7030A0"/>
                <w:sz w:val="24"/>
              </w:rPr>
              <w:t>。通过对厂区生态环境的</w:t>
            </w:r>
            <w:r>
              <w:rPr>
                <w:rFonts w:hint="eastAsia" w:ascii="宋体" w:hAnsi="宋体"/>
                <w:color w:val="7030A0"/>
                <w:sz w:val="24"/>
              </w:rPr>
              <w:t>建设</w:t>
            </w:r>
            <w:r>
              <w:rPr>
                <w:rFonts w:ascii="宋体" w:hAnsi="宋体"/>
                <w:color w:val="7030A0"/>
                <w:sz w:val="24"/>
              </w:rPr>
              <w:t>，可提高植被覆盖率，净化空气环境，减轻大气环境污染和噪声的危害，同时</w:t>
            </w:r>
            <w:r>
              <w:rPr>
                <w:rFonts w:hint="eastAsia" w:ascii="宋体" w:hAnsi="宋体"/>
                <w:color w:val="7030A0"/>
                <w:sz w:val="24"/>
              </w:rPr>
              <w:t>达到</w:t>
            </w:r>
            <w:r>
              <w:rPr>
                <w:rFonts w:ascii="宋体" w:hAnsi="宋体"/>
                <w:color w:val="7030A0"/>
                <w:sz w:val="24"/>
              </w:rPr>
              <w:t>美化厂区的效果。</w:t>
            </w:r>
            <w:r>
              <w:rPr>
                <w:rFonts w:hint="eastAsia" w:ascii="宋体" w:hAnsi="宋体"/>
                <w:color w:val="7030A0"/>
                <w:sz w:val="24"/>
              </w:rPr>
              <w:t>在运行期，项目取土区粘土露天开采，地表裸露，</w:t>
            </w:r>
            <w:r>
              <w:rPr>
                <w:rFonts w:ascii="宋体" w:hAnsi="宋体"/>
                <w:color w:val="7030A0"/>
                <w:sz w:val="24"/>
              </w:rPr>
              <w:t>逢雨季节将会造成水土流失现象</w:t>
            </w:r>
            <w:r>
              <w:rPr>
                <w:rFonts w:hint="eastAsia" w:ascii="宋体" w:hAnsi="宋体"/>
                <w:color w:val="7030A0"/>
                <w:sz w:val="24"/>
              </w:rPr>
              <w:t>，应及时进行复耕。在采取土地复垦等措施后，项目生态影响可接受。</w:t>
            </w:r>
          </w:p>
          <w:p>
            <w:pPr>
              <w:spacing w:line="360" w:lineRule="auto"/>
              <w:ind w:firstLine="482" w:firstLineChars="200"/>
              <w:rPr>
                <w:rFonts w:ascii="宋体" w:hAnsi="宋体"/>
                <w:b/>
                <w:sz w:val="24"/>
              </w:rPr>
            </w:pPr>
            <w:r>
              <w:rPr>
                <w:rFonts w:hint="eastAsia" w:ascii="宋体" w:hAnsi="宋体"/>
                <w:b/>
                <w:sz w:val="24"/>
              </w:rPr>
              <w:t>六、环境风险</w:t>
            </w:r>
          </w:p>
          <w:p>
            <w:pPr>
              <w:spacing w:line="360" w:lineRule="auto"/>
              <w:ind w:firstLine="480" w:firstLineChars="200"/>
              <w:rPr>
                <w:sz w:val="24"/>
              </w:rPr>
            </w:pPr>
            <w:r>
              <w:rPr>
                <w:rFonts w:hint="eastAsia"/>
                <w:sz w:val="24"/>
              </w:rPr>
              <w:t>根据</w:t>
            </w:r>
            <w:r>
              <w:rPr>
                <w:sz w:val="24"/>
              </w:rPr>
              <w:t>《建设项目环境风险评价技术导则》（HJ169-2018）</w:t>
            </w:r>
            <w:r>
              <w:rPr>
                <w:rFonts w:hint="eastAsia"/>
                <w:sz w:val="24"/>
              </w:rPr>
              <w:t>，本项目涉及的风险物质为天然气，天然气主要成分为甲烷。项目依托园区拟建天然气管线为本项目生产提供燃料，天然气来自长安区魏寨街道办民用点供天然气工程。</w:t>
            </w:r>
            <w:r>
              <w:rPr>
                <w:rFonts w:hint="eastAsia"/>
                <w:color w:val="FF0000"/>
                <w:sz w:val="24"/>
              </w:rPr>
              <w:t>因此，本项目厂区不设天然气储罐等储存设施，</w:t>
            </w:r>
            <w:r>
              <w:rPr>
                <w:color w:val="FF0000"/>
                <w:sz w:val="24"/>
              </w:rPr>
              <w:t>采用</w:t>
            </w:r>
            <w:r>
              <w:rPr>
                <w:rFonts w:hint="eastAsia"/>
                <w:color w:val="FF0000"/>
                <w:sz w:val="24"/>
              </w:rPr>
              <w:t>园区拟建天然</w:t>
            </w:r>
            <w:r>
              <w:rPr>
                <w:color w:val="FF0000"/>
                <w:sz w:val="24"/>
              </w:rPr>
              <w:t>管道输送，</w:t>
            </w:r>
            <w:r>
              <w:rPr>
                <w:rFonts w:hint="eastAsia"/>
                <w:color w:val="FF0000"/>
                <w:sz w:val="24"/>
              </w:rPr>
              <w:t>厂区内风险物质天然气的存在量远小于10t的临界量，环境风险潜势为Ⅰ级，评价工作等级为简单分析。</w:t>
            </w:r>
          </w:p>
          <w:p>
            <w:pPr>
              <w:spacing w:line="360" w:lineRule="auto"/>
              <w:ind w:firstLine="480" w:firstLineChars="200"/>
              <w:rPr>
                <w:color w:val="FF0000"/>
                <w:sz w:val="24"/>
              </w:rPr>
            </w:pPr>
            <w:r>
              <w:rPr>
                <w:rFonts w:hint="eastAsia"/>
                <w:color w:val="FF0000"/>
                <w:sz w:val="24"/>
              </w:rPr>
              <w:t>项目主要环境影响为天然气泄漏对大气环境的影响及火灾爆炸后的次生环境影响。</w:t>
            </w:r>
          </w:p>
          <w:p>
            <w:pPr>
              <w:adjustRightInd w:val="0"/>
              <w:snapToGrid w:val="0"/>
              <w:spacing w:line="360" w:lineRule="auto"/>
              <w:ind w:firstLine="480" w:firstLineChars="200"/>
              <w:rPr>
                <w:sz w:val="24"/>
                <w:szCs w:val="24"/>
              </w:rPr>
            </w:pPr>
            <w:r>
              <w:rPr>
                <w:rFonts w:hint="eastAsia"/>
                <w:sz w:val="24"/>
              </w:rPr>
              <w:t>为防止厂区内天然气管线泄露，厂区在</w:t>
            </w:r>
            <w:r>
              <w:rPr>
                <w:rFonts w:hint="eastAsia"/>
                <w:sz w:val="24"/>
                <w:szCs w:val="24"/>
              </w:rPr>
              <w:t>天然气管线区及隧道窑区</w:t>
            </w:r>
            <w:r>
              <w:rPr>
                <w:sz w:val="24"/>
                <w:szCs w:val="24"/>
              </w:rPr>
              <w:t>设置醒目的安全警示标志</w:t>
            </w:r>
            <w:r>
              <w:rPr>
                <w:rFonts w:hint="eastAsia"/>
                <w:sz w:val="24"/>
                <w:szCs w:val="24"/>
              </w:rPr>
              <w:t>。</w:t>
            </w:r>
            <w:r>
              <w:rPr>
                <w:sz w:val="24"/>
                <w:szCs w:val="24"/>
              </w:rPr>
              <w:t>对全体职工应进行经常性的安全教育、岗位技能教育、消防和事故应急处理措施教育和考核，提高每个员工的安全意识、风险意识和异常情况下的应急、应变能力；</w:t>
            </w:r>
            <w:r>
              <w:rPr>
                <w:rFonts w:hint="eastAsia"/>
                <w:sz w:val="24"/>
                <w:szCs w:val="24"/>
              </w:rPr>
              <w:t>厂区及车间</w:t>
            </w:r>
            <w:r>
              <w:rPr>
                <w:sz w:val="24"/>
                <w:szCs w:val="24"/>
              </w:rPr>
              <w:t>应配备相应品种和数量的消防器材，保证人身安全</w:t>
            </w:r>
            <w:r>
              <w:rPr>
                <w:sz w:val="24"/>
              </w:rPr>
              <w:t>。</w:t>
            </w:r>
            <w:r>
              <w:rPr>
                <w:rFonts w:hint="eastAsia"/>
                <w:sz w:val="24"/>
              </w:rPr>
              <w:t>项目</w:t>
            </w:r>
            <w:r>
              <w:rPr>
                <w:sz w:val="24"/>
                <w:szCs w:val="24"/>
              </w:rPr>
              <w:t>按照消防、安监相关要求做到安全生产。项目环境风险影响处于可接受水平。</w:t>
            </w:r>
          </w:p>
          <w:p>
            <w:pPr>
              <w:pStyle w:val="10"/>
              <w:ind w:left="799" w:right="796"/>
              <w:jc w:val="center"/>
              <w:rPr>
                <w:b/>
                <w:color w:val="FF0000"/>
                <w:kern w:val="2"/>
                <w:sz w:val="21"/>
                <w:lang w:val="en-US"/>
              </w:rPr>
            </w:pPr>
            <w:r>
              <w:rPr>
                <w:rFonts w:hint="eastAsia"/>
                <w:b/>
                <w:color w:val="FF0000"/>
                <w:kern w:val="2"/>
                <w:sz w:val="21"/>
                <w:lang w:val="en-US"/>
              </w:rPr>
              <w:t>表55</w:t>
            </w:r>
            <w:r>
              <w:rPr>
                <w:b/>
                <w:color w:val="FF0000"/>
                <w:kern w:val="2"/>
                <w:sz w:val="21"/>
                <w:lang w:val="en-US"/>
              </w:rPr>
              <w:t xml:space="preserve"> </w:t>
            </w:r>
            <w:r>
              <w:rPr>
                <w:rFonts w:hint="eastAsia"/>
                <w:b/>
                <w:color w:val="FF0000"/>
                <w:kern w:val="2"/>
                <w:sz w:val="21"/>
                <w:lang w:val="en-US"/>
              </w:rPr>
              <w:t xml:space="preserve"> 建设项目环境风险简单分析内容表</w:t>
            </w:r>
          </w:p>
          <w:tbl>
            <w:tblPr>
              <w:tblStyle w:val="112"/>
              <w:tblW w:w="0" w:type="auto"/>
              <w:jc w:val="center"/>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2140"/>
              <w:gridCol w:w="1288"/>
              <w:gridCol w:w="1276"/>
              <w:gridCol w:w="1134"/>
              <w:gridCol w:w="2695"/>
            </w:tblGrid>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2140" w:type="dxa"/>
                  <w:vAlign w:val="center"/>
                </w:tcPr>
                <w:p>
                  <w:pPr>
                    <w:pStyle w:val="113"/>
                    <w:spacing w:line="218" w:lineRule="exact"/>
                    <w:ind w:left="280" w:right="266"/>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建设项目名称</w:t>
                  </w:r>
                </w:p>
              </w:tc>
              <w:tc>
                <w:tcPr>
                  <w:tcW w:w="6393" w:type="dxa"/>
                  <w:gridSpan w:val="4"/>
                  <w:vAlign w:val="center"/>
                </w:tcPr>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西安众昊新型环保建材建设项目</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2140" w:type="dxa"/>
                  <w:vAlign w:val="center"/>
                </w:tcPr>
                <w:p>
                  <w:pPr>
                    <w:pStyle w:val="113"/>
                    <w:spacing w:line="217" w:lineRule="exact"/>
                    <w:ind w:left="280" w:right="266"/>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建设地点</w:t>
                  </w:r>
                </w:p>
              </w:tc>
              <w:tc>
                <w:tcPr>
                  <w:tcW w:w="1288" w:type="dxa"/>
                  <w:vAlign w:val="center"/>
                </w:tcPr>
                <w:p>
                  <w:pPr>
                    <w:pStyle w:val="113"/>
                    <w:tabs>
                      <w:tab w:val="left" w:pos="470"/>
                    </w:tabs>
                    <w:spacing w:line="217" w:lineRule="exact"/>
                    <w:ind w:left="20"/>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陕西省</w:t>
                  </w:r>
                </w:p>
              </w:tc>
              <w:tc>
                <w:tcPr>
                  <w:tcW w:w="1276" w:type="dxa"/>
                  <w:vAlign w:val="center"/>
                </w:tcPr>
                <w:p>
                  <w:pPr>
                    <w:pStyle w:val="113"/>
                    <w:tabs>
                      <w:tab w:val="left" w:pos="668"/>
                    </w:tabs>
                    <w:spacing w:line="217" w:lineRule="exact"/>
                    <w:ind w:left="218"/>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西安市</w:t>
                  </w:r>
                </w:p>
              </w:tc>
              <w:tc>
                <w:tcPr>
                  <w:tcW w:w="1134" w:type="dxa"/>
                  <w:vAlign w:val="center"/>
                </w:tcPr>
                <w:p>
                  <w:pPr>
                    <w:pStyle w:val="113"/>
                    <w:tabs>
                      <w:tab w:val="left" w:pos="473"/>
                    </w:tabs>
                    <w:spacing w:line="217" w:lineRule="exact"/>
                    <w:ind w:left="2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长安区</w:t>
                  </w:r>
                </w:p>
              </w:tc>
              <w:tc>
                <w:tcPr>
                  <w:tcW w:w="2695" w:type="dxa"/>
                  <w:vAlign w:val="center"/>
                </w:tcPr>
                <w:p>
                  <w:pPr>
                    <w:pStyle w:val="113"/>
                    <w:tabs>
                      <w:tab w:val="left" w:pos="659"/>
                    </w:tabs>
                    <w:spacing w:line="217" w:lineRule="exact"/>
                    <w:ind w:left="209"/>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长安东部建材产业基地</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2140" w:type="dxa"/>
                  <w:vAlign w:val="center"/>
                </w:tcPr>
                <w:p>
                  <w:pPr>
                    <w:pStyle w:val="113"/>
                    <w:spacing w:line="217" w:lineRule="exact"/>
                    <w:ind w:left="280" w:right="266"/>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地理坐标</w:t>
                  </w:r>
                </w:p>
              </w:tc>
              <w:tc>
                <w:tcPr>
                  <w:tcW w:w="1288" w:type="dxa"/>
                  <w:vAlign w:val="center"/>
                </w:tcPr>
                <w:p>
                  <w:pPr>
                    <w:pStyle w:val="113"/>
                    <w:spacing w:line="217" w:lineRule="exact"/>
                    <w:ind w:left="19"/>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经度</w:t>
                  </w:r>
                </w:p>
              </w:tc>
              <w:tc>
                <w:tcPr>
                  <w:tcW w:w="1276" w:type="dxa"/>
                  <w:vAlign w:val="center"/>
                </w:tcPr>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109°9'6.44"</w:t>
                  </w:r>
                </w:p>
              </w:tc>
              <w:tc>
                <w:tcPr>
                  <w:tcW w:w="1134" w:type="dxa"/>
                  <w:vAlign w:val="center"/>
                </w:tcPr>
                <w:p>
                  <w:pPr>
                    <w:pStyle w:val="113"/>
                    <w:spacing w:line="217" w:lineRule="exact"/>
                    <w:ind w:left="22"/>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纬度</w:t>
                  </w:r>
                </w:p>
              </w:tc>
              <w:tc>
                <w:tcPr>
                  <w:tcW w:w="2695" w:type="dxa"/>
                  <w:vAlign w:val="center"/>
                </w:tcPr>
                <w:p>
                  <w:pPr>
                    <w:pStyle w:val="113"/>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34°6'24.75"</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140" w:type="dxa"/>
                  <w:vAlign w:val="center"/>
                </w:tcPr>
                <w:p>
                  <w:pPr>
                    <w:pStyle w:val="113"/>
                    <w:spacing w:before="102"/>
                    <w:ind w:left="280" w:right="266"/>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主要危险物质及分布</w:t>
                  </w:r>
                </w:p>
              </w:tc>
              <w:tc>
                <w:tcPr>
                  <w:tcW w:w="6393" w:type="dxa"/>
                  <w:gridSpan w:val="4"/>
                  <w:vAlign w:val="center"/>
                </w:tcPr>
                <w:p>
                  <w:pPr>
                    <w:pStyle w:val="113"/>
                    <w:jc w:val="center"/>
                    <w:rPr>
                      <w:rFonts w:ascii="Times New Roman" w:hAnsi="Times New Roman" w:eastAsia="宋体" w:cs="Times New Roman"/>
                      <w:color w:val="FF0000"/>
                      <w:sz w:val="21"/>
                      <w:szCs w:val="21"/>
                      <w:lang w:eastAsia="zh-CN"/>
                    </w:rPr>
                  </w:pPr>
                  <w:r>
                    <w:rPr>
                      <w:rFonts w:hint="eastAsia" w:ascii="Times New Roman" w:hAnsi="Times New Roman" w:eastAsia="宋体" w:cs="Times New Roman"/>
                      <w:color w:val="FF0000"/>
                      <w:sz w:val="21"/>
                      <w:szCs w:val="21"/>
                      <w:lang w:eastAsia="zh-CN"/>
                    </w:rPr>
                    <w:t>主要危险物质为天然气输送管道中的天然气</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2140" w:type="dxa"/>
                  <w:vAlign w:val="center"/>
                </w:tcPr>
                <w:p>
                  <w:pPr>
                    <w:pStyle w:val="113"/>
                    <w:spacing w:line="217" w:lineRule="exact"/>
                    <w:ind w:left="280" w:right="266"/>
                    <w:jc w:val="center"/>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环境影响途径及危害后果（大气、地表水、地下水等）</w:t>
                  </w:r>
                </w:p>
              </w:tc>
              <w:tc>
                <w:tcPr>
                  <w:tcW w:w="6393" w:type="dxa"/>
                  <w:gridSpan w:val="4"/>
                  <w:vAlign w:val="center"/>
                </w:tcPr>
                <w:p>
                  <w:pPr>
                    <w:pStyle w:val="113"/>
                    <w:jc w:val="center"/>
                    <w:rPr>
                      <w:rFonts w:ascii="Times New Roman" w:hAnsi="Times New Roman" w:eastAsia="宋体" w:cs="Times New Roman"/>
                      <w:color w:val="FF0000"/>
                      <w:sz w:val="21"/>
                      <w:szCs w:val="21"/>
                      <w:lang w:eastAsia="zh-CN"/>
                    </w:rPr>
                  </w:pPr>
                  <w:r>
                    <w:rPr>
                      <w:rFonts w:hint="eastAsia" w:ascii="Times New Roman" w:hAnsi="Times New Roman" w:eastAsia="宋体" w:cs="Times New Roman"/>
                      <w:color w:val="FF0000"/>
                      <w:sz w:val="21"/>
                      <w:szCs w:val="21"/>
                      <w:lang w:eastAsia="zh-CN"/>
                    </w:rPr>
                    <w:t>主要环境影响为天然气泄漏对大气环境的影响及火灾爆炸后的次生环境影响</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679" w:hRule="atLeast"/>
                <w:jc w:val="center"/>
              </w:trPr>
              <w:tc>
                <w:tcPr>
                  <w:tcW w:w="2140" w:type="dxa"/>
                  <w:vAlign w:val="center"/>
                </w:tcPr>
                <w:p>
                  <w:pPr>
                    <w:pStyle w:val="113"/>
                    <w:ind w:left="280" w:right="266"/>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风险防范措施要求</w:t>
                  </w:r>
                </w:p>
              </w:tc>
              <w:tc>
                <w:tcPr>
                  <w:tcW w:w="6393" w:type="dxa"/>
                  <w:gridSpan w:val="4"/>
                  <w:vAlign w:val="center"/>
                </w:tcPr>
                <w:p>
                  <w:pPr>
                    <w:pStyle w:val="113"/>
                    <w:jc w:val="center"/>
                    <w:rPr>
                      <w:rFonts w:ascii="Times New Roman" w:hAnsi="Times New Roman" w:eastAsia="宋体" w:cs="Times New Roman"/>
                      <w:color w:val="FF0000"/>
                      <w:sz w:val="21"/>
                      <w:szCs w:val="21"/>
                      <w:lang w:eastAsia="zh-CN"/>
                    </w:rPr>
                  </w:pPr>
                  <w:r>
                    <w:rPr>
                      <w:rFonts w:hint="eastAsia" w:ascii="Times New Roman" w:hAnsi="Times New Roman" w:eastAsia="宋体" w:cs="Times New Roman"/>
                      <w:color w:val="FF0000"/>
                      <w:sz w:val="21"/>
                      <w:szCs w:val="21"/>
                      <w:lang w:eastAsia="zh-CN"/>
                    </w:rPr>
                    <w:t>厂区在天然气管线区及隧道窑区设置醒目的安全警示标志。对全体职工应进行经常性的安全教育、岗位技能教育、消防和事故应急处理措施教育和考核，提高每个员工的安全意识、风险意识和异常情况下的应急、应变能力；厂区及车间应配备相应品种和数量的消防器材，保证人身安全。项目按照消防、安监相关要求做到安全生产。</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37" w:hRule="atLeast"/>
                <w:jc w:val="center"/>
              </w:trPr>
              <w:tc>
                <w:tcPr>
                  <w:tcW w:w="8533" w:type="dxa"/>
                  <w:gridSpan w:val="5"/>
                </w:tcPr>
                <w:p>
                  <w:pPr>
                    <w:pStyle w:val="113"/>
                    <w:spacing w:line="218" w:lineRule="exact"/>
                    <w:ind w:left="107"/>
                    <w:jc w:val="both"/>
                    <w:rPr>
                      <w:rFonts w:ascii="Times New Roman" w:hAnsi="Times New Roman" w:eastAsia="宋体" w:cs="Times New Roman"/>
                      <w:color w:val="FF0000"/>
                      <w:sz w:val="21"/>
                      <w:szCs w:val="21"/>
                      <w:lang w:eastAsia="zh-CN"/>
                    </w:rPr>
                  </w:pPr>
                  <w:r>
                    <w:rPr>
                      <w:rFonts w:ascii="Times New Roman" w:hAnsi="Times New Roman" w:eastAsia="宋体" w:cs="Times New Roman"/>
                      <w:color w:val="FF0000"/>
                      <w:sz w:val="21"/>
                      <w:szCs w:val="21"/>
                      <w:lang w:eastAsia="zh-CN"/>
                    </w:rPr>
                    <w:t>填表说明（列出项目相关信息及评价说明</w:t>
                  </w:r>
                  <w:r>
                    <w:rPr>
                      <w:rFonts w:ascii="Times New Roman" w:hAnsi="Times New Roman" w:eastAsia="宋体" w:cs="Times New Roman"/>
                      <w:color w:val="FF0000"/>
                      <w:spacing w:val="-90"/>
                      <w:sz w:val="21"/>
                      <w:szCs w:val="21"/>
                      <w:lang w:eastAsia="zh-CN"/>
                    </w:rPr>
                    <w:t>）</w:t>
                  </w:r>
                  <w:r>
                    <w:rPr>
                      <w:rFonts w:ascii="Times New Roman" w:hAnsi="Times New Roman" w:eastAsia="宋体" w:cs="Times New Roman"/>
                      <w:color w:val="FF0000"/>
                      <w:sz w:val="21"/>
                      <w:szCs w:val="21"/>
                      <w:lang w:eastAsia="zh-CN"/>
                    </w:rPr>
                    <w:t>：</w:t>
                  </w:r>
                </w:p>
                <w:p>
                  <w:pPr>
                    <w:pStyle w:val="113"/>
                    <w:spacing w:line="218" w:lineRule="exact"/>
                    <w:ind w:left="107"/>
                    <w:jc w:val="both"/>
                    <w:rPr>
                      <w:rFonts w:ascii="Times New Roman" w:hAnsi="Times New Roman" w:eastAsia="宋体" w:cs="Times New Roman"/>
                      <w:color w:val="FF0000"/>
                      <w:sz w:val="21"/>
                      <w:szCs w:val="21"/>
                      <w:lang w:eastAsia="zh-CN"/>
                    </w:rPr>
                  </w:pPr>
                  <w:r>
                    <w:rPr>
                      <w:rFonts w:hint="eastAsia" w:ascii="Times New Roman" w:hAnsi="Times New Roman" w:eastAsia="宋体" w:cs="Times New Roman"/>
                      <w:color w:val="FF0000"/>
                      <w:sz w:val="21"/>
                      <w:szCs w:val="21"/>
                      <w:lang w:eastAsia="zh-CN"/>
                    </w:rPr>
                    <w:t>厂区内风险物质天然气的存在量远小于10t的临界量，环境风险潜势为Ⅰ级，评价工作等级为简单分析</w:t>
                  </w:r>
                </w:p>
              </w:tc>
            </w:tr>
          </w:tbl>
          <w:p>
            <w:pPr>
              <w:adjustRightInd w:val="0"/>
              <w:snapToGrid w:val="0"/>
              <w:spacing w:line="360" w:lineRule="auto"/>
              <w:ind w:firstLine="480" w:firstLineChars="200"/>
              <w:rPr>
                <w:sz w:val="24"/>
                <w:szCs w:val="24"/>
              </w:rPr>
            </w:pPr>
          </w:p>
          <w:p>
            <w:pPr>
              <w:spacing w:line="360" w:lineRule="auto"/>
              <w:ind w:firstLine="482" w:firstLineChars="200"/>
              <w:rPr>
                <w:b/>
                <w:sz w:val="24"/>
              </w:rPr>
            </w:pPr>
            <w:r>
              <w:rPr>
                <w:rFonts w:hint="eastAsia"/>
                <w:b/>
                <w:sz w:val="24"/>
              </w:rPr>
              <w:t>七</w:t>
            </w:r>
            <w:r>
              <w:rPr>
                <w:rFonts w:hAnsi="宋体"/>
                <w:b/>
                <w:sz w:val="24"/>
              </w:rPr>
              <w:t>、环境管理与监测计划</w:t>
            </w:r>
          </w:p>
          <w:p>
            <w:pPr>
              <w:widowControl/>
              <w:spacing w:line="360" w:lineRule="auto"/>
              <w:ind w:firstLine="480" w:firstLineChars="200"/>
              <w:jc w:val="left"/>
              <w:rPr>
                <w:sz w:val="24"/>
                <w:szCs w:val="24"/>
              </w:rPr>
            </w:pPr>
            <w:r>
              <w:rPr>
                <w:sz w:val="24"/>
                <w:szCs w:val="24"/>
              </w:rPr>
              <w:t>为加强项目的环境管理，加大企业环境监测力度，必须严格控制污染物排放总量，执行建设项目“三同时”制度。在保证项目正常运营的情况下，更好的监控项目环保设施的运行，及时掌握和了解污染治理措施的效果，须制定项目环境管理和监测计划。</w:t>
            </w:r>
          </w:p>
          <w:p>
            <w:pPr>
              <w:widowControl/>
              <w:spacing w:line="360" w:lineRule="auto"/>
              <w:ind w:firstLine="480" w:firstLineChars="200"/>
              <w:jc w:val="left"/>
              <w:rPr>
                <w:sz w:val="24"/>
                <w:szCs w:val="24"/>
              </w:rPr>
            </w:pPr>
            <w:r>
              <w:rPr>
                <w:sz w:val="24"/>
                <w:szCs w:val="24"/>
              </w:rPr>
              <w:t>（1）环境管理</w:t>
            </w:r>
          </w:p>
          <w:p>
            <w:pPr>
              <w:widowControl/>
              <w:spacing w:line="360" w:lineRule="auto"/>
              <w:ind w:firstLine="480" w:firstLineChars="200"/>
              <w:jc w:val="left"/>
              <w:rPr>
                <w:sz w:val="24"/>
                <w:szCs w:val="24"/>
              </w:rPr>
            </w:pPr>
            <w:r>
              <w:rPr>
                <w:sz w:val="24"/>
                <w:szCs w:val="24"/>
              </w:rPr>
              <w:t>项目的污染物排放水平与厂区环境管理水平密切相关，因此在采取环境保护工程措施和生态保护措施的同时，必须加强环境管理。</w:t>
            </w:r>
          </w:p>
          <w:p>
            <w:pPr>
              <w:widowControl/>
              <w:spacing w:line="360" w:lineRule="auto"/>
              <w:ind w:firstLine="480" w:firstLineChars="200"/>
              <w:jc w:val="left"/>
              <w:rPr>
                <w:sz w:val="24"/>
                <w:szCs w:val="24"/>
              </w:rPr>
            </w:pPr>
            <w:r>
              <w:rPr>
                <w:rFonts w:hint="eastAsia" w:ascii="宋体" w:hAnsi="宋体" w:cs="宋体"/>
                <w:sz w:val="24"/>
                <w:szCs w:val="24"/>
              </w:rPr>
              <w:t>①</w:t>
            </w:r>
            <w:r>
              <w:rPr>
                <w:sz w:val="24"/>
                <w:szCs w:val="24"/>
              </w:rPr>
              <w:t>环境管理机构设置</w:t>
            </w:r>
          </w:p>
          <w:p>
            <w:pPr>
              <w:widowControl/>
              <w:spacing w:line="360" w:lineRule="auto"/>
              <w:ind w:firstLine="480" w:firstLineChars="200"/>
              <w:jc w:val="left"/>
              <w:rPr>
                <w:sz w:val="24"/>
                <w:szCs w:val="24"/>
              </w:rPr>
            </w:pPr>
            <w:r>
              <w:rPr>
                <w:sz w:val="24"/>
                <w:szCs w:val="24"/>
              </w:rPr>
              <w:t>建设单位应成立专门的环保管理机构，建设单位法人作为环保第一责任人负责环保工作，成立的环保管理机构设专职环境保护管理人员1~2名。</w:t>
            </w:r>
          </w:p>
          <w:p>
            <w:pPr>
              <w:widowControl/>
              <w:spacing w:line="360" w:lineRule="auto"/>
              <w:ind w:firstLine="480" w:firstLineChars="200"/>
              <w:jc w:val="left"/>
              <w:rPr>
                <w:sz w:val="24"/>
                <w:szCs w:val="24"/>
              </w:rPr>
            </w:pPr>
            <w:r>
              <w:rPr>
                <w:rFonts w:hint="eastAsia" w:ascii="宋体" w:hAnsi="宋体" w:cs="宋体"/>
                <w:sz w:val="24"/>
                <w:szCs w:val="24"/>
              </w:rPr>
              <w:t>②</w:t>
            </w:r>
            <w:r>
              <w:rPr>
                <w:sz w:val="24"/>
                <w:szCs w:val="24"/>
              </w:rPr>
              <w:t>环境管理机构职责</w:t>
            </w:r>
          </w:p>
          <w:p>
            <w:pPr>
              <w:widowControl/>
              <w:spacing w:line="360" w:lineRule="auto"/>
              <w:ind w:firstLine="480" w:firstLineChars="200"/>
              <w:jc w:val="left"/>
              <w:rPr>
                <w:sz w:val="24"/>
                <w:szCs w:val="24"/>
              </w:rPr>
            </w:pPr>
            <w:r>
              <w:rPr>
                <w:sz w:val="24"/>
                <w:szCs w:val="24"/>
              </w:rPr>
              <w:t>a、贯彻执行国家和地方有关环境保护政策、法规、标准等，正确处理生产施工与环境保护的统一关系；</w:t>
            </w:r>
          </w:p>
          <w:p>
            <w:pPr>
              <w:widowControl/>
              <w:spacing w:line="360" w:lineRule="auto"/>
              <w:ind w:firstLine="480" w:firstLineChars="200"/>
              <w:jc w:val="left"/>
              <w:rPr>
                <w:sz w:val="24"/>
                <w:szCs w:val="24"/>
              </w:rPr>
            </w:pPr>
            <w:r>
              <w:rPr>
                <w:sz w:val="24"/>
                <w:szCs w:val="24"/>
              </w:rPr>
              <w:t>b、组织制定、实施建设单位环境保护管理规章制度，参与重大决策，并对决策中涉及环境保护方面的利与弊有明确意见；</w:t>
            </w:r>
          </w:p>
          <w:p>
            <w:pPr>
              <w:widowControl/>
              <w:spacing w:line="360" w:lineRule="auto"/>
              <w:ind w:firstLine="480" w:firstLineChars="200"/>
              <w:jc w:val="left"/>
              <w:rPr>
                <w:sz w:val="24"/>
                <w:szCs w:val="24"/>
              </w:rPr>
            </w:pPr>
            <w:r>
              <w:rPr>
                <w:sz w:val="24"/>
                <w:szCs w:val="24"/>
              </w:rPr>
              <w:t>c、领导和组织对运营期污染物排放监测工作，掌握和控制污染防治措施的贯彻落实；</w:t>
            </w:r>
          </w:p>
          <w:p>
            <w:pPr>
              <w:widowControl/>
              <w:spacing w:line="360" w:lineRule="auto"/>
              <w:ind w:firstLine="480" w:firstLineChars="200"/>
              <w:jc w:val="left"/>
              <w:rPr>
                <w:kern w:val="0"/>
                <w:sz w:val="24"/>
                <w:szCs w:val="24"/>
              </w:rPr>
            </w:pPr>
            <w:r>
              <w:rPr>
                <w:sz w:val="24"/>
                <w:szCs w:val="24"/>
              </w:rPr>
              <w:t>d</w:t>
            </w:r>
            <w:r>
              <w:rPr>
                <w:kern w:val="0"/>
                <w:sz w:val="24"/>
                <w:szCs w:val="24"/>
              </w:rPr>
              <w:t>、建立全厂设备维护、维修制度，定期检查各设备运行情况，杜绝事故发生。检查废气、噪声、固废等主要污染物控制措施的落实和达标排放。</w:t>
            </w:r>
          </w:p>
          <w:p>
            <w:pPr>
              <w:widowControl/>
              <w:spacing w:line="360" w:lineRule="auto"/>
              <w:ind w:firstLine="480" w:firstLineChars="200"/>
              <w:jc w:val="left"/>
              <w:rPr>
                <w:kern w:val="0"/>
                <w:sz w:val="24"/>
                <w:szCs w:val="24"/>
              </w:rPr>
            </w:pPr>
            <w:r>
              <w:rPr>
                <w:kern w:val="0"/>
                <w:sz w:val="24"/>
                <w:szCs w:val="24"/>
              </w:rPr>
              <w:t>e、加强对生产人员的环保教育，包括业务能力、操作技术、环保管理知识的教育，以增强他们的环保意识，提高管理水平；</w:t>
            </w:r>
          </w:p>
          <w:p>
            <w:pPr>
              <w:pStyle w:val="104"/>
              <w:adjustRightInd/>
              <w:spacing w:line="360" w:lineRule="auto"/>
              <w:ind w:firstLine="480" w:firstLineChars="200"/>
              <w:rPr>
                <w:rFonts w:ascii="Times New Roman" w:cs="Times New Roman"/>
                <w:color w:val="auto"/>
              </w:rPr>
            </w:pPr>
            <w:r>
              <w:rPr>
                <w:rFonts w:hint="eastAsia" w:hAnsi="宋体"/>
                <w:color w:val="auto"/>
              </w:rPr>
              <w:t>③</w:t>
            </w:r>
            <w:r>
              <w:rPr>
                <w:rFonts w:ascii="Times New Roman" w:cs="Times New Roman"/>
                <w:color w:val="auto"/>
              </w:rPr>
              <w:t>环境管理计划</w:t>
            </w:r>
          </w:p>
          <w:p>
            <w:pPr>
              <w:spacing w:line="360" w:lineRule="auto"/>
              <w:ind w:firstLine="480" w:firstLineChars="200"/>
              <w:rPr>
                <w:sz w:val="24"/>
              </w:rPr>
            </w:pPr>
            <w:r>
              <w:rPr>
                <w:sz w:val="24"/>
              </w:rPr>
              <w:t>针对企业实际情况，制定环境管理工作计划，见表</w:t>
            </w:r>
            <w:r>
              <w:rPr>
                <w:rFonts w:hint="eastAsia"/>
                <w:sz w:val="24"/>
              </w:rPr>
              <w:t>56</w:t>
            </w:r>
            <w:r>
              <w:rPr>
                <w:sz w:val="24"/>
              </w:rPr>
              <w:t>。</w:t>
            </w:r>
          </w:p>
          <w:p>
            <w:pPr>
              <w:spacing w:before="62" w:beforeLines="20"/>
              <w:jc w:val="center"/>
              <w:rPr>
                <w:b/>
                <w:szCs w:val="21"/>
              </w:rPr>
            </w:pPr>
            <w:r>
              <w:rPr>
                <w:b/>
                <w:szCs w:val="21"/>
              </w:rPr>
              <w:t>表</w:t>
            </w:r>
            <w:r>
              <w:rPr>
                <w:rFonts w:hint="eastAsia"/>
                <w:b/>
                <w:szCs w:val="21"/>
              </w:rPr>
              <w:t>56</w:t>
            </w:r>
            <w:r>
              <w:rPr>
                <w:b/>
                <w:szCs w:val="21"/>
              </w:rPr>
              <w:t xml:space="preserve"> 环境管理工作计划</w:t>
            </w:r>
          </w:p>
          <w:tbl>
            <w:tblPr>
              <w:tblStyle w:val="24"/>
              <w:tblW w:w="8584"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76"/>
              <w:gridCol w:w="1688"/>
              <w:gridCol w:w="642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7" w:hRule="atLeast"/>
                <w:jc w:val="center"/>
              </w:trPr>
              <w:tc>
                <w:tcPr>
                  <w:tcW w:w="476" w:type="dxa"/>
                  <w:vMerge w:val="restart"/>
                  <w:vAlign w:val="center"/>
                </w:tcPr>
                <w:p>
                  <w:pPr>
                    <w:contextualSpacing/>
                    <w:jc w:val="center"/>
                  </w:pPr>
                  <w:r>
                    <w:t>环境管理内容</w:t>
                  </w:r>
                </w:p>
              </w:tc>
              <w:tc>
                <w:tcPr>
                  <w:tcW w:w="1688" w:type="dxa"/>
                  <w:vAlign w:val="center"/>
                </w:tcPr>
                <w:p>
                  <w:pPr>
                    <w:contextualSpacing/>
                    <w:jc w:val="center"/>
                  </w:pPr>
                  <w:r>
                    <w:t>环境计划管理</w:t>
                  </w:r>
                </w:p>
              </w:tc>
              <w:tc>
                <w:tcPr>
                  <w:tcW w:w="6420" w:type="dxa"/>
                  <w:vAlign w:val="center"/>
                </w:tcPr>
                <w:p>
                  <w:pPr>
                    <w:contextualSpacing/>
                  </w:pPr>
                  <w:r>
                    <w:t>1、制定企业环境保护和日常环境管理计划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7" w:hRule="atLeast"/>
                <w:jc w:val="center"/>
              </w:trPr>
              <w:tc>
                <w:tcPr>
                  <w:tcW w:w="476" w:type="dxa"/>
                  <w:vMerge w:val="continue"/>
                  <w:vAlign w:val="center"/>
                </w:tcPr>
                <w:p>
                  <w:pPr>
                    <w:contextualSpacing/>
                    <w:jc w:val="center"/>
                  </w:pPr>
                </w:p>
              </w:tc>
              <w:tc>
                <w:tcPr>
                  <w:tcW w:w="1688" w:type="dxa"/>
                  <w:vMerge w:val="restart"/>
                  <w:vAlign w:val="center"/>
                </w:tcPr>
                <w:p>
                  <w:pPr>
                    <w:contextualSpacing/>
                    <w:jc w:val="center"/>
                  </w:pPr>
                  <w:r>
                    <w:t>环境质量管理</w:t>
                  </w:r>
                </w:p>
              </w:tc>
              <w:tc>
                <w:tcPr>
                  <w:tcW w:w="6420" w:type="dxa"/>
                  <w:vAlign w:val="center"/>
                </w:tcPr>
                <w:p>
                  <w:pPr>
                    <w:contextualSpacing/>
                  </w:pPr>
                  <w:r>
                    <w:t>1、组织企业污染源和环境质量状况的调查</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7" w:hRule="atLeast"/>
                <w:jc w:val="center"/>
              </w:trPr>
              <w:tc>
                <w:tcPr>
                  <w:tcW w:w="476" w:type="dxa"/>
                  <w:vMerge w:val="continue"/>
                  <w:vAlign w:val="center"/>
                </w:tcPr>
                <w:p>
                  <w:pPr>
                    <w:contextualSpacing/>
                    <w:jc w:val="center"/>
                  </w:pPr>
                </w:p>
              </w:tc>
              <w:tc>
                <w:tcPr>
                  <w:tcW w:w="1688" w:type="dxa"/>
                  <w:vMerge w:val="continue"/>
                  <w:vAlign w:val="center"/>
                </w:tcPr>
                <w:p>
                  <w:pPr>
                    <w:contextualSpacing/>
                    <w:jc w:val="center"/>
                  </w:pPr>
                </w:p>
              </w:tc>
              <w:tc>
                <w:tcPr>
                  <w:tcW w:w="6420" w:type="dxa"/>
                  <w:vAlign w:val="center"/>
                </w:tcPr>
                <w:p>
                  <w:pPr>
                    <w:contextualSpacing/>
                  </w:pPr>
                  <w:r>
                    <w:t>2、建立环境监测制度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7" w:hRule="atLeast"/>
                <w:jc w:val="center"/>
              </w:trPr>
              <w:tc>
                <w:tcPr>
                  <w:tcW w:w="476" w:type="dxa"/>
                  <w:vMerge w:val="continue"/>
                  <w:vAlign w:val="center"/>
                </w:tcPr>
                <w:p>
                  <w:pPr>
                    <w:contextualSpacing/>
                    <w:jc w:val="center"/>
                  </w:pPr>
                </w:p>
              </w:tc>
              <w:tc>
                <w:tcPr>
                  <w:tcW w:w="1688" w:type="dxa"/>
                  <w:vMerge w:val="continue"/>
                  <w:vAlign w:val="center"/>
                </w:tcPr>
                <w:p>
                  <w:pPr>
                    <w:contextualSpacing/>
                    <w:jc w:val="center"/>
                  </w:pPr>
                </w:p>
              </w:tc>
              <w:tc>
                <w:tcPr>
                  <w:tcW w:w="6420" w:type="dxa"/>
                  <w:vAlign w:val="center"/>
                </w:tcPr>
                <w:p>
                  <w:pPr>
                    <w:contextualSpacing/>
                  </w:pPr>
                  <w:r>
                    <w:t>3、实行排污口规范管理，立标、建档，申报排污许可证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7" w:hRule="atLeast"/>
                <w:jc w:val="center"/>
              </w:trPr>
              <w:tc>
                <w:tcPr>
                  <w:tcW w:w="476" w:type="dxa"/>
                  <w:vMerge w:val="continue"/>
                  <w:vAlign w:val="center"/>
                </w:tcPr>
                <w:p>
                  <w:pPr>
                    <w:contextualSpacing/>
                    <w:jc w:val="center"/>
                  </w:pPr>
                </w:p>
              </w:tc>
              <w:tc>
                <w:tcPr>
                  <w:tcW w:w="1688" w:type="dxa"/>
                  <w:vMerge w:val="continue"/>
                  <w:vAlign w:val="center"/>
                </w:tcPr>
                <w:p>
                  <w:pPr>
                    <w:contextualSpacing/>
                    <w:jc w:val="center"/>
                  </w:pPr>
                </w:p>
              </w:tc>
              <w:tc>
                <w:tcPr>
                  <w:tcW w:w="6420" w:type="dxa"/>
                  <w:vAlign w:val="center"/>
                </w:tcPr>
                <w:p>
                  <w:pPr>
                    <w:contextualSpacing/>
                  </w:pPr>
                  <w:r>
                    <w:t>4、处理环境污染事故与纠纷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7" w:hRule="atLeast"/>
                <w:jc w:val="center"/>
              </w:trPr>
              <w:tc>
                <w:tcPr>
                  <w:tcW w:w="476" w:type="dxa"/>
                  <w:vMerge w:val="continue"/>
                  <w:vAlign w:val="center"/>
                </w:tcPr>
                <w:p>
                  <w:pPr>
                    <w:contextualSpacing/>
                    <w:jc w:val="center"/>
                  </w:pPr>
                </w:p>
              </w:tc>
              <w:tc>
                <w:tcPr>
                  <w:tcW w:w="1688" w:type="dxa"/>
                  <w:vMerge w:val="restart"/>
                  <w:vAlign w:val="center"/>
                </w:tcPr>
                <w:p>
                  <w:pPr>
                    <w:contextualSpacing/>
                    <w:jc w:val="center"/>
                  </w:pPr>
                  <w:r>
                    <w:t>环境技术管理</w:t>
                  </w:r>
                </w:p>
              </w:tc>
              <w:tc>
                <w:tcPr>
                  <w:tcW w:w="6420" w:type="dxa"/>
                  <w:vAlign w:val="center"/>
                </w:tcPr>
                <w:p>
                  <w:pPr>
                    <w:contextualSpacing/>
                  </w:pPr>
                  <w:r>
                    <w:t>1、组织制定环境保护技术操作规程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7" w:hRule="atLeast"/>
                <w:jc w:val="center"/>
              </w:trPr>
              <w:tc>
                <w:tcPr>
                  <w:tcW w:w="476" w:type="dxa"/>
                  <w:vMerge w:val="continue"/>
                  <w:vAlign w:val="center"/>
                </w:tcPr>
                <w:p>
                  <w:pPr>
                    <w:contextualSpacing/>
                    <w:jc w:val="center"/>
                  </w:pPr>
                </w:p>
              </w:tc>
              <w:tc>
                <w:tcPr>
                  <w:tcW w:w="1688" w:type="dxa"/>
                  <w:vMerge w:val="continue"/>
                  <w:vAlign w:val="center"/>
                </w:tcPr>
                <w:p>
                  <w:pPr>
                    <w:contextualSpacing/>
                    <w:jc w:val="center"/>
                  </w:pPr>
                </w:p>
              </w:tc>
              <w:tc>
                <w:tcPr>
                  <w:tcW w:w="6420" w:type="dxa"/>
                  <w:vAlign w:val="center"/>
                </w:tcPr>
                <w:p>
                  <w:pPr>
                    <w:contextualSpacing/>
                  </w:pPr>
                  <w:r>
                    <w:t>2、开展废物综合利用，减少“三废”排放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7" w:hRule="atLeast"/>
                <w:jc w:val="center"/>
              </w:trPr>
              <w:tc>
                <w:tcPr>
                  <w:tcW w:w="476" w:type="dxa"/>
                  <w:vMerge w:val="continue"/>
                  <w:vAlign w:val="center"/>
                </w:tcPr>
                <w:p>
                  <w:pPr>
                    <w:contextualSpacing/>
                    <w:jc w:val="center"/>
                  </w:pPr>
                </w:p>
              </w:tc>
              <w:tc>
                <w:tcPr>
                  <w:tcW w:w="1688" w:type="dxa"/>
                  <w:vMerge w:val="continue"/>
                  <w:vAlign w:val="center"/>
                </w:tcPr>
                <w:p>
                  <w:pPr>
                    <w:contextualSpacing/>
                    <w:jc w:val="center"/>
                  </w:pPr>
                </w:p>
              </w:tc>
              <w:tc>
                <w:tcPr>
                  <w:tcW w:w="6420" w:type="dxa"/>
                  <w:vAlign w:val="center"/>
                </w:tcPr>
                <w:p>
                  <w:pPr>
                    <w:contextualSpacing/>
                  </w:pPr>
                  <w:r>
                    <w:t>3、参与编制、组织和实施清洁生产审计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7" w:hRule="atLeast"/>
                <w:jc w:val="center"/>
              </w:trPr>
              <w:tc>
                <w:tcPr>
                  <w:tcW w:w="476" w:type="dxa"/>
                  <w:vMerge w:val="continue"/>
                  <w:vAlign w:val="center"/>
                </w:tcPr>
                <w:p>
                  <w:pPr>
                    <w:contextualSpacing/>
                    <w:jc w:val="center"/>
                  </w:pPr>
                </w:p>
              </w:tc>
              <w:tc>
                <w:tcPr>
                  <w:tcW w:w="1688" w:type="dxa"/>
                  <w:vMerge w:val="restart"/>
                  <w:vAlign w:val="center"/>
                </w:tcPr>
                <w:p>
                  <w:pPr>
                    <w:contextualSpacing/>
                    <w:jc w:val="center"/>
                  </w:pPr>
                  <w:r>
                    <w:t>环保设备管理</w:t>
                  </w:r>
                </w:p>
              </w:tc>
              <w:tc>
                <w:tcPr>
                  <w:tcW w:w="6420" w:type="dxa"/>
                  <w:vAlign w:val="center"/>
                </w:tcPr>
                <w:p>
                  <w:pPr>
                    <w:contextualSpacing/>
                  </w:pPr>
                  <w:r>
                    <w:t>1、建立健全环保设备及设施管理制度和管理措施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7" w:hRule="atLeast"/>
                <w:jc w:val="center"/>
              </w:trPr>
              <w:tc>
                <w:tcPr>
                  <w:tcW w:w="476" w:type="dxa"/>
                  <w:vMerge w:val="continue"/>
                  <w:vAlign w:val="center"/>
                </w:tcPr>
                <w:p>
                  <w:pPr>
                    <w:contextualSpacing/>
                    <w:jc w:val="center"/>
                  </w:pPr>
                </w:p>
              </w:tc>
              <w:tc>
                <w:tcPr>
                  <w:tcW w:w="1688" w:type="dxa"/>
                  <w:vMerge w:val="continue"/>
                  <w:vAlign w:val="center"/>
                </w:tcPr>
                <w:p>
                  <w:pPr>
                    <w:contextualSpacing/>
                    <w:jc w:val="center"/>
                  </w:pPr>
                </w:p>
              </w:tc>
              <w:tc>
                <w:tcPr>
                  <w:tcW w:w="6420" w:type="dxa"/>
                  <w:vAlign w:val="center"/>
                </w:tcPr>
                <w:p>
                  <w:pPr>
                    <w:contextualSpacing/>
                  </w:pPr>
                  <w:r>
                    <w:t>2、对环保设备定期检查、保养和维护，确保其正常运行</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7" w:hRule="atLeast"/>
                <w:jc w:val="center"/>
              </w:trPr>
              <w:tc>
                <w:tcPr>
                  <w:tcW w:w="476" w:type="dxa"/>
                  <w:vMerge w:val="continue"/>
                  <w:vAlign w:val="center"/>
                </w:tcPr>
                <w:p>
                  <w:pPr>
                    <w:contextualSpacing/>
                  </w:pPr>
                </w:p>
              </w:tc>
              <w:tc>
                <w:tcPr>
                  <w:tcW w:w="1688" w:type="dxa"/>
                  <w:vMerge w:val="restart"/>
                  <w:vAlign w:val="center"/>
                </w:tcPr>
                <w:p>
                  <w:pPr>
                    <w:contextualSpacing/>
                    <w:jc w:val="center"/>
                  </w:pPr>
                  <w:r>
                    <w:t>环保宣传教育</w:t>
                  </w:r>
                </w:p>
              </w:tc>
              <w:tc>
                <w:tcPr>
                  <w:tcW w:w="6420" w:type="dxa"/>
                  <w:vAlign w:val="center"/>
                </w:tcPr>
                <w:p>
                  <w:pPr>
                    <w:contextualSpacing/>
                  </w:pPr>
                  <w:r>
                    <w:t>1、宣传环保法律、法规和方针政策，严格执行环保法规和标准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7" w:hRule="atLeast"/>
                <w:jc w:val="center"/>
              </w:trPr>
              <w:tc>
                <w:tcPr>
                  <w:tcW w:w="476" w:type="dxa"/>
                  <w:vMerge w:val="continue"/>
                  <w:vAlign w:val="center"/>
                </w:tcPr>
                <w:p>
                  <w:pPr>
                    <w:contextualSpacing/>
                  </w:pPr>
                </w:p>
              </w:tc>
              <w:tc>
                <w:tcPr>
                  <w:tcW w:w="1688" w:type="dxa"/>
                  <w:vMerge w:val="continue"/>
                  <w:vAlign w:val="center"/>
                </w:tcPr>
                <w:p>
                  <w:pPr>
                    <w:contextualSpacing/>
                  </w:pPr>
                </w:p>
              </w:tc>
              <w:tc>
                <w:tcPr>
                  <w:tcW w:w="6420" w:type="dxa"/>
                  <w:vAlign w:val="center"/>
                </w:tcPr>
                <w:p>
                  <w:pPr>
                    <w:contextualSpacing/>
                  </w:pPr>
                  <w:r>
                    <w:t>2、组织企业环保专业技术培训，提高人员环保素质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7" w:hRule="atLeast"/>
                <w:jc w:val="center"/>
              </w:trPr>
              <w:tc>
                <w:tcPr>
                  <w:tcW w:w="476" w:type="dxa"/>
                  <w:vMerge w:val="continue"/>
                  <w:vAlign w:val="center"/>
                </w:tcPr>
                <w:p>
                  <w:pPr>
                    <w:contextualSpacing/>
                  </w:pPr>
                </w:p>
              </w:tc>
              <w:tc>
                <w:tcPr>
                  <w:tcW w:w="1688" w:type="dxa"/>
                  <w:vMerge w:val="continue"/>
                  <w:vAlign w:val="center"/>
                </w:tcPr>
                <w:p>
                  <w:pPr>
                    <w:contextualSpacing/>
                  </w:pPr>
                </w:p>
              </w:tc>
              <w:tc>
                <w:tcPr>
                  <w:tcW w:w="6420" w:type="dxa"/>
                  <w:vAlign w:val="center"/>
                </w:tcPr>
                <w:p>
                  <w:pPr>
                    <w:contextualSpacing/>
                  </w:pPr>
                  <w:r>
                    <w:t>3、提高企业职工的环保意识</w:t>
                  </w:r>
                </w:p>
              </w:tc>
            </w:tr>
          </w:tbl>
          <w:p>
            <w:pPr>
              <w:pStyle w:val="104"/>
              <w:adjustRightInd/>
              <w:spacing w:line="360" w:lineRule="auto"/>
              <w:ind w:firstLine="480" w:firstLineChars="200"/>
              <w:rPr>
                <w:rFonts w:ascii="Times New Roman" w:cs="Times New Roman"/>
                <w:color w:val="auto"/>
              </w:rPr>
            </w:pPr>
            <w:r>
              <w:rPr>
                <w:rFonts w:ascii="Times New Roman" w:cs="Times New Roman"/>
                <w:color w:val="auto"/>
              </w:rPr>
              <w:t>（2）监测计划</w:t>
            </w:r>
          </w:p>
          <w:p>
            <w:pPr>
              <w:spacing w:line="360" w:lineRule="auto"/>
              <w:ind w:firstLine="480" w:firstLineChars="200"/>
              <w:rPr>
                <w:sz w:val="24"/>
              </w:rPr>
            </w:pPr>
            <w:r>
              <w:rPr>
                <w:sz w:val="24"/>
              </w:rPr>
              <w:t>环境监测应按国家和地方的环保要求进行，应采用国家规定的标准监测方法，并应按照规定，定期向有关环境保护主管部门上报监测结果。</w:t>
            </w:r>
          </w:p>
          <w:p>
            <w:pPr>
              <w:spacing w:line="360" w:lineRule="auto"/>
              <w:ind w:firstLine="480" w:firstLineChars="200"/>
              <w:rPr>
                <w:sz w:val="24"/>
              </w:rPr>
            </w:pPr>
            <w:r>
              <w:rPr>
                <w:rFonts w:hint="eastAsia" w:ascii="宋体" w:hAnsi="宋体" w:cs="宋体"/>
                <w:sz w:val="24"/>
              </w:rPr>
              <w:t>①</w:t>
            </w:r>
            <w:r>
              <w:rPr>
                <w:sz w:val="24"/>
              </w:rPr>
              <w:t>监测机构</w:t>
            </w:r>
          </w:p>
          <w:p>
            <w:pPr>
              <w:spacing w:line="360" w:lineRule="auto"/>
              <w:ind w:firstLine="480" w:firstLineChars="200"/>
              <w:rPr>
                <w:sz w:val="24"/>
              </w:rPr>
            </w:pPr>
            <w:r>
              <w:rPr>
                <w:sz w:val="24"/>
              </w:rPr>
              <w:t>环境质量和污染源监测工作由当地环境监测站或委托第三方检测机构承担。</w:t>
            </w:r>
          </w:p>
          <w:p>
            <w:pPr>
              <w:pStyle w:val="56"/>
              <w:numPr>
                <w:ilvl w:val="0"/>
                <w:numId w:val="2"/>
              </w:numPr>
              <w:spacing w:line="360" w:lineRule="auto"/>
              <w:ind w:firstLineChars="0"/>
              <w:rPr>
                <w:bCs/>
                <w:sz w:val="24"/>
              </w:rPr>
            </w:pPr>
            <w:r>
              <w:rPr>
                <w:bCs/>
                <w:sz w:val="24"/>
              </w:rPr>
              <w:t>监测计划</w:t>
            </w:r>
          </w:p>
          <w:p>
            <w:pPr>
              <w:pStyle w:val="51"/>
              <w:ind w:firstLine="600" w:firstLineChars="250"/>
              <w:rPr>
                <w:sz w:val="24"/>
                <w:lang w:val="en-US"/>
              </w:rPr>
            </w:pPr>
            <w:r>
              <w:rPr>
                <w:rFonts w:hAnsi="宋体"/>
                <w:sz w:val="24"/>
                <w:lang w:val="en-US"/>
              </w:rPr>
              <w:t>营运期污染源与环境监测计</w:t>
            </w:r>
            <w:r>
              <w:rPr>
                <w:sz w:val="24"/>
                <w:lang w:val="en-US"/>
              </w:rPr>
              <w:t>划</w:t>
            </w:r>
            <w:r>
              <w:rPr>
                <w:rFonts w:hint="eastAsia"/>
                <w:sz w:val="24"/>
                <w:lang w:val="en-US"/>
              </w:rPr>
              <w:t>参考《排污单位自行监测技术指南总则》</w:t>
            </w:r>
            <w:r>
              <w:rPr>
                <w:sz w:val="24"/>
                <w:lang w:val="en-US"/>
              </w:rPr>
              <w:t>见表</w:t>
            </w:r>
            <w:r>
              <w:rPr>
                <w:rFonts w:hint="eastAsia"/>
                <w:sz w:val="24"/>
                <w:lang w:val="en-US"/>
              </w:rPr>
              <w:t>57</w:t>
            </w:r>
            <w:r>
              <w:rPr>
                <w:sz w:val="24"/>
                <w:lang w:val="en-US"/>
              </w:rPr>
              <w:t>。</w:t>
            </w:r>
          </w:p>
          <w:p>
            <w:pPr>
              <w:jc w:val="center"/>
              <w:rPr>
                <w:b/>
                <w:bCs/>
              </w:rPr>
            </w:pPr>
            <w:r>
              <w:rPr>
                <w:rFonts w:hAnsi="宋体"/>
                <w:b/>
                <w:bCs/>
              </w:rPr>
              <w:t>表</w:t>
            </w:r>
            <w:r>
              <w:rPr>
                <w:rFonts w:hint="eastAsia" w:hAnsi="宋体"/>
                <w:b/>
                <w:bCs/>
              </w:rPr>
              <w:t>57</w:t>
            </w:r>
            <w:r>
              <w:rPr>
                <w:b/>
                <w:bCs/>
              </w:rPr>
              <w:t xml:space="preserve">  </w:t>
            </w:r>
            <w:r>
              <w:rPr>
                <w:rFonts w:hAnsi="宋体"/>
                <w:b/>
                <w:bCs/>
              </w:rPr>
              <w:t>污染源与环境监测计划表</w:t>
            </w:r>
          </w:p>
          <w:tbl>
            <w:tblPr>
              <w:tblStyle w:val="24"/>
              <w:tblW w:w="882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29"/>
              <w:gridCol w:w="1317"/>
              <w:gridCol w:w="1320"/>
              <w:gridCol w:w="815"/>
              <w:gridCol w:w="1099"/>
              <w:gridCol w:w="30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5" w:type="dxa"/>
                  <w:gridSpan w:val="2"/>
                  <w:vAlign w:val="center"/>
                </w:tcPr>
                <w:p>
                  <w:pPr>
                    <w:spacing w:line="300" w:lineRule="exact"/>
                    <w:jc w:val="center"/>
                    <w:rPr>
                      <w:szCs w:val="21"/>
                    </w:rPr>
                  </w:pPr>
                  <w:r>
                    <w:rPr>
                      <w:rFonts w:hAnsi="宋体"/>
                      <w:szCs w:val="21"/>
                    </w:rPr>
                    <w:t>污染源名称</w:t>
                  </w:r>
                </w:p>
              </w:tc>
              <w:tc>
                <w:tcPr>
                  <w:tcW w:w="1317" w:type="dxa"/>
                  <w:vAlign w:val="center"/>
                </w:tcPr>
                <w:p>
                  <w:pPr>
                    <w:spacing w:line="300" w:lineRule="exact"/>
                    <w:jc w:val="center"/>
                    <w:rPr>
                      <w:szCs w:val="21"/>
                    </w:rPr>
                  </w:pPr>
                  <w:r>
                    <w:rPr>
                      <w:rFonts w:hAnsi="宋体"/>
                      <w:szCs w:val="21"/>
                    </w:rPr>
                    <w:t>监测项目</w:t>
                  </w:r>
                </w:p>
              </w:tc>
              <w:tc>
                <w:tcPr>
                  <w:tcW w:w="1320" w:type="dxa"/>
                  <w:vAlign w:val="center"/>
                </w:tcPr>
                <w:p>
                  <w:pPr>
                    <w:spacing w:line="300" w:lineRule="exact"/>
                    <w:jc w:val="center"/>
                    <w:rPr>
                      <w:rFonts w:hAnsi="宋体"/>
                      <w:szCs w:val="21"/>
                    </w:rPr>
                  </w:pPr>
                  <w:r>
                    <w:rPr>
                      <w:rFonts w:hAnsi="宋体"/>
                      <w:szCs w:val="21"/>
                    </w:rPr>
                    <w:t>监测点</w:t>
                  </w:r>
                </w:p>
                <w:p>
                  <w:pPr>
                    <w:spacing w:line="300" w:lineRule="exact"/>
                    <w:jc w:val="center"/>
                    <w:rPr>
                      <w:szCs w:val="21"/>
                    </w:rPr>
                  </w:pPr>
                  <w:r>
                    <w:rPr>
                      <w:rFonts w:hAnsi="宋体"/>
                      <w:szCs w:val="21"/>
                    </w:rPr>
                    <w:t>位置</w:t>
                  </w:r>
                </w:p>
              </w:tc>
              <w:tc>
                <w:tcPr>
                  <w:tcW w:w="815" w:type="dxa"/>
                  <w:vAlign w:val="center"/>
                </w:tcPr>
                <w:p>
                  <w:pPr>
                    <w:spacing w:line="300" w:lineRule="exact"/>
                    <w:jc w:val="center"/>
                    <w:rPr>
                      <w:szCs w:val="21"/>
                    </w:rPr>
                  </w:pPr>
                  <w:r>
                    <w:rPr>
                      <w:rFonts w:hAnsi="宋体"/>
                      <w:szCs w:val="21"/>
                    </w:rPr>
                    <w:t>监测</w:t>
                  </w:r>
                </w:p>
                <w:p>
                  <w:pPr>
                    <w:spacing w:line="300" w:lineRule="exact"/>
                    <w:jc w:val="center"/>
                    <w:rPr>
                      <w:szCs w:val="21"/>
                    </w:rPr>
                  </w:pPr>
                  <w:r>
                    <w:rPr>
                      <w:rFonts w:hAnsi="宋体"/>
                      <w:szCs w:val="21"/>
                    </w:rPr>
                    <w:t>点数</w:t>
                  </w:r>
                </w:p>
              </w:tc>
              <w:tc>
                <w:tcPr>
                  <w:tcW w:w="1099" w:type="dxa"/>
                  <w:tcBorders>
                    <w:bottom w:val="single" w:color="auto" w:sz="4" w:space="0"/>
                  </w:tcBorders>
                  <w:vAlign w:val="center"/>
                </w:tcPr>
                <w:p>
                  <w:pPr>
                    <w:spacing w:line="300" w:lineRule="exact"/>
                    <w:jc w:val="center"/>
                    <w:rPr>
                      <w:szCs w:val="21"/>
                    </w:rPr>
                  </w:pPr>
                  <w:r>
                    <w:rPr>
                      <w:rFonts w:hAnsi="宋体"/>
                      <w:szCs w:val="21"/>
                    </w:rPr>
                    <w:t>监测</w:t>
                  </w:r>
                </w:p>
                <w:p>
                  <w:pPr>
                    <w:spacing w:line="300" w:lineRule="exact"/>
                    <w:jc w:val="center"/>
                    <w:rPr>
                      <w:szCs w:val="21"/>
                    </w:rPr>
                  </w:pPr>
                  <w:r>
                    <w:rPr>
                      <w:rFonts w:hAnsi="宋体"/>
                      <w:szCs w:val="21"/>
                    </w:rPr>
                    <w:t>频率</w:t>
                  </w:r>
                </w:p>
              </w:tc>
              <w:tc>
                <w:tcPr>
                  <w:tcW w:w="3018" w:type="dxa"/>
                  <w:tcBorders>
                    <w:bottom w:val="single" w:color="auto" w:sz="4" w:space="0"/>
                  </w:tcBorders>
                  <w:vAlign w:val="center"/>
                </w:tcPr>
                <w:p>
                  <w:pPr>
                    <w:spacing w:line="300" w:lineRule="exact"/>
                    <w:jc w:val="center"/>
                    <w:rPr>
                      <w:szCs w:val="21"/>
                    </w:rPr>
                  </w:pPr>
                  <w:r>
                    <w:rPr>
                      <w:rFonts w:hAnsi="宋体"/>
                      <w:szCs w:val="21"/>
                    </w:rPr>
                    <w:t>控制指标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pStyle w:val="76"/>
                    <w:rPr>
                      <w:sz w:val="21"/>
                      <w:szCs w:val="21"/>
                      <w:lang w:val="en-US"/>
                    </w:rPr>
                  </w:pPr>
                  <w:r>
                    <w:rPr>
                      <w:sz w:val="21"/>
                      <w:szCs w:val="21"/>
                      <w:lang w:val="en-US"/>
                    </w:rPr>
                    <w:t>环境空气</w:t>
                  </w:r>
                </w:p>
              </w:tc>
              <w:tc>
                <w:tcPr>
                  <w:tcW w:w="829" w:type="dxa"/>
                  <w:vMerge w:val="restart"/>
                  <w:vAlign w:val="center"/>
                </w:tcPr>
                <w:p>
                  <w:pPr>
                    <w:pStyle w:val="76"/>
                    <w:rPr>
                      <w:sz w:val="21"/>
                      <w:szCs w:val="21"/>
                      <w:lang w:val="en-US"/>
                    </w:rPr>
                  </w:pPr>
                  <w:r>
                    <w:rPr>
                      <w:rFonts w:hint="eastAsia"/>
                      <w:sz w:val="21"/>
                      <w:szCs w:val="21"/>
                      <w:lang w:val="en-US"/>
                    </w:rPr>
                    <w:t>有组织排放</w:t>
                  </w:r>
                </w:p>
              </w:tc>
              <w:tc>
                <w:tcPr>
                  <w:tcW w:w="1317" w:type="dxa"/>
                  <w:vAlign w:val="center"/>
                </w:tcPr>
                <w:p>
                  <w:pPr>
                    <w:pStyle w:val="76"/>
                    <w:rPr>
                      <w:sz w:val="21"/>
                      <w:szCs w:val="21"/>
                      <w:lang w:val="en-US"/>
                    </w:rPr>
                  </w:pPr>
                  <w:r>
                    <w:rPr>
                      <w:rFonts w:hint="eastAsia"/>
                      <w:sz w:val="21"/>
                      <w:szCs w:val="21"/>
                      <w:lang w:val="en-US"/>
                    </w:rPr>
                    <w:t>烟尘、NO</w:t>
                  </w:r>
                  <w:r>
                    <w:rPr>
                      <w:rFonts w:hint="eastAsia"/>
                      <w:sz w:val="21"/>
                      <w:szCs w:val="21"/>
                      <w:vertAlign w:val="subscript"/>
                      <w:lang w:val="en-US"/>
                    </w:rPr>
                    <w:t>2</w:t>
                  </w:r>
                  <w:r>
                    <w:rPr>
                      <w:rFonts w:hint="eastAsia"/>
                      <w:sz w:val="21"/>
                      <w:szCs w:val="21"/>
                      <w:lang w:val="en-US"/>
                    </w:rPr>
                    <w:t>、SO</w:t>
                  </w:r>
                  <w:r>
                    <w:rPr>
                      <w:rFonts w:hint="eastAsia"/>
                      <w:sz w:val="21"/>
                      <w:szCs w:val="21"/>
                      <w:vertAlign w:val="subscript"/>
                      <w:lang w:val="en-US"/>
                    </w:rPr>
                    <w:t>2</w:t>
                  </w:r>
                  <w:r>
                    <w:rPr>
                      <w:rFonts w:hint="eastAsia"/>
                      <w:sz w:val="21"/>
                      <w:szCs w:val="21"/>
                      <w:lang w:val="en-US"/>
                    </w:rPr>
                    <w:t>、氟化物</w:t>
                  </w:r>
                </w:p>
              </w:tc>
              <w:tc>
                <w:tcPr>
                  <w:tcW w:w="1320" w:type="dxa"/>
                  <w:vAlign w:val="center"/>
                </w:tcPr>
                <w:p>
                  <w:pPr>
                    <w:pStyle w:val="76"/>
                    <w:rPr>
                      <w:sz w:val="21"/>
                      <w:szCs w:val="21"/>
                      <w:lang w:val="en-US"/>
                    </w:rPr>
                  </w:pPr>
                  <w:r>
                    <w:rPr>
                      <w:rFonts w:hint="eastAsia"/>
                      <w:sz w:val="21"/>
                      <w:szCs w:val="21"/>
                      <w:lang w:val="en-US"/>
                    </w:rPr>
                    <w:t>隧道窑</w:t>
                  </w:r>
                </w:p>
              </w:tc>
              <w:tc>
                <w:tcPr>
                  <w:tcW w:w="815" w:type="dxa"/>
                  <w:vAlign w:val="center"/>
                </w:tcPr>
                <w:p>
                  <w:pPr>
                    <w:pStyle w:val="76"/>
                    <w:rPr>
                      <w:sz w:val="21"/>
                      <w:szCs w:val="21"/>
                      <w:lang w:val="en-US"/>
                    </w:rPr>
                  </w:pPr>
                  <w:r>
                    <w:rPr>
                      <w:rFonts w:hint="eastAsia"/>
                      <w:sz w:val="21"/>
                      <w:szCs w:val="21"/>
                      <w:lang w:val="en-US"/>
                    </w:rPr>
                    <w:t>1个点</w:t>
                  </w:r>
                </w:p>
              </w:tc>
              <w:tc>
                <w:tcPr>
                  <w:tcW w:w="1099" w:type="dxa"/>
                  <w:vAlign w:val="center"/>
                </w:tcPr>
                <w:p>
                  <w:pPr>
                    <w:pStyle w:val="76"/>
                    <w:rPr>
                      <w:sz w:val="21"/>
                      <w:szCs w:val="21"/>
                      <w:lang w:val="en-US"/>
                    </w:rPr>
                  </w:pPr>
                  <w:r>
                    <w:rPr>
                      <w:sz w:val="21"/>
                      <w:szCs w:val="21"/>
                      <w:lang w:val="en-US"/>
                    </w:rPr>
                    <w:t>1次/</w:t>
                  </w:r>
                  <w:r>
                    <w:rPr>
                      <w:rFonts w:hint="eastAsia"/>
                      <w:sz w:val="21"/>
                      <w:szCs w:val="21"/>
                      <w:lang w:val="en-US"/>
                    </w:rPr>
                    <w:t>半年</w:t>
                  </w:r>
                </w:p>
              </w:tc>
              <w:tc>
                <w:tcPr>
                  <w:tcW w:w="3018" w:type="dxa"/>
                  <w:vMerge w:val="restart"/>
                  <w:vAlign w:val="center"/>
                </w:tcPr>
                <w:p>
                  <w:pPr>
                    <w:pStyle w:val="76"/>
                    <w:jc w:val="both"/>
                    <w:rPr>
                      <w:sz w:val="21"/>
                      <w:szCs w:val="21"/>
                      <w:lang w:val="en-US"/>
                    </w:rPr>
                  </w:pPr>
                  <w:r>
                    <w:rPr>
                      <w:rFonts w:hint="eastAsia"/>
                      <w:bCs/>
                      <w:sz w:val="21"/>
                      <w:szCs w:val="21"/>
                      <w:lang w:val="en-US"/>
                    </w:rPr>
                    <w:t>达到《关中地区重点行业大气污染物排放标准》（GB61 1226-2018）中的表7砖瓦工业大气污染物排放浓度限值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pStyle w:val="76"/>
                    <w:rPr>
                      <w:sz w:val="21"/>
                      <w:szCs w:val="21"/>
                      <w:lang w:val="en-US"/>
                    </w:rPr>
                  </w:pPr>
                </w:p>
              </w:tc>
              <w:tc>
                <w:tcPr>
                  <w:tcW w:w="829" w:type="dxa"/>
                  <w:vMerge w:val="continue"/>
                  <w:vAlign w:val="center"/>
                </w:tcPr>
                <w:p>
                  <w:pPr>
                    <w:pStyle w:val="76"/>
                    <w:rPr>
                      <w:sz w:val="21"/>
                      <w:szCs w:val="21"/>
                      <w:lang w:val="en-US"/>
                    </w:rPr>
                  </w:pPr>
                </w:p>
              </w:tc>
              <w:tc>
                <w:tcPr>
                  <w:tcW w:w="1317" w:type="dxa"/>
                  <w:vAlign w:val="center"/>
                </w:tcPr>
                <w:p>
                  <w:pPr>
                    <w:pStyle w:val="76"/>
                    <w:rPr>
                      <w:sz w:val="21"/>
                      <w:szCs w:val="21"/>
                      <w:lang w:val="en-US"/>
                    </w:rPr>
                  </w:pPr>
                  <w:r>
                    <w:rPr>
                      <w:rFonts w:hint="eastAsia"/>
                      <w:sz w:val="21"/>
                      <w:szCs w:val="21"/>
                      <w:lang w:val="en-US"/>
                    </w:rPr>
                    <w:t>颗粒物</w:t>
                  </w:r>
                </w:p>
              </w:tc>
              <w:tc>
                <w:tcPr>
                  <w:tcW w:w="1320" w:type="dxa"/>
                  <w:vAlign w:val="center"/>
                </w:tcPr>
                <w:p>
                  <w:pPr>
                    <w:pStyle w:val="76"/>
                    <w:rPr>
                      <w:sz w:val="21"/>
                      <w:szCs w:val="21"/>
                      <w:lang w:val="en-US"/>
                    </w:rPr>
                  </w:pPr>
                  <w:r>
                    <w:rPr>
                      <w:rFonts w:hint="eastAsia"/>
                      <w:sz w:val="21"/>
                      <w:szCs w:val="21"/>
                      <w:lang w:val="en-US"/>
                    </w:rPr>
                    <w:t>破碎工序</w:t>
                  </w:r>
                </w:p>
              </w:tc>
              <w:tc>
                <w:tcPr>
                  <w:tcW w:w="815" w:type="dxa"/>
                  <w:vAlign w:val="center"/>
                </w:tcPr>
                <w:p>
                  <w:pPr>
                    <w:pStyle w:val="76"/>
                    <w:rPr>
                      <w:sz w:val="21"/>
                      <w:szCs w:val="21"/>
                      <w:lang w:val="en-US"/>
                    </w:rPr>
                  </w:pPr>
                  <w:r>
                    <w:rPr>
                      <w:rFonts w:hint="eastAsia"/>
                      <w:sz w:val="21"/>
                      <w:szCs w:val="21"/>
                      <w:lang w:val="en-US"/>
                    </w:rPr>
                    <w:t>1个点</w:t>
                  </w:r>
                </w:p>
              </w:tc>
              <w:tc>
                <w:tcPr>
                  <w:tcW w:w="1099" w:type="dxa"/>
                  <w:vAlign w:val="center"/>
                </w:tcPr>
                <w:p>
                  <w:pPr>
                    <w:pStyle w:val="76"/>
                    <w:rPr>
                      <w:sz w:val="21"/>
                      <w:szCs w:val="21"/>
                      <w:lang w:val="en-US"/>
                    </w:rPr>
                  </w:pPr>
                  <w:r>
                    <w:rPr>
                      <w:sz w:val="21"/>
                      <w:szCs w:val="21"/>
                      <w:lang w:val="en-US"/>
                    </w:rPr>
                    <w:t>1次/</w:t>
                  </w:r>
                  <w:r>
                    <w:rPr>
                      <w:rFonts w:hint="eastAsia"/>
                      <w:sz w:val="21"/>
                      <w:szCs w:val="21"/>
                      <w:lang w:val="en-US"/>
                    </w:rPr>
                    <w:t>半年</w:t>
                  </w:r>
                </w:p>
              </w:tc>
              <w:tc>
                <w:tcPr>
                  <w:tcW w:w="3018" w:type="dxa"/>
                  <w:vMerge w:val="continue"/>
                  <w:vAlign w:val="center"/>
                </w:tcPr>
                <w:p>
                  <w:pPr>
                    <w:pStyle w:val="76"/>
                    <w:jc w:val="both"/>
                    <w:rPr>
                      <w:bCs/>
                      <w:sz w:val="21"/>
                      <w:szCs w:val="21"/>
                      <w:lang w:val="en-U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pStyle w:val="76"/>
                    <w:rPr>
                      <w:sz w:val="21"/>
                      <w:szCs w:val="21"/>
                      <w:lang w:val="en-US"/>
                    </w:rPr>
                  </w:pPr>
                </w:p>
              </w:tc>
              <w:tc>
                <w:tcPr>
                  <w:tcW w:w="829" w:type="dxa"/>
                  <w:vAlign w:val="center"/>
                </w:tcPr>
                <w:p>
                  <w:pPr>
                    <w:pStyle w:val="76"/>
                    <w:rPr>
                      <w:sz w:val="21"/>
                      <w:szCs w:val="21"/>
                      <w:lang w:val="en-US"/>
                    </w:rPr>
                  </w:pPr>
                  <w:r>
                    <w:rPr>
                      <w:rFonts w:hint="eastAsia"/>
                      <w:sz w:val="21"/>
                      <w:szCs w:val="21"/>
                      <w:lang w:val="en-US"/>
                    </w:rPr>
                    <w:t>无组织排放放</w:t>
                  </w:r>
                </w:p>
              </w:tc>
              <w:tc>
                <w:tcPr>
                  <w:tcW w:w="1317" w:type="dxa"/>
                  <w:vAlign w:val="center"/>
                </w:tcPr>
                <w:p>
                  <w:pPr>
                    <w:pStyle w:val="76"/>
                    <w:rPr>
                      <w:sz w:val="21"/>
                      <w:szCs w:val="21"/>
                      <w:lang w:val="en-US"/>
                    </w:rPr>
                  </w:pPr>
                  <w:r>
                    <w:rPr>
                      <w:rFonts w:hint="eastAsia"/>
                      <w:sz w:val="21"/>
                      <w:szCs w:val="21"/>
                      <w:lang w:val="en-US"/>
                    </w:rPr>
                    <w:t>T</w:t>
                  </w:r>
                  <w:r>
                    <w:rPr>
                      <w:sz w:val="21"/>
                      <w:szCs w:val="21"/>
                      <w:lang w:val="en-US"/>
                    </w:rPr>
                    <w:t>SP</w:t>
                  </w:r>
                  <w:r>
                    <w:rPr>
                      <w:rFonts w:hint="eastAsia"/>
                      <w:sz w:val="21"/>
                      <w:szCs w:val="21"/>
                      <w:lang w:val="en-US"/>
                    </w:rPr>
                    <w:t>、SO</w:t>
                  </w:r>
                  <w:r>
                    <w:rPr>
                      <w:rFonts w:hint="eastAsia"/>
                      <w:sz w:val="21"/>
                      <w:szCs w:val="21"/>
                      <w:vertAlign w:val="subscript"/>
                      <w:lang w:val="en-US"/>
                    </w:rPr>
                    <w:t>2</w:t>
                  </w:r>
                  <w:r>
                    <w:rPr>
                      <w:rFonts w:hint="eastAsia"/>
                      <w:sz w:val="21"/>
                      <w:szCs w:val="21"/>
                      <w:lang w:val="en-US"/>
                    </w:rPr>
                    <w:t>、氟化物</w:t>
                  </w:r>
                </w:p>
              </w:tc>
              <w:tc>
                <w:tcPr>
                  <w:tcW w:w="1320" w:type="dxa"/>
                  <w:vAlign w:val="center"/>
                </w:tcPr>
                <w:p>
                  <w:pPr>
                    <w:pStyle w:val="76"/>
                    <w:rPr>
                      <w:sz w:val="21"/>
                      <w:szCs w:val="21"/>
                      <w:lang w:val="en-US"/>
                    </w:rPr>
                  </w:pPr>
                  <w:r>
                    <w:rPr>
                      <w:rFonts w:hint="eastAsia"/>
                      <w:sz w:val="21"/>
                      <w:szCs w:val="21"/>
                      <w:lang w:val="en-US"/>
                    </w:rPr>
                    <w:t>项目所在地</w:t>
                  </w:r>
                </w:p>
              </w:tc>
              <w:tc>
                <w:tcPr>
                  <w:tcW w:w="815" w:type="dxa"/>
                  <w:vAlign w:val="center"/>
                </w:tcPr>
                <w:p>
                  <w:pPr>
                    <w:pStyle w:val="76"/>
                    <w:rPr>
                      <w:sz w:val="21"/>
                      <w:szCs w:val="21"/>
                      <w:lang w:val="en-US"/>
                    </w:rPr>
                  </w:pPr>
                  <w:r>
                    <w:rPr>
                      <w:rFonts w:hint="eastAsia"/>
                      <w:sz w:val="21"/>
                      <w:szCs w:val="21"/>
                      <w:lang w:val="en-US"/>
                    </w:rPr>
                    <w:t>1个点</w:t>
                  </w:r>
                </w:p>
              </w:tc>
              <w:tc>
                <w:tcPr>
                  <w:tcW w:w="1099" w:type="dxa"/>
                  <w:vAlign w:val="center"/>
                </w:tcPr>
                <w:p>
                  <w:pPr>
                    <w:pStyle w:val="76"/>
                    <w:rPr>
                      <w:sz w:val="21"/>
                      <w:szCs w:val="21"/>
                      <w:lang w:val="en-US"/>
                    </w:rPr>
                  </w:pPr>
                  <w:r>
                    <w:rPr>
                      <w:sz w:val="21"/>
                      <w:szCs w:val="21"/>
                      <w:lang w:val="en-US"/>
                    </w:rPr>
                    <w:t>1次/</w:t>
                  </w:r>
                  <w:r>
                    <w:rPr>
                      <w:rFonts w:hint="eastAsia"/>
                      <w:sz w:val="21"/>
                      <w:szCs w:val="21"/>
                      <w:lang w:val="en-US"/>
                    </w:rPr>
                    <w:t>半年</w:t>
                  </w:r>
                </w:p>
              </w:tc>
              <w:tc>
                <w:tcPr>
                  <w:tcW w:w="3018" w:type="dxa"/>
                  <w:vAlign w:val="center"/>
                </w:tcPr>
                <w:p>
                  <w:pPr>
                    <w:pStyle w:val="76"/>
                    <w:jc w:val="both"/>
                    <w:rPr>
                      <w:bCs/>
                      <w:sz w:val="21"/>
                      <w:szCs w:val="21"/>
                      <w:lang w:val="en-US"/>
                    </w:rPr>
                  </w:pPr>
                  <w:r>
                    <w:rPr>
                      <w:rFonts w:hint="eastAsia"/>
                      <w:bCs/>
                      <w:sz w:val="21"/>
                      <w:szCs w:val="21"/>
                      <w:lang w:val="en-US"/>
                    </w:rPr>
                    <w:t>《砖瓦工业大气污染排放标准》（GB29620-2013）表3</w:t>
                  </w:r>
                  <w:r>
                    <w:rPr>
                      <w:rFonts w:hint="eastAsia"/>
                      <w:sz w:val="21"/>
                      <w:szCs w:val="21"/>
                    </w:rPr>
                    <w:t>中厂界排放标准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pStyle w:val="76"/>
                    <w:rPr>
                      <w:sz w:val="21"/>
                      <w:szCs w:val="21"/>
                      <w:lang w:val="en-US"/>
                    </w:rPr>
                  </w:pPr>
                </w:p>
              </w:tc>
              <w:tc>
                <w:tcPr>
                  <w:tcW w:w="829" w:type="dxa"/>
                  <w:vAlign w:val="center"/>
                </w:tcPr>
                <w:p>
                  <w:pPr>
                    <w:pStyle w:val="76"/>
                    <w:rPr>
                      <w:sz w:val="21"/>
                      <w:szCs w:val="21"/>
                      <w:lang w:val="en-US"/>
                    </w:rPr>
                  </w:pPr>
                  <w:r>
                    <w:rPr>
                      <w:rFonts w:hint="eastAsia"/>
                      <w:sz w:val="21"/>
                      <w:szCs w:val="21"/>
                      <w:lang w:val="en-US"/>
                    </w:rPr>
                    <w:t>环境质量</w:t>
                  </w:r>
                </w:p>
              </w:tc>
              <w:tc>
                <w:tcPr>
                  <w:tcW w:w="1317" w:type="dxa"/>
                  <w:vAlign w:val="center"/>
                </w:tcPr>
                <w:p>
                  <w:pPr>
                    <w:pStyle w:val="76"/>
                    <w:rPr>
                      <w:sz w:val="21"/>
                      <w:szCs w:val="21"/>
                      <w:lang w:val="en-US"/>
                    </w:rPr>
                  </w:pPr>
                  <w:r>
                    <w:rPr>
                      <w:lang w:val="en-US"/>
                    </w:rPr>
                    <w:t>SO</w:t>
                  </w:r>
                  <w:r>
                    <w:rPr>
                      <w:vertAlign w:val="subscript"/>
                      <w:lang w:val="en-US"/>
                    </w:rPr>
                    <w:t>2</w:t>
                  </w:r>
                  <w:r>
                    <w:rPr>
                      <w:rFonts w:hint="eastAsia"/>
                    </w:rPr>
                    <w:t>、</w:t>
                  </w:r>
                  <w:r>
                    <w:rPr>
                      <w:lang w:val="en-US"/>
                    </w:rPr>
                    <w:t>NO</w:t>
                  </w:r>
                  <w:r>
                    <w:rPr>
                      <w:vertAlign w:val="subscript"/>
                      <w:lang w:val="en-US"/>
                    </w:rPr>
                    <w:t>2</w:t>
                  </w:r>
                  <w:r>
                    <w:rPr>
                      <w:rFonts w:hint="eastAsia"/>
                    </w:rPr>
                    <w:t>、</w:t>
                  </w:r>
                  <w:r>
                    <w:rPr>
                      <w:lang w:val="en-US"/>
                    </w:rPr>
                    <w:t>PM</w:t>
                  </w:r>
                  <w:r>
                    <w:rPr>
                      <w:vertAlign w:val="subscript"/>
                      <w:lang w:val="en-US"/>
                    </w:rPr>
                    <w:t>10</w:t>
                  </w:r>
                  <w:r>
                    <w:rPr>
                      <w:rFonts w:hint="eastAsia"/>
                    </w:rPr>
                    <w:t>、</w:t>
                  </w:r>
                  <w:r>
                    <w:rPr>
                      <w:lang w:val="en-US"/>
                    </w:rPr>
                    <w:t>PM</w:t>
                  </w:r>
                  <w:r>
                    <w:rPr>
                      <w:rFonts w:hint="eastAsia"/>
                      <w:vertAlign w:val="subscript"/>
                      <w:lang w:val="en-US"/>
                    </w:rPr>
                    <w:t>2.5</w:t>
                  </w:r>
                  <w:r>
                    <w:rPr>
                      <w:rFonts w:hint="eastAsia"/>
                    </w:rPr>
                    <w:t>、</w:t>
                  </w:r>
                  <w:r>
                    <w:rPr>
                      <w:rFonts w:hint="eastAsia"/>
                      <w:lang w:val="en-US"/>
                    </w:rPr>
                    <w:t>TSP</w:t>
                  </w:r>
                </w:p>
              </w:tc>
              <w:tc>
                <w:tcPr>
                  <w:tcW w:w="1320" w:type="dxa"/>
                  <w:vAlign w:val="center"/>
                </w:tcPr>
                <w:p>
                  <w:pPr>
                    <w:pStyle w:val="76"/>
                    <w:rPr>
                      <w:sz w:val="21"/>
                      <w:szCs w:val="21"/>
                      <w:lang w:val="en-US"/>
                    </w:rPr>
                  </w:pPr>
                  <w:r>
                    <w:rPr>
                      <w:rFonts w:hint="eastAsia"/>
                      <w:szCs w:val="21"/>
                    </w:rPr>
                    <w:t>蚕姑沟村</w:t>
                  </w:r>
                </w:p>
              </w:tc>
              <w:tc>
                <w:tcPr>
                  <w:tcW w:w="815" w:type="dxa"/>
                  <w:vAlign w:val="center"/>
                </w:tcPr>
                <w:p>
                  <w:pPr>
                    <w:pStyle w:val="76"/>
                    <w:rPr>
                      <w:sz w:val="21"/>
                      <w:szCs w:val="21"/>
                      <w:lang w:val="en-US"/>
                    </w:rPr>
                  </w:pPr>
                  <w:r>
                    <w:rPr>
                      <w:rFonts w:hint="eastAsia"/>
                      <w:sz w:val="21"/>
                      <w:szCs w:val="21"/>
                      <w:lang w:val="en-US"/>
                    </w:rPr>
                    <w:t>1个点</w:t>
                  </w:r>
                </w:p>
              </w:tc>
              <w:tc>
                <w:tcPr>
                  <w:tcW w:w="1099" w:type="dxa"/>
                  <w:vAlign w:val="center"/>
                </w:tcPr>
                <w:p>
                  <w:pPr>
                    <w:pStyle w:val="76"/>
                    <w:rPr>
                      <w:sz w:val="21"/>
                      <w:szCs w:val="21"/>
                      <w:lang w:val="en-US"/>
                    </w:rPr>
                  </w:pPr>
                  <w:r>
                    <w:rPr>
                      <w:sz w:val="21"/>
                      <w:szCs w:val="21"/>
                      <w:lang w:val="en-US"/>
                    </w:rPr>
                    <w:t>1次/</w:t>
                  </w:r>
                  <w:r>
                    <w:rPr>
                      <w:rFonts w:hint="eastAsia"/>
                      <w:sz w:val="21"/>
                      <w:szCs w:val="21"/>
                      <w:lang w:val="en-US"/>
                    </w:rPr>
                    <w:t>半年</w:t>
                  </w:r>
                </w:p>
              </w:tc>
              <w:tc>
                <w:tcPr>
                  <w:tcW w:w="3018" w:type="dxa"/>
                  <w:vAlign w:val="center"/>
                </w:tcPr>
                <w:p>
                  <w:pPr>
                    <w:pStyle w:val="76"/>
                    <w:jc w:val="both"/>
                    <w:rPr>
                      <w:sz w:val="21"/>
                      <w:szCs w:val="21"/>
                    </w:rPr>
                  </w:pPr>
                  <w:r>
                    <w:rPr>
                      <w:rFonts w:hint="eastAsia"/>
                      <w:sz w:val="21"/>
                      <w:szCs w:val="21"/>
                    </w:rPr>
                    <w:t>《环境空气质量标准》（GB3095-2012）的二级标准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5" w:type="dxa"/>
                  <w:gridSpan w:val="2"/>
                  <w:vMerge w:val="restart"/>
                  <w:vAlign w:val="center"/>
                </w:tcPr>
                <w:p>
                  <w:pPr>
                    <w:spacing w:line="300" w:lineRule="exact"/>
                    <w:jc w:val="center"/>
                    <w:rPr>
                      <w:szCs w:val="21"/>
                    </w:rPr>
                  </w:pPr>
                  <w:r>
                    <w:rPr>
                      <w:rFonts w:hAnsi="宋体"/>
                      <w:szCs w:val="21"/>
                    </w:rPr>
                    <w:t>噪声</w:t>
                  </w:r>
                </w:p>
              </w:tc>
              <w:tc>
                <w:tcPr>
                  <w:tcW w:w="1317" w:type="dxa"/>
                  <w:vMerge w:val="restart"/>
                  <w:vAlign w:val="center"/>
                </w:tcPr>
                <w:p>
                  <w:pPr>
                    <w:spacing w:line="300" w:lineRule="exact"/>
                    <w:jc w:val="center"/>
                    <w:rPr>
                      <w:szCs w:val="21"/>
                    </w:rPr>
                  </w:pPr>
                  <w:r>
                    <w:rPr>
                      <w:szCs w:val="21"/>
                    </w:rPr>
                    <w:t>Leq(A)</w:t>
                  </w:r>
                </w:p>
              </w:tc>
              <w:tc>
                <w:tcPr>
                  <w:tcW w:w="1320" w:type="dxa"/>
                  <w:vAlign w:val="center"/>
                </w:tcPr>
                <w:p>
                  <w:pPr>
                    <w:spacing w:line="300" w:lineRule="exact"/>
                    <w:jc w:val="center"/>
                    <w:rPr>
                      <w:szCs w:val="21"/>
                    </w:rPr>
                  </w:pPr>
                  <w:r>
                    <w:rPr>
                      <w:rFonts w:hint="eastAsia" w:hAnsi="宋体"/>
                      <w:szCs w:val="21"/>
                    </w:rPr>
                    <w:t>厂</w:t>
                  </w:r>
                  <w:r>
                    <w:rPr>
                      <w:rFonts w:hAnsi="宋体"/>
                      <w:szCs w:val="21"/>
                    </w:rPr>
                    <w:t>界四周</w:t>
                  </w:r>
                  <w:r>
                    <w:rPr>
                      <w:rFonts w:hint="eastAsia" w:hAnsi="宋体"/>
                      <w:szCs w:val="21"/>
                    </w:rPr>
                    <w:t>及</w:t>
                  </w:r>
                </w:p>
              </w:tc>
              <w:tc>
                <w:tcPr>
                  <w:tcW w:w="815" w:type="dxa"/>
                  <w:vAlign w:val="center"/>
                </w:tcPr>
                <w:p>
                  <w:pPr>
                    <w:spacing w:line="300" w:lineRule="exact"/>
                    <w:jc w:val="center"/>
                    <w:rPr>
                      <w:szCs w:val="21"/>
                    </w:rPr>
                  </w:pPr>
                  <w:r>
                    <w:rPr>
                      <w:szCs w:val="21"/>
                    </w:rPr>
                    <w:t>4</w:t>
                  </w:r>
                  <w:r>
                    <w:rPr>
                      <w:rFonts w:hAnsi="宋体"/>
                      <w:szCs w:val="21"/>
                    </w:rPr>
                    <w:t>个点</w:t>
                  </w:r>
                </w:p>
              </w:tc>
              <w:tc>
                <w:tcPr>
                  <w:tcW w:w="1099" w:type="dxa"/>
                  <w:vAlign w:val="center"/>
                </w:tcPr>
                <w:p>
                  <w:pPr>
                    <w:spacing w:line="300" w:lineRule="exact"/>
                    <w:jc w:val="center"/>
                    <w:rPr>
                      <w:szCs w:val="21"/>
                    </w:rPr>
                  </w:pPr>
                  <w:r>
                    <w:rPr>
                      <w:rFonts w:hint="eastAsia" w:hAnsi="宋体"/>
                      <w:szCs w:val="21"/>
                    </w:rPr>
                    <w:t>每季度</w:t>
                  </w:r>
                  <w:r>
                    <w:rPr>
                      <w:szCs w:val="21"/>
                    </w:rPr>
                    <w:t>1</w:t>
                  </w:r>
                  <w:r>
                    <w:rPr>
                      <w:rFonts w:hAnsi="宋体"/>
                      <w:szCs w:val="21"/>
                    </w:rPr>
                    <w:t>次</w:t>
                  </w:r>
                </w:p>
              </w:tc>
              <w:tc>
                <w:tcPr>
                  <w:tcW w:w="3018" w:type="dxa"/>
                  <w:vAlign w:val="center"/>
                </w:tcPr>
                <w:p>
                  <w:pPr>
                    <w:spacing w:line="300" w:lineRule="exact"/>
                    <w:rPr>
                      <w:szCs w:val="21"/>
                    </w:rPr>
                  </w:pPr>
                  <w:r>
                    <w:rPr>
                      <w:rFonts w:hAnsi="宋体"/>
                      <w:szCs w:val="21"/>
                    </w:rPr>
                    <w:t>达到</w:t>
                  </w:r>
                  <w:r>
                    <w:rPr>
                      <w:rFonts w:hAnsi="宋体"/>
                      <w:bCs/>
                      <w:szCs w:val="21"/>
                    </w:rPr>
                    <w:t>《工业企业厂界环境噪声排放标准》</w:t>
                  </w:r>
                  <w:r>
                    <w:rPr>
                      <w:rFonts w:hint="eastAsia"/>
                      <w:bCs/>
                      <w:szCs w:val="21"/>
                    </w:rPr>
                    <w:t>（</w:t>
                  </w:r>
                  <w:r>
                    <w:rPr>
                      <w:bCs/>
                      <w:szCs w:val="21"/>
                    </w:rPr>
                    <w:t>GB12348-2008</w:t>
                  </w:r>
                  <w:r>
                    <w:rPr>
                      <w:rFonts w:hint="eastAsia"/>
                      <w:bCs/>
                      <w:szCs w:val="21"/>
                    </w:rPr>
                    <w:t>）</w:t>
                  </w:r>
                  <w:r>
                    <w:rPr>
                      <w:rFonts w:hAnsi="宋体"/>
                      <w:szCs w:val="21"/>
                    </w:rPr>
                    <w:t>中</w:t>
                  </w:r>
                  <w:r>
                    <w:rPr>
                      <w:szCs w:val="21"/>
                    </w:rPr>
                    <w:t>2</w:t>
                  </w:r>
                  <w:r>
                    <w:rPr>
                      <w:rFonts w:hAnsi="宋体"/>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55" w:type="dxa"/>
                  <w:gridSpan w:val="2"/>
                  <w:vMerge w:val="continue"/>
                  <w:vAlign w:val="center"/>
                </w:tcPr>
                <w:p>
                  <w:pPr>
                    <w:spacing w:line="300" w:lineRule="exact"/>
                    <w:jc w:val="center"/>
                    <w:rPr>
                      <w:rFonts w:hAnsi="宋体"/>
                      <w:szCs w:val="21"/>
                    </w:rPr>
                  </w:pPr>
                </w:p>
              </w:tc>
              <w:tc>
                <w:tcPr>
                  <w:tcW w:w="1317" w:type="dxa"/>
                  <w:vMerge w:val="continue"/>
                  <w:vAlign w:val="center"/>
                </w:tcPr>
                <w:p>
                  <w:pPr>
                    <w:spacing w:line="300" w:lineRule="exact"/>
                    <w:jc w:val="center"/>
                    <w:rPr>
                      <w:szCs w:val="21"/>
                    </w:rPr>
                  </w:pPr>
                </w:p>
              </w:tc>
              <w:tc>
                <w:tcPr>
                  <w:tcW w:w="1320" w:type="dxa"/>
                  <w:vAlign w:val="center"/>
                </w:tcPr>
                <w:p>
                  <w:pPr>
                    <w:spacing w:line="300" w:lineRule="exact"/>
                    <w:jc w:val="center"/>
                    <w:rPr>
                      <w:rFonts w:hAnsi="宋体"/>
                      <w:szCs w:val="21"/>
                    </w:rPr>
                  </w:pPr>
                  <w:r>
                    <w:rPr>
                      <w:rFonts w:hint="eastAsia" w:hAnsi="宋体"/>
                      <w:szCs w:val="21"/>
                    </w:rPr>
                    <w:t>蚕姑沟村</w:t>
                  </w:r>
                </w:p>
              </w:tc>
              <w:tc>
                <w:tcPr>
                  <w:tcW w:w="815" w:type="dxa"/>
                  <w:vAlign w:val="center"/>
                </w:tcPr>
                <w:p>
                  <w:pPr>
                    <w:spacing w:line="300" w:lineRule="exact"/>
                    <w:jc w:val="center"/>
                    <w:rPr>
                      <w:szCs w:val="21"/>
                    </w:rPr>
                  </w:pPr>
                  <w:r>
                    <w:rPr>
                      <w:szCs w:val="21"/>
                    </w:rPr>
                    <w:t>4</w:t>
                  </w:r>
                  <w:r>
                    <w:rPr>
                      <w:rFonts w:hAnsi="宋体"/>
                      <w:szCs w:val="21"/>
                    </w:rPr>
                    <w:t>个点</w:t>
                  </w:r>
                </w:p>
              </w:tc>
              <w:tc>
                <w:tcPr>
                  <w:tcW w:w="1099" w:type="dxa"/>
                  <w:vAlign w:val="center"/>
                </w:tcPr>
                <w:p>
                  <w:pPr>
                    <w:spacing w:line="300" w:lineRule="exact"/>
                    <w:jc w:val="center"/>
                    <w:rPr>
                      <w:rFonts w:hAnsi="宋体"/>
                      <w:szCs w:val="21"/>
                    </w:rPr>
                  </w:pPr>
                  <w:r>
                    <w:rPr>
                      <w:rFonts w:hint="eastAsia" w:hAnsi="宋体"/>
                      <w:szCs w:val="21"/>
                    </w:rPr>
                    <w:t>每季度</w:t>
                  </w:r>
                  <w:r>
                    <w:rPr>
                      <w:szCs w:val="21"/>
                    </w:rPr>
                    <w:t>1</w:t>
                  </w:r>
                  <w:r>
                    <w:rPr>
                      <w:rFonts w:hAnsi="宋体"/>
                      <w:szCs w:val="21"/>
                    </w:rPr>
                    <w:t>次</w:t>
                  </w:r>
                </w:p>
              </w:tc>
              <w:tc>
                <w:tcPr>
                  <w:tcW w:w="3018" w:type="dxa"/>
                  <w:vAlign w:val="center"/>
                </w:tcPr>
                <w:p>
                  <w:pPr>
                    <w:spacing w:line="300" w:lineRule="exact"/>
                    <w:rPr>
                      <w:rFonts w:hAnsi="宋体"/>
                      <w:szCs w:val="21"/>
                    </w:rPr>
                  </w:pPr>
                  <w:r>
                    <w:rPr>
                      <w:rFonts w:hint="eastAsia" w:hAnsi="宋体"/>
                      <w:szCs w:val="21"/>
                    </w:rPr>
                    <w:t>《声环境质量标准》（GB3096-2008）中的2类标准</w:t>
                  </w:r>
                </w:p>
              </w:tc>
            </w:tr>
          </w:tbl>
          <w:p>
            <w:pPr>
              <w:spacing w:line="360" w:lineRule="auto"/>
              <w:ind w:firstLine="482" w:firstLineChars="200"/>
              <w:rPr>
                <w:b/>
                <w:sz w:val="24"/>
              </w:rPr>
            </w:pPr>
            <w:r>
              <w:rPr>
                <w:rFonts w:hint="eastAsia"/>
                <w:b/>
                <w:sz w:val="24"/>
              </w:rPr>
              <w:t>八</w:t>
            </w:r>
            <w:r>
              <w:rPr>
                <w:rFonts w:hAnsi="宋体"/>
                <w:b/>
                <w:sz w:val="24"/>
              </w:rPr>
              <w:t>、项目竣工环保验收管理</w:t>
            </w:r>
          </w:p>
          <w:p>
            <w:pPr>
              <w:spacing w:line="360" w:lineRule="auto"/>
              <w:ind w:firstLine="480" w:firstLineChars="200"/>
              <w:rPr>
                <w:sz w:val="24"/>
                <w:szCs w:val="24"/>
              </w:rPr>
            </w:pPr>
            <w:r>
              <w:rPr>
                <w:rFonts w:hint="eastAsia"/>
                <w:sz w:val="24"/>
              </w:rPr>
              <w:t>本</w:t>
            </w:r>
            <w:r>
              <w:rPr>
                <w:rFonts w:hAnsi="宋体"/>
                <w:sz w:val="24"/>
              </w:rPr>
              <w:t>项目</w:t>
            </w:r>
            <w:r>
              <w:rPr>
                <w:rFonts w:hint="eastAsia" w:hAnsi="宋体"/>
                <w:sz w:val="24"/>
              </w:rPr>
              <w:t>建设</w:t>
            </w:r>
            <w:r>
              <w:rPr>
                <w:rFonts w:hAnsi="宋体"/>
                <w:sz w:val="24"/>
              </w:rPr>
              <w:t>竣工验收清单见表</w:t>
            </w:r>
            <w:r>
              <w:rPr>
                <w:rFonts w:hint="eastAsia" w:hAnsi="宋体"/>
                <w:sz w:val="24"/>
              </w:rPr>
              <w:t>58</w:t>
            </w:r>
            <w:r>
              <w:rPr>
                <w:rFonts w:hAnsi="宋体"/>
                <w:sz w:val="24"/>
              </w:rPr>
              <w:t>。</w:t>
            </w:r>
          </w:p>
          <w:p>
            <w:pPr>
              <w:jc w:val="center"/>
              <w:rPr>
                <w:rFonts w:hAnsi="宋体"/>
                <w:b/>
                <w:szCs w:val="21"/>
              </w:rPr>
            </w:pPr>
            <w:r>
              <w:rPr>
                <w:rFonts w:hAnsi="宋体"/>
                <w:b/>
                <w:szCs w:val="21"/>
              </w:rPr>
              <w:t>表</w:t>
            </w:r>
            <w:r>
              <w:rPr>
                <w:rFonts w:hint="eastAsia" w:hAnsi="宋体"/>
                <w:b/>
                <w:szCs w:val="21"/>
              </w:rPr>
              <w:t>58</w:t>
            </w:r>
            <w:r>
              <w:rPr>
                <w:b/>
                <w:szCs w:val="21"/>
              </w:rPr>
              <w:t xml:space="preserve">   </w:t>
            </w:r>
            <w:r>
              <w:rPr>
                <w:rFonts w:hAnsi="宋体"/>
                <w:b/>
                <w:szCs w:val="21"/>
              </w:rPr>
              <w:t>项目竣工验收一览表</w:t>
            </w:r>
          </w:p>
          <w:tbl>
            <w:tblPr>
              <w:tblStyle w:val="24"/>
              <w:tblW w:w="8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1276"/>
              <w:gridCol w:w="2552"/>
              <w:gridCol w:w="708"/>
              <w:gridCol w:w="1421"/>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722" w:type="dxa"/>
                  <w:gridSpan w:val="2"/>
                  <w:tcBorders>
                    <w:top w:val="single" w:color="auto" w:sz="12" w:space="0"/>
                    <w:left w:val="nil"/>
                  </w:tcBorders>
                  <w:vAlign w:val="center"/>
                </w:tcPr>
                <w:p>
                  <w:pPr>
                    <w:jc w:val="center"/>
                    <w:rPr>
                      <w:szCs w:val="21"/>
                    </w:rPr>
                  </w:pPr>
                  <w:r>
                    <w:rPr>
                      <w:rFonts w:hint="eastAsia"/>
                      <w:szCs w:val="21"/>
                    </w:rPr>
                    <w:t>污染源类别</w:t>
                  </w:r>
                </w:p>
              </w:tc>
              <w:tc>
                <w:tcPr>
                  <w:tcW w:w="2552" w:type="dxa"/>
                  <w:tcBorders>
                    <w:top w:val="single" w:color="auto" w:sz="12" w:space="0"/>
                  </w:tcBorders>
                  <w:vAlign w:val="center"/>
                </w:tcPr>
                <w:p>
                  <w:pPr>
                    <w:jc w:val="center"/>
                    <w:rPr>
                      <w:szCs w:val="21"/>
                    </w:rPr>
                  </w:pPr>
                  <w:r>
                    <w:rPr>
                      <w:rFonts w:hint="eastAsia"/>
                      <w:szCs w:val="21"/>
                    </w:rPr>
                    <w:t>防治措施</w:t>
                  </w:r>
                </w:p>
              </w:tc>
              <w:tc>
                <w:tcPr>
                  <w:tcW w:w="708" w:type="dxa"/>
                  <w:tcBorders>
                    <w:top w:val="single" w:color="auto" w:sz="12" w:space="0"/>
                  </w:tcBorders>
                  <w:vAlign w:val="center"/>
                </w:tcPr>
                <w:p>
                  <w:pPr>
                    <w:jc w:val="center"/>
                    <w:rPr>
                      <w:szCs w:val="21"/>
                    </w:rPr>
                  </w:pPr>
                  <w:r>
                    <w:rPr>
                      <w:rFonts w:hint="eastAsia"/>
                      <w:szCs w:val="21"/>
                    </w:rPr>
                    <w:t>数量</w:t>
                  </w:r>
                </w:p>
              </w:tc>
              <w:tc>
                <w:tcPr>
                  <w:tcW w:w="1421" w:type="dxa"/>
                  <w:tcBorders>
                    <w:top w:val="single" w:color="auto" w:sz="12" w:space="0"/>
                    <w:right w:val="single" w:color="auto" w:sz="2" w:space="0"/>
                  </w:tcBorders>
                  <w:vAlign w:val="center"/>
                </w:tcPr>
                <w:p>
                  <w:pPr>
                    <w:jc w:val="center"/>
                    <w:rPr>
                      <w:szCs w:val="21"/>
                    </w:rPr>
                  </w:pPr>
                  <w:r>
                    <w:rPr>
                      <w:rFonts w:hint="eastAsia"/>
                      <w:szCs w:val="21"/>
                    </w:rPr>
                    <w:t>位置</w:t>
                  </w:r>
                </w:p>
              </w:tc>
              <w:tc>
                <w:tcPr>
                  <w:tcW w:w="2421" w:type="dxa"/>
                  <w:tcBorders>
                    <w:top w:val="single" w:color="auto" w:sz="12" w:space="0"/>
                    <w:left w:val="single" w:color="auto" w:sz="2" w:space="0"/>
                    <w:right w:val="nil"/>
                  </w:tcBorders>
                  <w:vAlign w:val="center"/>
                </w:tcPr>
                <w:p>
                  <w:pPr>
                    <w:jc w:val="center"/>
                    <w:rPr>
                      <w:szCs w:val="21"/>
                    </w:rPr>
                  </w:pPr>
                  <w:r>
                    <w:rPr>
                      <w:rFonts w:hint="eastAsia"/>
                      <w:szCs w:val="21"/>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46" w:type="dxa"/>
                  <w:vMerge w:val="restart"/>
                  <w:tcBorders>
                    <w:left w:val="nil"/>
                  </w:tcBorders>
                  <w:vAlign w:val="center"/>
                </w:tcPr>
                <w:p>
                  <w:pPr>
                    <w:jc w:val="center"/>
                    <w:rPr>
                      <w:szCs w:val="21"/>
                    </w:rPr>
                  </w:pPr>
                  <w:r>
                    <w:rPr>
                      <w:rFonts w:hint="eastAsia"/>
                      <w:szCs w:val="21"/>
                    </w:rPr>
                    <w:t>废气</w:t>
                  </w:r>
                </w:p>
              </w:tc>
              <w:tc>
                <w:tcPr>
                  <w:tcW w:w="1276" w:type="dxa"/>
                  <w:vAlign w:val="center"/>
                </w:tcPr>
                <w:p>
                  <w:pPr>
                    <w:jc w:val="center"/>
                    <w:rPr>
                      <w:szCs w:val="21"/>
                    </w:rPr>
                  </w:pPr>
                  <w:r>
                    <w:rPr>
                      <w:rFonts w:hint="eastAsia"/>
                      <w:szCs w:val="21"/>
                    </w:rPr>
                    <w:t>隧道窑焙烧废气</w:t>
                  </w:r>
                </w:p>
              </w:tc>
              <w:tc>
                <w:tcPr>
                  <w:tcW w:w="2552" w:type="dxa"/>
                  <w:vAlign w:val="center"/>
                </w:tcPr>
                <w:p>
                  <w:pPr>
                    <w:jc w:val="center"/>
                    <w:rPr>
                      <w:szCs w:val="21"/>
                    </w:rPr>
                  </w:pPr>
                  <w:r>
                    <w:rPr>
                      <w:rFonts w:hint="eastAsia"/>
                      <w:szCs w:val="21"/>
                    </w:rPr>
                    <w:t>燃用天然气，废气经隧道窑排烟系统排气系统收集后，由15m排气筒排放</w:t>
                  </w:r>
                </w:p>
              </w:tc>
              <w:tc>
                <w:tcPr>
                  <w:tcW w:w="708" w:type="dxa"/>
                  <w:vAlign w:val="center"/>
                </w:tcPr>
                <w:p>
                  <w:pPr>
                    <w:jc w:val="center"/>
                    <w:rPr>
                      <w:szCs w:val="21"/>
                    </w:rPr>
                  </w:pPr>
                  <w:r>
                    <w:rPr>
                      <w:rFonts w:hint="eastAsia"/>
                      <w:szCs w:val="21"/>
                    </w:rPr>
                    <w:t>1套</w:t>
                  </w:r>
                </w:p>
              </w:tc>
              <w:tc>
                <w:tcPr>
                  <w:tcW w:w="1421" w:type="dxa"/>
                  <w:tcBorders>
                    <w:right w:val="single" w:color="auto" w:sz="2" w:space="0"/>
                  </w:tcBorders>
                  <w:vAlign w:val="center"/>
                </w:tcPr>
                <w:p>
                  <w:pPr>
                    <w:adjustRightInd w:val="0"/>
                    <w:snapToGrid w:val="0"/>
                    <w:jc w:val="center"/>
                    <w:rPr>
                      <w:szCs w:val="21"/>
                    </w:rPr>
                  </w:pPr>
                  <w:r>
                    <w:rPr>
                      <w:rFonts w:hint="eastAsia"/>
                      <w:szCs w:val="21"/>
                    </w:rPr>
                    <w:t>隧道窑</w:t>
                  </w:r>
                </w:p>
              </w:tc>
              <w:tc>
                <w:tcPr>
                  <w:tcW w:w="2421" w:type="dxa"/>
                  <w:vMerge w:val="restart"/>
                  <w:tcBorders>
                    <w:left w:val="single" w:color="auto" w:sz="2" w:space="0"/>
                    <w:right w:val="nil"/>
                  </w:tcBorders>
                  <w:vAlign w:val="center"/>
                </w:tcPr>
                <w:p>
                  <w:pPr>
                    <w:adjustRightInd w:val="0"/>
                    <w:snapToGrid w:val="0"/>
                    <w:rPr>
                      <w:szCs w:val="21"/>
                    </w:rPr>
                  </w:pPr>
                  <w:r>
                    <w:rPr>
                      <w:rFonts w:hint="eastAsia"/>
                      <w:bCs/>
                      <w:color w:val="0070C0"/>
                      <w:szCs w:val="21"/>
                    </w:rPr>
                    <w:t>《关中地区重点行业大气污染物排放标准》（GB61 1226-2018）中的表7砖瓦工业大气污染物排放浓度限值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46" w:type="dxa"/>
                  <w:vMerge w:val="continue"/>
                  <w:tcBorders>
                    <w:left w:val="nil"/>
                  </w:tcBorders>
                  <w:vAlign w:val="center"/>
                </w:tcPr>
                <w:p>
                  <w:pPr>
                    <w:jc w:val="center"/>
                    <w:rPr>
                      <w:szCs w:val="21"/>
                    </w:rPr>
                  </w:pPr>
                </w:p>
              </w:tc>
              <w:tc>
                <w:tcPr>
                  <w:tcW w:w="1276" w:type="dxa"/>
                  <w:vAlign w:val="center"/>
                </w:tcPr>
                <w:p>
                  <w:pPr>
                    <w:jc w:val="center"/>
                    <w:rPr>
                      <w:szCs w:val="21"/>
                    </w:rPr>
                  </w:pPr>
                  <w:r>
                    <w:rPr>
                      <w:rFonts w:hint="eastAsia"/>
                      <w:szCs w:val="21"/>
                    </w:rPr>
                    <w:t>干燥室废气</w:t>
                  </w:r>
                </w:p>
              </w:tc>
              <w:tc>
                <w:tcPr>
                  <w:tcW w:w="2552" w:type="dxa"/>
                  <w:vAlign w:val="center"/>
                </w:tcPr>
                <w:p>
                  <w:pPr>
                    <w:jc w:val="center"/>
                    <w:rPr>
                      <w:szCs w:val="21"/>
                    </w:rPr>
                  </w:pPr>
                  <w:r>
                    <w:rPr>
                      <w:rFonts w:hint="eastAsia"/>
                      <w:szCs w:val="21"/>
                    </w:rPr>
                    <w:t>干燥室排气系统收集后，由15m排气筒排放</w:t>
                  </w:r>
                </w:p>
              </w:tc>
              <w:tc>
                <w:tcPr>
                  <w:tcW w:w="708" w:type="dxa"/>
                  <w:vAlign w:val="center"/>
                </w:tcPr>
                <w:p>
                  <w:pPr>
                    <w:jc w:val="center"/>
                    <w:rPr>
                      <w:szCs w:val="21"/>
                    </w:rPr>
                  </w:pPr>
                  <w:r>
                    <w:rPr>
                      <w:rFonts w:hint="eastAsia"/>
                      <w:szCs w:val="21"/>
                    </w:rPr>
                    <w:t>3套</w:t>
                  </w:r>
                </w:p>
              </w:tc>
              <w:tc>
                <w:tcPr>
                  <w:tcW w:w="1421" w:type="dxa"/>
                  <w:tcBorders>
                    <w:right w:val="single" w:color="auto" w:sz="2" w:space="0"/>
                  </w:tcBorders>
                  <w:vAlign w:val="center"/>
                </w:tcPr>
                <w:p>
                  <w:pPr>
                    <w:adjustRightInd w:val="0"/>
                    <w:snapToGrid w:val="0"/>
                    <w:jc w:val="center"/>
                    <w:rPr>
                      <w:szCs w:val="21"/>
                    </w:rPr>
                  </w:pPr>
                  <w:r>
                    <w:rPr>
                      <w:rFonts w:hint="eastAsia"/>
                      <w:szCs w:val="21"/>
                    </w:rPr>
                    <w:t>干燥室</w:t>
                  </w:r>
                </w:p>
              </w:tc>
              <w:tc>
                <w:tcPr>
                  <w:tcW w:w="2421" w:type="dxa"/>
                  <w:vMerge w:val="continue"/>
                  <w:tcBorders>
                    <w:left w:val="single" w:color="auto" w:sz="2" w:space="0"/>
                    <w:right w:val="nil"/>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46" w:type="dxa"/>
                  <w:vMerge w:val="continue"/>
                  <w:tcBorders>
                    <w:left w:val="nil"/>
                  </w:tcBorders>
                  <w:vAlign w:val="center"/>
                </w:tcPr>
                <w:p>
                  <w:pPr>
                    <w:jc w:val="center"/>
                    <w:rPr>
                      <w:szCs w:val="21"/>
                    </w:rPr>
                  </w:pPr>
                </w:p>
              </w:tc>
              <w:tc>
                <w:tcPr>
                  <w:tcW w:w="1276" w:type="dxa"/>
                  <w:vAlign w:val="center"/>
                </w:tcPr>
                <w:p>
                  <w:pPr>
                    <w:jc w:val="center"/>
                    <w:rPr>
                      <w:szCs w:val="21"/>
                    </w:rPr>
                  </w:pPr>
                  <w:r>
                    <w:rPr>
                      <w:rFonts w:hint="eastAsia"/>
                      <w:szCs w:val="21"/>
                    </w:rPr>
                    <w:t>破碎粉尘</w:t>
                  </w:r>
                </w:p>
              </w:tc>
              <w:tc>
                <w:tcPr>
                  <w:tcW w:w="2552" w:type="dxa"/>
                  <w:vAlign w:val="center"/>
                </w:tcPr>
                <w:p>
                  <w:pPr>
                    <w:jc w:val="center"/>
                    <w:rPr>
                      <w:szCs w:val="21"/>
                    </w:rPr>
                  </w:pPr>
                  <w:r>
                    <w:rPr>
                      <w:rFonts w:hint="eastAsia"/>
                      <w:szCs w:val="21"/>
                    </w:rPr>
                    <w:t>集气罩收集后</w:t>
                  </w:r>
                  <w:r>
                    <w:rPr>
                      <w:rFonts w:hint="eastAsia"/>
                      <w:color w:val="0070C0"/>
                      <w:szCs w:val="21"/>
                    </w:rPr>
                    <w:t>经引风机进入袋式除尘器处理后，经15m高排气筒集中排放。</w:t>
                  </w:r>
                </w:p>
              </w:tc>
              <w:tc>
                <w:tcPr>
                  <w:tcW w:w="708" w:type="dxa"/>
                  <w:vAlign w:val="center"/>
                </w:tcPr>
                <w:p>
                  <w:pPr>
                    <w:jc w:val="center"/>
                    <w:rPr>
                      <w:szCs w:val="21"/>
                    </w:rPr>
                  </w:pPr>
                  <w:r>
                    <w:rPr>
                      <w:rFonts w:hint="eastAsia"/>
                      <w:szCs w:val="21"/>
                    </w:rPr>
                    <w:t>1套</w:t>
                  </w:r>
                </w:p>
              </w:tc>
              <w:tc>
                <w:tcPr>
                  <w:tcW w:w="1421" w:type="dxa"/>
                  <w:tcBorders>
                    <w:right w:val="single" w:color="auto" w:sz="2" w:space="0"/>
                  </w:tcBorders>
                  <w:vAlign w:val="center"/>
                </w:tcPr>
                <w:p>
                  <w:pPr>
                    <w:adjustRightInd w:val="0"/>
                    <w:snapToGrid w:val="0"/>
                    <w:jc w:val="center"/>
                    <w:rPr>
                      <w:szCs w:val="21"/>
                    </w:rPr>
                  </w:pPr>
                  <w:r>
                    <w:rPr>
                      <w:rFonts w:hint="eastAsia"/>
                      <w:szCs w:val="21"/>
                    </w:rPr>
                    <w:t>破碎区</w:t>
                  </w:r>
                </w:p>
              </w:tc>
              <w:tc>
                <w:tcPr>
                  <w:tcW w:w="2421" w:type="dxa"/>
                  <w:vMerge w:val="continue"/>
                  <w:tcBorders>
                    <w:left w:val="single" w:color="auto" w:sz="2" w:space="0"/>
                    <w:right w:val="nil"/>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46" w:type="dxa"/>
                  <w:vMerge w:val="continue"/>
                  <w:tcBorders>
                    <w:left w:val="nil"/>
                  </w:tcBorders>
                  <w:vAlign w:val="center"/>
                </w:tcPr>
                <w:p>
                  <w:pPr>
                    <w:jc w:val="center"/>
                    <w:rPr>
                      <w:szCs w:val="21"/>
                    </w:rPr>
                  </w:pPr>
                </w:p>
              </w:tc>
              <w:tc>
                <w:tcPr>
                  <w:tcW w:w="1276" w:type="dxa"/>
                  <w:vAlign w:val="center"/>
                </w:tcPr>
                <w:p>
                  <w:pPr>
                    <w:jc w:val="center"/>
                    <w:rPr>
                      <w:szCs w:val="21"/>
                    </w:rPr>
                  </w:pPr>
                  <w:r>
                    <w:rPr>
                      <w:rFonts w:hint="eastAsia"/>
                      <w:szCs w:val="21"/>
                    </w:rPr>
                    <w:t>原料</w:t>
                  </w:r>
                  <w:r>
                    <w:rPr>
                      <w:rFonts w:hint="eastAsia" w:hAnsi="宋体"/>
                    </w:rPr>
                    <w:t>卸粉尘</w:t>
                  </w:r>
                </w:p>
              </w:tc>
              <w:tc>
                <w:tcPr>
                  <w:tcW w:w="2552" w:type="dxa"/>
                  <w:vAlign w:val="center"/>
                </w:tcPr>
                <w:p>
                  <w:pPr>
                    <w:ind w:firstLine="210" w:firstLineChars="100"/>
                    <w:jc w:val="center"/>
                    <w:rPr>
                      <w:szCs w:val="21"/>
                    </w:rPr>
                  </w:pPr>
                  <w:r>
                    <w:rPr>
                      <w:rFonts w:hint="eastAsia"/>
                      <w:szCs w:val="21"/>
                    </w:rPr>
                    <w:t>封闭生产车间，车间门设置软门帘，喷雾降尘</w:t>
                  </w:r>
                </w:p>
              </w:tc>
              <w:tc>
                <w:tcPr>
                  <w:tcW w:w="708" w:type="dxa"/>
                  <w:vAlign w:val="center"/>
                </w:tcPr>
                <w:p>
                  <w:pPr>
                    <w:jc w:val="center"/>
                    <w:rPr>
                      <w:szCs w:val="21"/>
                    </w:rPr>
                  </w:pPr>
                  <w:r>
                    <w:rPr>
                      <w:rFonts w:hint="eastAsia"/>
                      <w:szCs w:val="21"/>
                    </w:rPr>
                    <w:t>1套</w:t>
                  </w:r>
                </w:p>
              </w:tc>
              <w:tc>
                <w:tcPr>
                  <w:tcW w:w="1421" w:type="dxa"/>
                  <w:tcBorders>
                    <w:right w:val="single" w:color="auto" w:sz="2" w:space="0"/>
                  </w:tcBorders>
                  <w:vAlign w:val="center"/>
                </w:tcPr>
                <w:p>
                  <w:pPr>
                    <w:jc w:val="center"/>
                    <w:rPr>
                      <w:szCs w:val="21"/>
                    </w:rPr>
                  </w:pPr>
                  <w:r>
                    <w:rPr>
                      <w:rFonts w:hint="eastAsia"/>
                      <w:szCs w:val="21"/>
                    </w:rPr>
                    <w:t>原料处理车间</w:t>
                  </w:r>
                </w:p>
              </w:tc>
              <w:tc>
                <w:tcPr>
                  <w:tcW w:w="2421" w:type="dxa"/>
                  <w:vMerge w:val="restart"/>
                  <w:tcBorders>
                    <w:left w:val="single" w:color="auto" w:sz="2" w:space="0"/>
                    <w:right w:val="nil"/>
                  </w:tcBorders>
                  <w:vAlign w:val="center"/>
                </w:tcPr>
                <w:p>
                  <w:pPr>
                    <w:rPr>
                      <w:szCs w:val="21"/>
                    </w:rPr>
                  </w:pPr>
                  <w:r>
                    <w:rPr>
                      <w:rFonts w:hint="eastAsia"/>
                      <w:bCs/>
                      <w:szCs w:val="21"/>
                    </w:rPr>
                    <w:t>《砖瓦工业大气污染排放标准》（GB29620-2013）表3</w:t>
                  </w:r>
                  <w:r>
                    <w:rPr>
                      <w:rFonts w:hint="eastAsia"/>
                      <w:szCs w:val="21"/>
                    </w:rPr>
                    <w:t>中厂界排放标准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46" w:type="dxa"/>
                  <w:vMerge w:val="continue"/>
                  <w:tcBorders>
                    <w:left w:val="nil"/>
                  </w:tcBorders>
                  <w:vAlign w:val="center"/>
                </w:tcPr>
                <w:p>
                  <w:pPr>
                    <w:jc w:val="center"/>
                    <w:rPr>
                      <w:szCs w:val="21"/>
                    </w:rPr>
                  </w:pPr>
                </w:p>
              </w:tc>
              <w:tc>
                <w:tcPr>
                  <w:tcW w:w="1276" w:type="dxa"/>
                  <w:vAlign w:val="center"/>
                </w:tcPr>
                <w:p>
                  <w:pPr>
                    <w:jc w:val="center"/>
                    <w:rPr>
                      <w:rFonts w:hAnsi="宋体"/>
                      <w:sz w:val="24"/>
                    </w:rPr>
                  </w:pPr>
                  <w:r>
                    <w:t>车辆</w:t>
                  </w:r>
                  <w:r>
                    <w:rPr>
                      <w:bCs/>
                    </w:rPr>
                    <w:t>运输扬尘</w:t>
                  </w:r>
                </w:p>
              </w:tc>
              <w:tc>
                <w:tcPr>
                  <w:tcW w:w="2552" w:type="dxa"/>
                  <w:vAlign w:val="center"/>
                </w:tcPr>
                <w:p>
                  <w:pPr>
                    <w:ind w:firstLine="210" w:firstLineChars="100"/>
                    <w:jc w:val="center"/>
                    <w:rPr>
                      <w:sz w:val="24"/>
                    </w:rPr>
                  </w:pPr>
                  <w:r>
                    <w:rPr>
                      <w:rFonts w:hint="eastAsia"/>
                    </w:rPr>
                    <w:t>洒水降尘，冲洗设备</w:t>
                  </w:r>
                </w:p>
              </w:tc>
              <w:tc>
                <w:tcPr>
                  <w:tcW w:w="708" w:type="dxa"/>
                  <w:vAlign w:val="center"/>
                </w:tcPr>
                <w:p>
                  <w:pPr>
                    <w:jc w:val="center"/>
                    <w:rPr>
                      <w:szCs w:val="21"/>
                    </w:rPr>
                  </w:pPr>
                  <w:r>
                    <w:rPr>
                      <w:rFonts w:hint="eastAsia"/>
                      <w:szCs w:val="21"/>
                    </w:rPr>
                    <w:t>1套</w:t>
                  </w:r>
                </w:p>
              </w:tc>
              <w:tc>
                <w:tcPr>
                  <w:tcW w:w="1421" w:type="dxa"/>
                  <w:tcBorders>
                    <w:right w:val="single" w:color="auto" w:sz="2" w:space="0"/>
                  </w:tcBorders>
                  <w:vAlign w:val="center"/>
                </w:tcPr>
                <w:p>
                  <w:pPr>
                    <w:jc w:val="center"/>
                    <w:rPr>
                      <w:szCs w:val="21"/>
                    </w:rPr>
                  </w:pPr>
                  <w:r>
                    <w:rPr>
                      <w:rFonts w:hint="eastAsia"/>
                      <w:szCs w:val="21"/>
                    </w:rPr>
                    <w:t>出入口</w:t>
                  </w:r>
                </w:p>
              </w:tc>
              <w:tc>
                <w:tcPr>
                  <w:tcW w:w="2421" w:type="dxa"/>
                  <w:vMerge w:val="continue"/>
                  <w:tcBorders>
                    <w:left w:val="single" w:color="auto" w:sz="2" w:space="0"/>
                    <w:right w:val="nil"/>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46" w:type="dxa"/>
                  <w:vMerge w:val="continue"/>
                  <w:tcBorders>
                    <w:left w:val="nil"/>
                  </w:tcBorders>
                  <w:vAlign w:val="center"/>
                </w:tcPr>
                <w:p>
                  <w:pPr>
                    <w:jc w:val="center"/>
                    <w:rPr>
                      <w:szCs w:val="21"/>
                    </w:rPr>
                  </w:pPr>
                </w:p>
              </w:tc>
              <w:tc>
                <w:tcPr>
                  <w:tcW w:w="1276" w:type="dxa"/>
                  <w:vAlign w:val="center"/>
                </w:tcPr>
                <w:p>
                  <w:pPr>
                    <w:jc w:val="center"/>
                    <w:rPr>
                      <w:szCs w:val="21"/>
                    </w:rPr>
                  </w:pPr>
                  <w:r>
                    <w:rPr>
                      <w:rFonts w:hint="eastAsia"/>
                      <w:szCs w:val="21"/>
                    </w:rPr>
                    <w:t>食堂油烟废气</w:t>
                  </w:r>
                </w:p>
              </w:tc>
              <w:tc>
                <w:tcPr>
                  <w:tcW w:w="2552" w:type="dxa"/>
                  <w:vAlign w:val="center"/>
                </w:tcPr>
                <w:p>
                  <w:pPr>
                    <w:jc w:val="center"/>
                    <w:rPr>
                      <w:szCs w:val="21"/>
                    </w:rPr>
                  </w:pPr>
                  <w:r>
                    <w:rPr>
                      <w:rFonts w:hint="eastAsia"/>
                      <w:szCs w:val="21"/>
                    </w:rPr>
                    <w:t>油烟净化设备</w:t>
                  </w:r>
                </w:p>
              </w:tc>
              <w:tc>
                <w:tcPr>
                  <w:tcW w:w="708" w:type="dxa"/>
                  <w:vAlign w:val="center"/>
                </w:tcPr>
                <w:p>
                  <w:pPr>
                    <w:jc w:val="center"/>
                    <w:rPr>
                      <w:szCs w:val="21"/>
                    </w:rPr>
                  </w:pPr>
                  <w:r>
                    <w:rPr>
                      <w:rFonts w:hint="eastAsia"/>
                      <w:szCs w:val="21"/>
                    </w:rPr>
                    <w:t>1套</w:t>
                  </w:r>
                </w:p>
              </w:tc>
              <w:tc>
                <w:tcPr>
                  <w:tcW w:w="1421" w:type="dxa"/>
                  <w:tcBorders>
                    <w:right w:val="single" w:color="auto" w:sz="2" w:space="0"/>
                  </w:tcBorders>
                  <w:vAlign w:val="center"/>
                </w:tcPr>
                <w:p>
                  <w:pPr>
                    <w:jc w:val="center"/>
                    <w:rPr>
                      <w:szCs w:val="21"/>
                    </w:rPr>
                  </w:pPr>
                  <w:r>
                    <w:rPr>
                      <w:rFonts w:hint="eastAsia"/>
                      <w:szCs w:val="21"/>
                    </w:rPr>
                    <w:t>餐厅</w:t>
                  </w:r>
                </w:p>
              </w:tc>
              <w:tc>
                <w:tcPr>
                  <w:tcW w:w="2421" w:type="dxa"/>
                  <w:tcBorders>
                    <w:left w:val="single" w:color="auto" w:sz="2" w:space="0"/>
                    <w:right w:val="nil"/>
                  </w:tcBorders>
                  <w:vAlign w:val="center"/>
                </w:tcPr>
                <w:p>
                  <w:pPr>
                    <w:jc w:val="center"/>
                    <w:rPr>
                      <w:szCs w:val="21"/>
                    </w:rPr>
                  </w:pPr>
                  <w:r>
                    <w:rPr>
                      <w:rFonts w:hint="eastAsia"/>
                      <w:szCs w:val="21"/>
                    </w:rPr>
                    <w:t>《饮食业油烟排放标准》（试行）（GB18483-2001）中相关规定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6" w:type="dxa"/>
                  <w:tcBorders>
                    <w:left w:val="nil"/>
                  </w:tcBorders>
                  <w:vAlign w:val="center"/>
                </w:tcPr>
                <w:p>
                  <w:pPr>
                    <w:jc w:val="center"/>
                    <w:rPr>
                      <w:szCs w:val="21"/>
                    </w:rPr>
                  </w:pPr>
                  <w:r>
                    <w:rPr>
                      <w:rFonts w:hint="eastAsia"/>
                      <w:szCs w:val="21"/>
                    </w:rPr>
                    <w:t>废水</w:t>
                  </w:r>
                </w:p>
              </w:tc>
              <w:tc>
                <w:tcPr>
                  <w:tcW w:w="1276" w:type="dxa"/>
                  <w:vAlign w:val="center"/>
                </w:tcPr>
                <w:p>
                  <w:pPr>
                    <w:jc w:val="center"/>
                    <w:rPr>
                      <w:szCs w:val="21"/>
                    </w:rPr>
                  </w:pPr>
                  <w:r>
                    <w:rPr>
                      <w:rFonts w:hint="eastAsia"/>
                      <w:szCs w:val="21"/>
                    </w:rPr>
                    <w:t>生活污水</w:t>
                  </w:r>
                </w:p>
              </w:tc>
              <w:tc>
                <w:tcPr>
                  <w:tcW w:w="2552" w:type="dxa"/>
                  <w:vAlign w:val="center"/>
                </w:tcPr>
                <w:p>
                  <w:pPr>
                    <w:jc w:val="center"/>
                    <w:rPr>
                      <w:szCs w:val="21"/>
                    </w:rPr>
                  </w:pPr>
                  <w:r>
                    <w:rPr>
                      <w:rFonts w:hint="eastAsia"/>
                      <w:szCs w:val="21"/>
                    </w:rPr>
                    <w:t>化粪池</w:t>
                  </w:r>
                </w:p>
              </w:tc>
              <w:tc>
                <w:tcPr>
                  <w:tcW w:w="708" w:type="dxa"/>
                  <w:vAlign w:val="center"/>
                </w:tcPr>
                <w:p>
                  <w:pPr>
                    <w:jc w:val="center"/>
                    <w:rPr>
                      <w:szCs w:val="21"/>
                    </w:rPr>
                  </w:pPr>
                  <w:r>
                    <w:rPr>
                      <w:rFonts w:hint="eastAsia"/>
                      <w:szCs w:val="21"/>
                    </w:rPr>
                    <w:t>1座</w:t>
                  </w:r>
                </w:p>
              </w:tc>
              <w:tc>
                <w:tcPr>
                  <w:tcW w:w="1421" w:type="dxa"/>
                  <w:tcBorders>
                    <w:right w:val="single" w:color="auto" w:sz="2" w:space="0"/>
                  </w:tcBorders>
                  <w:vAlign w:val="center"/>
                </w:tcPr>
                <w:p>
                  <w:pPr>
                    <w:jc w:val="center"/>
                    <w:rPr>
                      <w:szCs w:val="21"/>
                    </w:rPr>
                  </w:pPr>
                  <w:r>
                    <w:rPr>
                      <w:rFonts w:hint="eastAsia"/>
                      <w:szCs w:val="21"/>
                    </w:rPr>
                    <w:t>厂区</w:t>
                  </w:r>
                </w:p>
              </w:tc>
              <w:tc>
                <w:tcPr>
                  <w:tcW w:w="2421" w:type="dxa"/>
                  <w:tcBorders>
                    <w:left w:val="single" w:color="auto" w:sz="2" w:space="0"/>
                    <w:right w:val="nil"/>
                  </w:tcBorders>
                  <w:vAlign w:val="center"/>
                </w:tcPr>
                <w:p>
                  <w:pPr>
                    <w:jc w:val="center"/>
                    <w:rPr>
                      <w:szCs w:val="21"/>
                    </w:rPr>
                  </w:pPr>
                  <w:r>
                    <w:rPr>
                      <w:rFonts w:hint="eastAsia"/>
                      <w:szCs w:val="21"/>
                    </w:rPr>
                    <w:t>生活污水化粪池储存后定期清掏，不外排</w:t>
                  </w:r>
                </w:p>
              </w:tc>
            </w:tr>
            <w:tr>
              <w:tblPrEx>
                <w:tblCellMar>
                  <w:top w:w="0" w:type="dxa"/>
                  <w:left w:w="108" w:type="dxa"/>
                  <w:bottom w:w="0" w:type="dxa"/>
                  <w:right w:w="108" w:type="dxa"/>
                </w:tblCellMar>
              </w:tblPrEx>
              <w:trPr>
                <w:trHeight w:val="1095" w:hRule="atLeast"/>
              </w:trPr>
              <w:tc>
                <w:tcPr>
                  <w:tcW w:w="446" w:type="dxa"/>
                  <w:tcBorders>
                    <w:left w:val="nil"/>
                  </w:tcBorders>
                  <w:vAlign w:val="center"/>
                </w:tcPr>
                <w:p>
                  <w:pPr>
                    <w:jc w:val="center"/>
                    <w:rPr>
                      <w:szCs w:val="21"/>
                    </w:rPr>
                  </w:pPr>
                  <w:r>
                    <w:rPr>
                      <w:rFonts w:hint="eastAsia"/>
                      <w:szCs w:val="21"/>
                    </w:rPr>
                    <w:t>噪声</w:t>
                  </w:r>
                </w:p>
              </w:tc>
              <w:tc>
                <w:tcPr>
                  <w:tcW w:w="1276" w:type="dxa"/>
                  <w:vAlign w:val="center"/>
                </w:tcPr>
                <w:p>
                  <w:pPr>
                    <w:rPr>
                      <w:szCs w:val="21"/>
                    </w:rPr>
                  </w:pPr>
                  <w:r>
                    <w:rPr>
                      <w:rFonts w:hint="eastAsia" w:hAnsi="宋体"/>
                      <w:szCs w:val="21"/>
                    </w:rPr>
                    <w:t>设备噪声</w:t>
                  </w:r>
                </w:p>
              </w:tc>
              <w:tc>
                <w:tcPr>
                  <w:tcW w:w="2552" w:type="dxa"/>
                  <w:vAlign w:val="center"/>
                </w:tcPr>
                <w:p>
                  <w:pPr>
                    <w:rPr>
                      <w:szCs w:val="21"/>
                    </w:rPr>
                  </w:pPr>
                  <w:r>
                    <w:rPr>
                      <w:rFonts w:hint="eastAsia" w:hAnsi="宋体"/>
                      <w:szCs w:val="21"/>
                    </w:rPr>
                    <w:t>置于封闭车间，</w:t>
                  </w:r>
                  <w:r>
                    <w:rPr>
                      <w:rFonts w:hint="eastAsia"/>
                      <w:szCs w:val="21"/>
                    </w:rPr>
                    <w:t>基础减振、车间隔声</w:t>
                  </w:r>
                </w:p>
              </w:tc>
              <w:tc>
                <w:tcPr>
                  <w:tcW w:w="708" w:type="dxa"/>
                  <w:vAlign w:val="center"/>
                </w:tcPr>
                <w:p>
                  <w:pPr>
                    <w:jc w:val="center"/>
                    <w:rPr>
                      <w:szCs w:val="21"/>
                    </w:rPr>
                  </w:pPr>
                  <w:r>
                    <w:rPr>
                      <w:rFonts w:hint="eastAsia"/>
                      <w:szCs w:val="21"/>
                    </w:rPr>
                    <w:t>配套</w:t>
                  </w:r>
                </w:p>
              </w:tc>
              <w:tc>
                <w:tcPr>
                  <w:tcW w:w="1421" w:type="dxa"/>
                  <w:tcBorders>
                    <w:right w:val="single" w:color="auto" w:sz="2" w:space="0"/>
                  </w:tcBorders>
                  <w:vAlign w:val="center"/>
                </w:tcPr>
                <w:p>
                  <w:pPr>
                    <w:jc w:val="center"/>
                    <w:rPr>
                      <w:szCs w:val="21"/>
                    </w:rPr>
                  </w:pPr>
                  <w:r>
                    <w:rPr>
                      <w:rFonts w:hint="eastAsia"/>
                      <w:szCs w:val="21"/>
                    </w:rPr>
                    <w:t>车间</w:t>
                  </w:r>
                </w:p>
              </w:tc>
              <w:tc>
                <w:tcPr>
                  <w:tcW w:w="2421" w:type="dxa"/>
                  <w:tcBorders>
                    <w:left w:val="single" w:color="auto" w:sz="2" w:space="0"/>
                    <w:right w:val="nil"/>
                  </w:tcBorders>
                  <w:vAlign w:val="center"/>
                </w:tcPr>
                <w:p>
                  <w:pPr>
                    <w:rPr>
                      <w:szCs w:val="21"/>
                    </w:rPr>
                  </w:pPr>
                  <w:r>
                    <w:rPr>
                      <w:rFonts w:hint="eastAsia"/>
                      <w:szCs w:val="21"/>
                    </w:rPr>
                    <w:t>《工业企业厂界环境噪声排放标准》中2类标准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46" w:type="dxa"/>
                  <w:vMerge w:val="restart"/>
                  <w:tcBorders>
                    <w:left w:val="nil"/>
                  </w:tcBorders>
                  <w:vAlign w:val="center"/>
                </w:tcPr>
                <w:p>
                  <w:pPr>
                    <w:jc w:val="center"/>
                    <w:rPr>
                      <w:szCs w:val="21"/>
                    </w:rPr>
                  </w:pPr>
                  <w:r>
                    <w:rPr>
                      <w:rFonts w:hint="eastAsia"/>
                      <w:szCs w:val="21"/>
                    </w:rPr>
                    <w:t>固废</w:t>
                  </w:r>
                </w:p>
              </w:tc>
              <w:tc>
                <w:tcPr>
                  <w:tcW w:w="1276" w:type="dxa"/>
                  <w:vAlign w:val="center"/>
                </w:tcPr>
                <w:p>
                  <w:pPr>
                    <w:jc w:val="center"/>
                    <w:rPr>
                      <w:szCs w:val="21"/>
                    </w:rPr>
                  </w:pPr>
                  <w:r>
                    <w:rPr>
                      <w:rFonts w:hint="eastAsia"/>
                      <w:szCs w:val="21"/>
                    </w:rPr>
                    <w:t>生活垃圾</w:t>
                  </w:r>
                </w:p>
              </w:tc>
              <w:tc>
                <w:tcPr>
                  <w:tcW w:w="2552" w:type="dxa"/>
                  <w:vAlign w:val="center"/>
                </w:tcPr>
                <w:p>
                  <w:pPr>
                    <w:jc w:val="center"/>
                    <w:rPr>
                      <w:szCs w:val="21"/>
                    </w:rPr>
                  </w:pPr>
                  <w:r>
                    <w:rPr>
                      <w:rFonts w:hint="eastAsia"/>
                      <w:szCs w:val="21"/>
                    </w:rPr>
                    <w:t>垃圾收集装置</w:t>
                  </w:r>
                </w:p>
              </w:tc>
              <w:tc>
                <w:tcPr>
                  <w:tcW w:w="708" w:type="dxa"/>
                  <w:vAlign w:val="center"/>
                </w:tcPr>
                <w:p>
                  <w:pPr>
                    <w:jc w:val="center"/>
                    <w:rPr>
                      <w:szCs w:val="21"/>
                    </w:rPr>
                  </w:pPr>
                  <w:r>
                    <w:rPr>
                      <w:rFonts w:hint="eastAsia"/>
                      <w:szCs w:val="21"/>
                    </w:rPr>
                    <w:t>配套</w:t>
                  </w:r>
                </w:p>
              </w:tc>
              <w:tc>
                <w:tcPr>
                  <w:tcW w:w="1421" w:type="dxa"/>
                  <w:tcBorders>
                    <w:right w:val="single" w:color="auto" w:sz="2" w:space="0"/>
                  </w:tcBorders>
                  <w:vAlign w:val="center"/>
                </w:tcPr>
                <w:p>
                  <w:pPr>
                    <w:jc w:val="center"/>
                    <w:rPr>
                      <w:szCs w:val="21"/>
                    </w:rPr>
                  </w:pPr>
                  <w:r>
                    <w:rPr>
                      <w:rFonts w:hint="eastAsia"/>
                      <w:szCs w:val="21"/>
                    </w:rPr>
                    <w:t>厂区</w:t>
                  </w:r>
                </w:p>
              </w:tc>
              <w:tc>
                <w:tcPr>
                  <w:tcW w:w="2421" w:type="dxa"/>
                  <w:tcBorders>
                    <w:left w:val="single" w:color="auto" w:sz="2" w:space="0"/>
                    <w:right w:val="nil"/>
                  </w:tcBorders>
                  <w:vAlign w:val="center"/>
                </w:tcPr>
                <w:p>
                  <w:pPr>
                    <w:rPr>
                      <w:szCs w:val="21"/>
                    </w:rPr>
                  </w:pPr>
                  <w:r>
                    <w:rPr>
                      <w:rFonts w:hint="eastAsia"/>
                      <w:szCs w:val="21"/>
                    </w:rPr>
                    <w:t>处置率100%，不造成二次污染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46" w:type="dxa"/>
                  <w:vMerge w:val="continue"/>
                  <w:tcBorders>
                    <w:left w:val="nil"/>
                  </w:tcBorders>
                  <w:vAlign w:val="center"/>
                </w:tcPr>
                <w:p>
                  <w:pPr>
                    <w:jc w:val="center"/>
                    <w:rPr>
                      <w:szCs w:val="21"/>
                    </w:rPr>
                  </w:pPr>
                </w:p>
              </w:tc>
              <w:tc>
                <w:tcPr>
                  <w:tcW w:w="1276" w:type="dxa"/>
                  <w:vAlign w:val="center"/>
                </w:tcPr>
                <w:p>
                  <w:pPr>
                    <w:jc w:val="center"/>
                    <w:rPr>
                      <w:color w:val="0070C0"/>
                      <w:szCs w:val="21"/>
                    </w:rPr>
                  </w:pPr>
                  <w:r>
                    <w:rPr>
                      <w:rFonts w:hint="eastAsia"/>
                      <w:color w:val="0070C0"/>
                      <w:szCs w:val="21"/>
                    </w:rPr>
                    <w:t>废机油</w:t>
                  </w:r>
                </w:p>
              </w:tc>
              <w:tc>
                <w:tcPr>
                  <w:tcW w:w="2552" w:type="dxa"/>
                  <w:vAlign w:val="center"/>
                </w:tcPr>
                <w:p>
                  <w:pPr>
                    <w:jc w:val="center"/>
                    <w:rPr>
                      <w:color w:val="0070C0"/>
                      <w:szCs w:val="21"/>
                    </w:rPr>
                  </w:pPr>
                  <w:r>
                    <w:rPr>
                      <w:rFonts w:hint="eastAsia"/>
                      <w:color w:val="0070C0"/>
                      <w:szCs w:val="21"/>
                    </w:rPr>
                    <w:t>5m</w:t>
                  </w:r>
                  <w:r>
                    <w:rPr>
                      <w:rFonts w:hint="eastAsia"/>
                      <w:color w:val="0070C0"/>
                      <w:szCs w:val="21"/>
                      <w:vertAlign w:val="superscript"/>
                    </w:rPr>
                    <w:t>2</w:t>
                  </w:r>
                  <w:r>
                    <w:rPr>
                      <w:rFonts w:hint="eastAsia"/>
                      <w:color w:val="0070C0"/>
                      <w:szCs w:val="21"/>
                    </w:rPr>
                    <w:t>危废储存间</w:t>
                  </w:r>
                </w:p>
              </w:tc>
              <w:tc>
                <w:tcPr>
                  <w:tcW w:w="708" w:type="dxa"/>
                  <w:vAlign w:val="center"/>
                </w:tcPr>
                <w:p>
                  <w:pPr>
                    <w:jc w:val="center"/>
                    <w:rPr>
                      <w:color w:val="0070C0"/>
                      <w:szCs w:val="21"/>
                    </w:rPr>
                  </w:pPr>
                  <w:r>
                    <w:rPr>
                      <w:rFonts w:hint="eastAsia"/>
                      <w:color w:val="0070C0"/>
                      <w:szCs w:val="21"/>
                    </w:rPr>
                    <w:t>1座</w:t>
                  </w:r>
                </w:p>
              </w:tc>
              <w:tc>
                <w:tcPr>
                  <w:tcW w:w="1421" w:type="dxa"/>
                  <w:tcBorders>
                    <w:right w:val="single" w:color="auto" w:sz="2" w:space="0"/>
                  </w:tcBorders>
                  <w:vAlign w:val="center"/>
                </w:tcPr>
                <w:p>
                  <w:pPr>
                    <w:jc w:val="center"/>
                    <w:rPr>
                      <w:color w:val="0070C0"/>
                      <w:szCs w:val="21"/>
                    </w:rPr>
                  </w:pPr>
                  <w:r>
                    <w:rPr>
                      <w:rFonts w:hint="eastAsia"/>
                      <w:color w:val="0070C0"/>
                      <w:szCs w:val="21"/>
                    </w:rPr>
                    <w:t>车间</w:t>
                  </w:r>
                </w:p>
              </w:tc>
              <w:tc>
                <w:tcPr>
                  <w:tcW w:w="2421" w:type="dxa"/>
                  <w:tcBorders>
                    <w:left w:val="single" w:color="auto" w:sz="2" w:space="0"/>
                    <w:right w:val="nil"/>
                  </w:tcBorders>
                  <w:vAlign w:val="center"/>
                </w:tcPr>
                <w:p>
                  <w:pPr>
                    <w:rPr>
                      <w:color w:val="0070C0"/>
                      <w:szCs w:val="21"/>
                    </w:rPr>
                  </w:pPr>
                  <w:r>
                    <w:rPr>
                      <w:rFonts w:hint="eastAsia"/>
                      <w:color w:val="0070C0"/>
                    </w:rPr>
                    <w:t>符合</w:t>
                  </w:r>
                  <w:r>
                    <w:rPr>
                      <w:color w:val="0070C0"/>
                    </w:rPr>
                    <w:t>《危险废物贮存污染控制标准》（GB18597-2001）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722" w:type="dxa"/>
                  <w:gridSpan w:val="2"/>
                  <w:vMerge w:val="restart"/>
                  <w:tcBorders>
                    <w:left w:val="nil"/>
                  </w:tcBorders>
                  <w:vAlign w:val="center"/>
                </w:tcPr>
                <w:p>
                  <w:pPr>
                    <w:jc w:val="center"/>
                    <w:rPr>
                      <w:szCs w:val="21"/>
                    </w:rPr>
                  </w:pPr>
                  <w:r>
                    <w:rPr>
                      <w:rFonts w:hint="eastAsia"/>
                      <w:szCs w:val="21"/>
                    </w:rPr>
                    <w:t>生态</w:t>
                  </w:r>
                </w:p>
              </w:tc>
              <w:tc>
                <w:tcPr>
                  <w:tcW w:w="7102" w:type="dxa"/>
                  <w:gridSpan w:val="4"/>
                  <w:tcBorders>
                    <w:left w:val="nil"/>
                    <w:right w:val="nil"/>
                  </w:tcBorders>
                  <w:vAlign w:val="center"/>
                </w:tcPr>
                <w:p>
                  <w:pPr>
                    <w:jc w:val="center"/>
                    <w:rPr>
                      <w:szCs w:val="21"/>
                    </w:rPr>
                  </w:pPr>
                  <w:r>
                    <w:rPr>
                      <w:rFonts w:hAnsi="宋体"/>
                      <w:szCs w:val="21"/>
                    </w:rPr>
                    <w:t>对厂区及厂界进行绿化，</w:t>
                  </w:r>
                  <w:r>
                    <w:rPr>
                      <w:rFonts w:hint="eastAsia"/>
                      <w:szCs w:val="21"/>
                    </w:rPr>
                    <w:t>绿化面积4000m</w:t>
                  </w:r>
                  <w:r>
                    <w:rPr>
                      <w:rFonts w:hint="eastAsia"/>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722" w:type="dxa"/>
                  <w:gridSpan w:val="2"/>
                  <w:vMerge w:val="continue"/>
                  <w:tcBorders>
                    <w:left w:val="nil"/>
                  </w:tcBorders>
                  <w:vAlign w:val="center"/>
                </w:tcPr>
                <w:p>
                  <w:pPr>
                    <w:jc w:val="center"/>
                    <w:rPr>
                      <w:szCs w:val="21"/>
                    </w:rPr>
                  </w:pPr>
                </w:p>
              </w:tc>
              <w:tc>
                <w:tcPr>
                  <w:tcW w:w="7102" w:type="dxa"/>
                  <w:gridSpan w:val="4"/>
                  <w:tcBorders>
                    <w:left w:val="nil"/>
                  </w:tcBorders>
                  <w:vAlign w:val="center"/>
                </w:tcPr>
                <w:p>
                  <w:pPr>
                    <w:rPr>
                      <w:rFonts w:hAnsi="宋体"/>
                      <w:szCs w:val="21"/>
                    </w:rPr>
                  </w:pPr>
                  <w:r>
                    <w:rPr>
                      <w:rFonts w:hint="eastAsia" w:hAnsi="宋体"/>
                      <w:szCs w:val="21"/>
                    </w:rPr>
                    <w:t>在粘土取土设</w:t>
                  </w:r>
                  <w:r>
                    <w:rPr>
                      <w:rFonts w:hint="eastAsia"/>
                      <w:szCs w:val="21"/>
                    </w:rPr>
                    <w:t>截排水设施，及时复垦，在露天开采终了后进行全面复垦；采用乔、灌、木相结合的方式栽种绿化植被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722" w:type="dxa"/>
                  <w:gridSpan w:val="2"/>
                  <w:tcBorders>
                    <w:left w:val="nil"/>
                    <w:bottom w:val="single" w:color="auto" w:sz="12" w:space="0"/>
                  </w:tcBorders>
                  <w:vAlign w:val="center"/>
                </w:tcPr>
                <w:p>
                  <w:pPr>
                    <w:jc w:val="center"/>
                    <w:rPr>
                      <w:szCs w:val="21"/>
                    </w:rPr>
                  </w:pPr>
                  <w:r>
                    <w:rPr>
                      <w:rFonts w:hint="eastAsia"/>
                      <w:szCs w:val="21"/>
                    </w:rPr>
                    <w:t>环境管理</w:t>
                  </w:r>
                </w:p>
              </w:tc>
              <w:tc>
                <w:tcPr>
                  <w:tcW w:w="7102" w:type="dxa"/>
                  <w:gridSpan w:val="4"/>
                  <w:tcBorders>
                    <w:left w:val="nil"/>
                    <w:bottom w:val="single" w:color="auto" w:sz="12" w:space="0"/>
                    <w:right w:val="nil"/>
                  </w:tcBorders>
                  <w:vAlign w:val="center"/>
                </w:tcPr>
                <w:p>
                  <w:pPr>
                    <w:jc w:val="center"/>
                    <w:rPr>
                      <w:rFonts w:hAnsi="宋体"/>
                      <w:szCs w:val="21"/>
                    </w:rPr>
                  </w:pPr>
                  <w:r>
                    <w:rPr>
                      <w:szCs w:val="21"/>
                    </w:rPr>
                    <w:t>建立环境管理机构、环境管理制度</w:t>
                  </w:r>
                </w:p>
              </w:tc>
            </w:tr>
          </w:tbl>
          <w:p>
            <w:pPr>
              <w:spacing w:line="360" w:lineRule="auto"/>
              <w:ind w:firstLine="482" w:firstLineChars="200"/>
              <w:rPr>
                <w:b/>
                <w:sz w:val="24"/>
              </w:rPr>
            </w:pPr>
            <w:r>
              <w:rPr>
                <w:rFonts w:hint="eastAsia"/>
                <w:b/>
                <w:sz w:val="24"/>
              </w:rPr>
              <w:t>九</w:t>
            </w:r>
            <w:r>
              <w:rPr>
                <w:rFonts w:hAnsi="宋体"/>
                <w:b/>
                <w:sz w:val="24"/>
              </w:rPr>
              <w:t>、环保投资</w:t>
            </w:r>
          </w:p>
          <w:p>
            <w:pPr>
              <w:spacing w:line="360" w:lineRule="auto"/>
              <w:ind w:firstLine="555"/>
              <w:rPr>
                <w:sz w:val="24"/>
              </w:rPr>
            </w:pPr>
            <w:r>
              <w:rPr>
                <w:rFonts w:hAnsi="宋体"/>
                <w:sz w:val="24"/>
              </w:rPr>
              <w:t>本项目总投资</w:t>
            </w:r>
            <w:r>
              <w:rPr>
                <w:rFonts w:hint="eastAsia" w:hAnsi="宋体"/>
                <w:sz w:val="24"/>
              </w:rPr>
              <w:t>5000</w:t>
            </w:r>
            <w:r>
              <w:rPr>
                <w:rFonts w:hAnsi="宋体"/>
                <w:sz w:val="24"/>
              </w:rPr>
              <w:t>万元，其中环保</w:t>
            </w:r>
            <w:r>
              <w:rPr>
                <w:rFonts w:hint="eastAsia" w:hAnsi="宋体"/>
                <w:sz w:val="24"/>
              </w:rPr>
              <w:t>总</w:t>
            </w:r>
            <w:r>
              <w:rPr>
                <w:rFonts w:hAnsi="宋体"/>
                <w:sz w:val="24"/>
              </w:rPr>
              <w:t>投资</w:t>
            </w:r>
            <w:r>
              <w:rPr>
                <w:rFonts w:hint="eastAsia" w:hAnsi="宋体"/>
                <w:sz w:val="24"/>
              </w:rPr>
              <w:t>257</w:t>
            </w:r>
            <w:r>
              <w:rPr>
                <w:rFonts w:hAnsi="宋体"/>
                <w:sz w:val="24"/>
              </w:rPr>
              <w:t>万元，</w:t>
            </w:r>
            <w:r>
              <w:rPr>
                <w:rFonts w:hint="eastAsia"/>
                <w:sz w:val="24"/>
              </w:rPr>
              <w:t>占总投资比例为5.14%，具体</w:t>
            </w:r>
            <w:r>
              <w:rPr>
                <w:rFonts w:hAnsi="宋体"/>
                <w:sz w:val="24"/>
              </w:rPr>
              <w:t>见表</w:t>
            </w:r>
            <w:r>
              <w:rPr>
                <w:sz w:val="24"/>
              </w:rPr>
              <w:t>5</w:t>
            </w:r>
            <w:r>
              <w:rPr>
                <w:rFonts w:hint="eastAsia"/>
                <w:sz w:val="24"/>
              </w:rPr>
              <w:t>9</w:t>
            </w:r>
            <w:r>
              <w:rPr>
                <w:rFonts w:hAnsi="宋体"/>
                <w:sz w:val="24"/>
              </w:rPr>
              <w:t>。</w:t>
            </w:r>
          </w:p>
          <w:p>
            <w:pPr>
              <w:jc w:val="center"/>
              <w:rPr>
                <w:rFonts w:hAnsi="宋体"/>
                <w:b/>
                <w:szCs w:val="21"/>
              </w:rPr>
            </w:pPr>
            <w:r>
              <w:rPr>
                <w:rFonts w:hAnsi="宋体"/>
                <w:b/>
                <w:szCs w:val="21"/>
              </w:rPr>
              <w:t>表</w:t>
            </w:r>
            <w:r>
              <w:rPr>
                <w:b/>
                <w:szCs w:val="21"/>
              </w:rPr>
              <w:t>5</w:t>
            </w:r>
            <w:r>
              <w:rPr>
                <w:rFonts w:hint="eastAsia"/>
                <w:b/>
                <w:szCs w:val="21"/>
              </w:rPr>
              <w:t>9</w:t>
            </w:r>
            <w:r>
              <w:rPr>
                <w:b/>
                <w:szCs w:val="21"/>
              </w:rPr>
              <w:t xml:space="preserve">  </w:t>
            </w:r>
            <w:r>
              <w:rPr>
                <w:rFonts w:hint="eastAsia"/>
                <w:b/>
                <w:szCs w:val="21"/>
              </w:rPr>
              <w:t>项目</w:t>
            </w:r>
            <w:r>
              <w:rPr>
                <w:rFonts w:hAnsi="宋体"/>
                <w:b/>
                <w:szCs w:val="21"/>
              </w:rPr>
              <w:t>环保投资一览表</w:t>
            </w:r>
          </w:p>
          <w:tbl>
            <w:tblPr>
              <w:tblStyle w:val="24"/>
              <w:tblW w:w="882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899"/>
              <w:gridCol w:w="3051"/>
              <w:gridCol w:w="1165"/>
              <w:gridCol w:w="18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25" w:type="dxa"/>
                  <w:gridSpan w:val="2"/>
                  <w:vAlign w:val="center"/>
                </w:tcPr>
                <w:p>
                  <w:pPr>
                    <w:snapToGrid w:val="0"/>
                    <w:spacing w:line="240" w:lineRule="exact"/>
                    <w:jc w:val="center"/>
                    <w:rPr>
                      <w:szCs w:val="21"/>
                    </w:rPr>
                  </w:pPr>
                  <w:r>
                    <w:rPr>
                      <w:szCs w:val="21"/>
                    </w:rPr>
                    <w:t>主要污染源</w:t>
                  </w:r>
                </w:p>
              </w:tc>
              <w:tc>
                <w:tcPr>
                  <w:tcW w:w="3051" w:type="dxa"/>
                  <w:vAlign w:val="center"/>
                </w:tcPr>
                <w:p>
                  <w:pPr>
                    <w:snapToGrid w:val="0"/>
                    <w:spacing w:line="240" w:lineRule="exact"/>
                    <w:jc w:val="center"/>
                    <w:rPr>
                      <w:szCs w:val="21"/>
                    </w:rPr>
                  </w:pPr>
                  <w:r>
                    <w:rPr>
                      <w:szCs w:val="21"/>
                    </w:rPr>
                    <w:t>处理措施与设施</w:t>
                  </w:r>
                </w:p>
              </w:tc>
              <w:tc>
                <w:tcPr>
                  <w:tcW w:w="1165" w:type="dxa"/>
                  <w:vAlign w:val="center"/>
                </w:tcPr>
                <w:p>
                  <w:pPr>
                    <w:snapToGrid w:val="0"/>
                    <w:spacing w:line="240" w:lineRule="exact"/>
                    <w:jc w:val="center"/>
                    <w:rPr>
                      <w:szCs w:val="21"/>
                    </w:rPr>
                  </w:pPr>
                  <w:r>
                    <w:rPr>
                      <w:szCs w:val="21"/>
                    </w:rPr>
                    <w:t>数量</w:t>
                  </w:r>
                </w:p>
              </w:tc>
              <w:tc>
                <w:tcPr>
                  <w:tcW w:w="1883" w:type="dxa"/>
                  <w:vAlign w:val="center"/>
                </w:tcPr>
                <w:p>
                  <w:pPr>
                    <w:snapToGrid w:val="0"/>
                    <w:spacing w:line="240" w:lineRule="exact"/>
                    <w:ind w:firstLine="210" w:firstLineChars="100"/>
                    <w:jc w:val="center"/>
                    <w:rPr>
                      <w:szCs w:val="21"/>
                    </w:rPr>
                  </w:pPr>
                  <w:r>
                    <w:rPr>
                      <w:szCs w:val="21"/>
                    </w:rPr>
                    <w:t>投资</w:t>
                  </w:r>
                  <w:r>
                    <w:rPr>
                      <w:rFonts w:hint="eastAsia"/>
                      <w:szCs w:val="21"/>
                    </w:rPr>
                    <w:t>额</w:t>
                  </w:r>
                  <w:r>
                    <w:rPr>
                      <w:szCs w:val="21"/>
                    </w:rPr>
                    <w:t>（万元）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Merge w:val="restart"/>
                  <w:vAlign w:val="center"/>
                </w:tcPr>
                <w:p>
                  <w:pPr>
                    <w:snapToGrid w:val="0"/>
                    <w:spacing w:line="240" w:lineRule="exact"/>
                    <w:jc w:val="center"/>
                    <w:rPr>
                      <w:szCs w:val="21"/>
                    </w:rPr>
                  </w:pPr>
                  <w:r>
                    <w:rPr>
                      <w:rFonts w:hint="eastAsia"/>
                      <w:szCs w:val="21"/>
                    </w:rPr>
                    <w:t>施工期</w:t>
                  </w:r>
                </w:p>
              </w:tc>
              <w:tc>
                <w:tcPr>
                  <w:tcW w:w="1899" w:type="dxa"/>
                  <w:vAlign w:val="center"/>
                </w:tcPr>
                <w:p>
                  <w:pPr>
                    <w:snapToGrid w:val="0"/>
                    <w:spacing w:line="240" w:lineRule="exact"/>
                    <w:jc w:val="center"/>
                    <w:rPr>
                      <w:szCs w:val="21"/>
                    </w:rPr>
                  </w:pPr>
                  <w:r>
                    <w:rPr>
                      <w:rFonts w:hint="eastAsia"/>
                      <w:szCs w:val="21"/>
                    </w:rPr>
                    <w:t>扬尘</w:t>
                  </w:r>
                </w:p>
              </w:tc>
              <w:tc>
                <w:tcPr>
                  <w:tcW w:w="3051" w:type="dxa"/>
                  <w:vAlign w:val="center"/>
                </w:tcPr>
                <w:p>
                  <w:pPr>
                    <w:snapToGrid w:val="0"/>
                    <w:spacing w:line="240" w:lineRule="exact"/>
                    <w:jc w:val="center"/>
                    <w:rPr>
                      <w:szCs w:val="21"/>
                    </w:rPr>
                  </w:pPr>
                  <w:r>
                    <w:rPr>
                      <w:rFonts w:hint="eastAsia"/>
                      <w:szCs w:val="21"/>
                    </w:rPr>
                    <w:t>洒水降尘、设置防尘网等</w:t>
                  </w:r>
                </w:p>
              </w:tc>
              <w:tc>
                <w:tcPr>
                  <w:tcW w:w="1165" w:type="dxa"/>
                  <w:vAlign w:val="center"/>
                </w:tcPr>
                <w:p>
                  <w:pPr>
                    <w:snapToGrid w:val="0"/>
                    <w:spacing w:line="240" w:lineRule="exact"/>
                    <w:jc w:val="center"/>
                    <w:rPr>
                      <w:szCs w:val="21"/>
                    </w:rPr>
                  </w:pPr>
                </w:p>
              </w:tc>
              <w:tc>
                <w:tcPr>
                  <w:tcW w:w="1883" w:type="dxa"/>
                  <w:vAlign w:val="center"/>
                </w:tcPr>
                <w:p>
                  <w:pPr>
                    <w:snapToGrid w:val="0"/>
                    <w:spacing w:line="240" w:lineRule="exact"/>
                    <w:ind w:firstLine="210" w:firstLineChars="100"/>
                    <w:jc w:val="center"/>
                    <w:rPr>
                      <w:szCs w:val="21"/>
                    </w:rPr>
                  </w:pPr>
                  <w:r>
                    <w:rPr>
                      <w:rFonts w:hint="eastAsia"/>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Merge w:val="continue"/>
                  <w:vAlign w:val="center"/>
                </w:tcPr>
                <w:p>
                  <w:pPr>
                    <w:snapToGrid w:val="0"/>
                    <w:spacing w:line="240" w:lineRule="exact"/>
                    <w:jc w:val="center"/>
                    <w:rPr>
                      <w:szCs w:val="21"/>
                    </w:rPr>
                  </w:pPr>
                </w:p>
              </w:tc>
              <w:tc>
                <w:tcPr>
                  <w:tcW w:w="1899" w:type="dxa"/>
                  <w:vAlign w:val="center"/>
                </w:tcPr>
                <w:p>
                  <w:pPr>
                    <w:snapToGrid w:val="0"/>
                    <w:spacing w:line="240" w:lineRule="exact"/>
                    <w:jc w:val="center"/>
                    <w:rPr>
                      <w:szCs w:val="21"/>
                    </w:rPr>
                  </w:pPr>
                  <w:r>
                    <w:rPr>
                      <w:rFonts w:hint="eastAsia"/>
                      <w:szCs w:val="21"/>
                    </w:rPr>
                    <w:t>废水</w:t>
                  </w:r>
                </w:p>
              </w:tc>
              <w:tc>
                <w:tcPr>
                  <w:tcW w:w="3051" w:type="dxa"/>
                  <w:vAlign w:val="center"/>
                </w:tcPr>
                <w:p>
                  <w:pPr>
                    <w:snapToGrid w:val="0"/>
                    <w:spacing w:line="240" w:lineRule="exact"/>
                    <w:jc w:val="center"/>
                    <w:rPr>
                      <w:szCs w:val="21"/>
                    </w:rPr>
                  </w:pPr>
                  <w:r>
                    <w:rPr>
                      <w:rFonts w:hint="eastAsia"/>
                      <w:szCs w:val="21"/>
                    </w:rPr>
                    <w:t>设置废水沉淀池等</w:t>
                  </w:r>
                </w:p>
              </w:tc>
              <w:tc>
                <w:tcPr>
                  <w:tcW w:w="1165" w:type="dxa"/>
                  <w:vAlign w:val="center"/>
                </w:tcPr>
                <w:p>
                  <w:pPr>
                    <w:snapToGrid w:val="0"/>
                    <w:spacing w:line="240" w:lineRule="exact"/>
                    <w:jc w:val="center"/>
                    <w:rPr>
                      <w:szCs w:val="21"/>
                    </w:rPr>
                  </w:pPr>
                </w:p>
              </w:tc>
              <w:tc>
                <w:tcPr>
                  <w:tcW w:w="1883" w:type="dxa"/>
                  <w:vAlign w:val="center"/>
                </w:tcPr>
                <w:p>
                  <w:pPr>
                    <w:snapToGrid w:val="0"/>
                    <w:spacing w:line="240" w:lineRule="exact"/>
                    <w:ind w:firstLine="210" w:firstLineChars="100"/>
                    <w:jc w:val="center"/>
                    <w:rPr>
                      <w:szCs w:val="21"/>
                    </w:rPr>
                  </w:pPr>
                  <w:r>
                    <w:rPr>
                      <w:rFonts w:hint="eastAsia"/>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Merge w:val="continue"/>
                  <w:vAlign w:val="center"/>
                </w:tcPr>
                <w:p>
                  <w:pPr>
                    <w:snapToGrid w:val="0"/>
                    <w:spacing w:line="240" w:lineRule="exact"/>
                    <w:jc w:val="center"/>
                    <w:rPr>
                      <w:szCs w:val="21"/>
                    </w:rPr>
                  </w:pPr>
                </w:p>
              </w:tc>
              <w:tc>
                <w:tcPr>
                  <w:tcW w:w="1899" w:type="dxa"/>
                  <w:vAlign w:val="center"/>
                </w:tcPr>
                <w:p>
                  <w:pPr>
                    <w:snapToGrid w:val="0"/>
                    <w:spacing w:line="240" w:lineRule="exact"/>
                    <w:jc w:val="center"/>
                    <w:rPr>
                      <w:szCs w:val="21"/>
                    </w:rPr>
                  </w:pPr>
                  <w:r>
                    <w:rPr>
                      <w:rFonts w:hint="eastAsia"/>
                      <w:szCs w:val="21"/>
                    </w:rPr>
                    <w:t>噪声</w:t>
                  </w:r>
                </w:p>
              </w:tc>
              <w:tc>
                <w:tcPr>
                  <w:tcW w:w="3051" w:type="dxa"/>
                  <w:vAlign w:val="center"/>
                </w:tcPr>
                <w:p>
                  <w:pPr>
                    <w:snapToGrid w:val="0"/>
                    <w:spacing w:line="240" w:lineRule="exact"/>
                    <w:jc w:val="center"/>
                    <w:rPr>
                      <w:szCs w:val="21"/>
                    </w:rPr>
                  </w:pPr>
                  <w:r>
                    <w:rPr>
                      <w:rFonts w:hint="eastAsia"/>
                      <w:szCs w:val="21"/>
                    </w:rPr>
                    <w:t>采取临时隔声措施</w:t>
                  </w:r>
                </w:p>
              </w:tc>
              <w:tc>
                <w:tcPr>
                  <w:tcW w:w="1165" w:type="dxa"/>
                  <w:vAlign w:val="center"/>
                </w:tcPr>
                <w:p>
                  <w:pPr>
                    <w:snapToGrid w:val="0"/>
                    <w:spacing w:line="240" w:lineRule="exact"/>
                    <w:jc w:val="center"/>
                    <w:rPr>
                      <w:szCs w:val="21"/>
                    </w:rPr>
                  </w:pPr>
                </w:p>
              </w:tc>
              <w:tc>
                <w:tcPr>
                  <w:tcW w:w="1883" w:type="dxa"/>
                  <w:vAlign w:val="center"/>
                </w:tcPr>
                <w:p>
                  <w:pPr>
                    <w:snapToGrid w:val="0"/>
                    <w:spacing w:line="240" w:lineRule="exact"/>
                    <w:ind w:firstLine="210" w:firstLineChars="100"/>
                    <w:jc w:val="center"/>
                    <w:rPr>
                      <w:szCs w:val="21"/>
                    </w:rPr>
                  </w:pPr>
                  <w:r>
                    <w:rPr>
                      <w:rFonts w:hint="eastAsia"/>
                      <w:szCs w:val="21"/>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Merge w:val="restart"/>
                  <w:vAlign w:val="center"/>
                </w:tcPr>
                <w:p>
                  <w:pPr>
                    <w:snapToGrid w:val="0"/>
                    <w:spacing w:line="240" w:lineRule="exact"/>
                    <w:jc w:val="center"/>
                    <w:rPr>
                      <w:szCs w:val="21"/>
                    </w:rPr>
                  </w:pPr>
                  <w:r>
                    <w:rPr>
                      <w:rFonts w:hint="eastAsia"/>
                      <w:szCs w:val="21"/>
                    </w:rPr>
                    <w:t>废气</w:t>
                  </w:r>
                </w:p>
              </w:tc>
              <w:tc>
                <w:tcPr>
                  <w:tcW w:w="1899" w:type="dxa"/>
                  <w:vAlign w:val="center"/>
                </w:tcPr>
                <w:p>
                  <w:pPr>
                    <w:jc w:val="center"/>
                    <w:rPr>
                      <w:szCs w:val="21"/>
                    </w:rPr>
                  </w:pPr>
                  <w:r>
                    <w:rPr>
                      <w:rFonts w:hint="eastAsia"/>
                      <w:szCs w:val="21"/>
                    </w:rPr>
                    <w:t>隧道窑废气</w:t>
                  </w:r>
                </w:p>
              </w:tc>
              <w:tc>
                <w:tcPr>
                  <w:tcW w:w="3051" w:type="dxa"/>
                  <w:vAlign w:val="center"/>
                </w:tcPr>
                <w:p>
                  <w:pPr>
                    <w:rPr>
                      <w:szCs w:val="21"/>
                    </w:rPr>
                  </w:pPr>
                  <w:r>
                    <w:rPr>
                      <w:rFonts w:hint="eastAsia"/>
                      <w:szCs w:val="21"/>
                    </w:rPr>
                    <w:t>收集系统+15m排气筒排放</w:t>
                  </w:r>
                </w:p>
              </w:tc>
              <w:tc>
                <w:tcPr>
                  <w:tcW w:w="1165" w:type="dxa"/>
                  <w:vAlign w:val="center"/>
                </w:tcPr>
                <w:p>
                  <w:pPr>
                    <w:jc w:val="center"/>
                    <w:rPr>
                      <w:szCs w:val="21"/>
                    </w:rPr>
                  </w:pPr>
                  <w:r>
                    <w:rPr>
                      <w:rFonts w:hint="eastAsia"/>
                      <w:szCs w:val="21"/>
                    </w:rPr>
                    <w:t>1套</w:t>
                  </w:r>
                </w:p>
              </w:tc>
              <w:tc>
                <w:tcPr>
                  <w:tcW w:w="1883" w:type="dxa"/>
                  <w:vAlign w:val="center"/>
                </w:tcPr>
                <w:p>
                  <w:pPr>
                    <w:snapToGrid w:val="0"/>
                    <w:spacing w:line="240" w:lineRule="exact"/>
                    <w:ind w:firstLine="105" w:firstLineChars="50"/>
                    <w:jc w:val="center"/>
                    <w:rPr>
                      <w:szCs w:val="21"/>
                    </w:rPr>
                  </w:pPr>
                  <w:r>
                    <w:rPr>
                      <w:rFonts w:hint="eastAsia"/>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Merge w:val="continue"/>
                  <w:vAlign w:val="center"/>
                </w:tcPr>
                <w:p>
                  <w:pPr>
                    <w:snapToGrid w:val="0"/>
                    <w:spacing w:line="240" w:lineRule="exact"/>
                    <w:jc w:val="center"/>
                    <w:rPr>
                      <w:szCs w:val="21"/>
                    </w:rPr>
                  </w:pPr>
                </w:p>
              </w:tc>
              <w:tc>
                <w:tcPr>
                  <w:tcW w:w="1899" w:type="dxa"/>
                  <w:vAlign w:val="center"/>
                </w:tcPr>
                <w:p>
                  <w:pPr>
                    <w:jc w:val="center"/>
                    <w:rPr>
                      <w:szCs w:val="21"/>
                    </w:rPr>
                  </w:pPr>
                  <w:r>
                    <w:rPr>
                      <w:rFonts w:hint="eastAsia"/>
                      <w:szCs w:val="21"/>
                    </w:rPr>
                    <w:t>干燥废气</w:t>
                  </w:r>
                </w:p>
              </w:tc>
              <w:tc>
                <w:tcPr>
                  <w:tcW w:w="3051" w:type="dxa"/>
                  <w:vAlign w:val="center"/>
                </w:tcPr>
                <w:p>
                  <w:pPr>
                    <w:rPr>
                      <w:szCs w:val="21"/>
                    </w:rPr>
                  </w:pPr>
                  <w:r>
                    <w:rPr>
                      <w:rFonts w:hint="eastAsia"/>
                      <w:szCs w:val="21"/>
                    </w:rPr>
                    <w:t>收集系统+15m排气筒排放</w:t>
                  </w:r>
                </w:p>
              </w:tc>
              <w:tc>
                <w:tcPr>
                  <w:tcW w:w="1165" w:type="dxa"/>
                  <w:vAlign w:val="center"/>
                </w:tcPr>
                <w:p>
                  <w:pPr>
                    <w:jc w:val="center"/>
                    <w:rPr>
                      <w:szCs w:val="21"/>
                    </w:rPr>
                  </w:pPr>
                  <w:r>
                    <w:rPr>
                      <w:rFonts w:hint="eastAsia"/>
                      <w:szCs w:val="21"/>
                    </w:rPr>
                    <w:t>3套</w:t>
                  </w:r>
                </w:p>
              </w:tc>
              <w:tc>
                <w:tcPr>
                  <w:tcW w:w="1883" w:type="dxa"/>
                  <w:vAlign w:val="center"/>
                </w:tcPr>
                <w:p>
                  <w:pPr>
                    <w:snapToGrid w:val="0"/>
                    <w:spacing w:line="240" w:lineRule="exact"/>
                    <w:ind w:firstLine="105" w:firstLineChars="50"/>
                    <w:jc w:val="center"/>
                    <w:rPr>
                      <w:szCs w:val="21"/>
                    </w:rPr>
                  </w:pPr>
                  <w:r>
                    <w:rPr>
                      <w:rFonts w:hint="eastAsia"/>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Merge w:val="continue"/>
                  <w:vAlign w:val="center"/>
                </w:tcPr>
                <w:p>
                  <w:pPr>
                    <w:snapToGrid w:val="0"/>
                    <w:spacing w:line="240" w:lineRule="exact"/>
                    <w:jc w:val="center"/>
                    <w:rPr>
                      <w:szCs w:val="21"/>
                    </w:rPr>
                  </w:pPr>
                </w:p>
              </w:tc>
              <w:tc>
                <w:tcPr>
                  <w:tcW w:w="1899" w:type="dxa"/>
                  <w:vAlign w:val="center"/>
                </w:tcPr>
                <w:p>
                  <w:pPr>
                    <w:jc w:val="center"/>
                    <w:rPr>
                      <w:szCs w:val="21"/>
                    </w:rPr>
                  </w:pPr>
                  <w:r>
                    <w:rPr>
                      <w:rFonts w:hint="eastAsia"/>
                      <w:szCs w:val="21"/>
                    </w:rPr>
                    <w:t>破碎粉尘</w:t>
                  </w:r>
                </w:p>
              </w:tc>
              <w:tc>
                <w:tcPr>
                  <w:tcW w:w="3051" w:type="dxa"/>
                  <w:vAlign w:val="center"/>
                </w:tcPr>
                <w:p>
                  <w:pPr>
                    <w:rPr>
                      <w:szCs w:val="21"/>
                    </w:rPr>
                  </w:pPr>
                  <w:r>
                    <w:rPr>
                      <w:rFonts w:hint="eastAsia"/>
                      <w:szCs w:val="21"/>
                    </w:rPr>
                    <w:t>集气罩+除尘器+15m排气筒排放</w:t>
                  </w:r>
                </w:p>
              </w:tc>
              <w:tc>
                <w:tcPr>
                  <w:tcW w:w="1165" w:type="dxa"/>
                  <w:vAlign w:val="center"/>
                </w:tcPr>
                <w:p>
                  <w:pPr>
                    <w:jc w:val="center"/>
                    <w:rPr>
                      <w:szCs w:val="21"/>
                    </w:rPr>
                  </w:pPr>
                  <w:r>
                    <w:rPr>
                      <w:rFonts w:hint="eastAsia"/>
                      <w:szCs w:val="21"/>
                    </w:rPr>
                    <w:t>1套</w:t>
                  </w:r>
                </w:p>
              </w:tc>
              <w:tc>
                <w:tcPr>
                  <w:tcW w:w="1883" w:type="dxa"/>
                  <w:vAlign w:val="center"/>
                </w:tcPr>
                <w:p>
                  <w:pPr>
                    <w:snapToGrid w:val="0"/>
                    <w:spacing w:line="240" w:lineRule="exact"/>
                    <w:ind w:firstLine="105" w:firstLineChars="50"/>
                    <w:jc w:val="center"/>
                    <w:rPr>
                      <w:szCs w:val="21"/>
                    </w:rPr>
                  </w:pPr>
                  <w:r>
                    <w:rPr>
                      <w:rFonts w:hint="eastAsia"/>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Merge w:val="continue"/>
                  <w:vAlign w:val="center"/>
                </w:tcPr>
                <w:p>
                  <w:pPr>
                    <w:snapToGrid w:val="0"/>
                    <w:spacing w:line="240" w:lineRule="exact"/>
                    <w:jc w:val="center"/>
                    <w:rPr>
                      <w:szCs w:val="21"/>
                    </w:rPr>
                  </w:pPr>
                </w:p>
              </w:tc>
              <w:tc>
                <w:tcPr>
                  <w:tcW w:w="1899" w:type="dxa"/>
                  <w:vAlign w:val="center"/>
                </w:tcPr>
                <w:p>
                  <w:pPr>
                    <w:jc w:val="center"/>
                    <w:rPr>
                      <w:szCs w:val="21"/>
                    </w:rPr>
                  </w:pPr>
                  <w:r>
                    <w:rPr>
                      <w:rFonts w:hint="eastAsia"/>
                      <w:szCs w:val="21"/>
                    </w:rPr>
                    <w:t>粘土开采粉尘</w:t>
                  </w:r>
                </w:p>
              </w:tc>
              <w:tc>
                <w:tcPr>
                  <w:tcW w:w="3051" w:type="dxa"/>
                  <w:vAlign w:val="center"/>
                </w:tcPr>
                <w:p>
                  <w:pPr>
                    <w:jc w:val="center"/>
                    <w:rPr>
                      <w:szCs w:val="21"/>
                    </w:rPr>
                  </w:pPr>
                  <w:r>
                    <w:rPr>
                      <w:rFonts w:hint="eastAsia"/>
                      <w:szCs w:val="21"/>
                    </w:rPr>
                    <w:t>洒水车</w:t>
                  </w:r>
                </w:p>
              </w:tc>
              <w:tc>
                <w:tcPr>
                  <w:tcW w:w="1165" w:type="dxa"/>
                  <w:vAlign w:val="center"/>
                </w:tcPr>
                <w:p>
                  <w:pPr>
                    <w:jc w:val="center"/>
                    <w:rPr>
                      <w:szCs w:val="21"/>
                    </w:rPr>
                  </w:pPr>
                  <w:r>
                    <w:rPr>
                      <w:rFonts w:hint="eastAsia"/>
                      <w:szCs w:val="21"/>
                    </w:rPr>
                    <w:t>1台</w:t>
                  </w:r>
                </w:p>
              </w:tc>
              <w:tc>
                <w:tcPr>
                  <w:tcW w:w="1883" w:type="dxa"/>
                  <w:vAlign w:val="center"/>
                </w:tcPr>
                <w:p>
                  <w:pPr>
                    <w:snapToGrid w:val="0"/>
                    <w:spacing w:line="240" w:lineRule="exact"/>
                    <w:ind w:firstLine="105" w:firstLineChars="50"/>
                    <w:jc w:val="center"/>
                    <w:rPr>
                      <w:szCs w:val="21"/>
                    </w:rPr>
                  </w:pPr>
                  <w:r>
                    <w:rPr>
                      <w:rFonts w:hint="eastAsia"/>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Merge w:val="continue"/>
                  <w:vAlign w:val="center"/>
                </w:tcPr>
                <w:p>
                  <w:pPr>
                    <w:snapToGrid w:val="0"/>
                    <w:spacing w:line="240" w:lineRule="exact"/>
                    <w:jc w:val="center"/>
                    <w:rPr>
                      <w:szCs w:val="21"/>
                    </w:rPr>
                  </w:pPr>
                </w:p>
              </w:tc>
              <w:tc>
                <w:tcPr>
                  <w:tcW w:w="1899" w:type="dxa"/>
                  <w:vAlign w:val="center"/>
                </w:tcPr>
                <w:p>
                  <w:pPr>
                    <w:jc w:val="center"/>
                    <w:rPr>
                      <w:szCs w:val="21"/>
                    </w:rPr>
                  </w:pPr>
                  <w:r>
                    <w:rPr>
                      <w:rFonts w:hint="eastAsia"/>
                      <w:szCs w:val="21"/>
                    </w:rPr>
                    <w:t>原料卸粉尘</w:t>
                  </w:r>
                </w:p>
              </w:tc>
              <w:tc>
                <w:tcPr>
                  <w:tcW w:w="3051" w:type="dxa"/>
                  <w:vAlign w:val="center"/>
                </w:tcPr>
                <w:p>
                  <w:pPr>
                    <w:ind w:firstLine="210" w:firstLineChars="100"/>
                    <w:jc w:val="center"/>
                    <w:rPr>
                      <w:szCs w:val="21"/>
                    </w:rPr>
                  </w:pPr>
                  <w:r>
                    <w:rPr>
                      <w:rFonts w:hint="eastAsia"/>
                      <w:szCs w:val="21"/>
                    </w:rPr>
                    <w:t>封闭生产车间，车间门设置软门帘，喷雾降尘</w:t>
                  </w:r>
                </w:p>
              </w:tc>
              <w:tc>
                <w:tcPr>
                  <w:tcW w:w="1165" w:type="dxa"/>
                  <w:vAlign w:val="center"/>
                </w:tcPr>
                <w:p>
                  <w:pPr>
                    <w:jc w:val="center"/>
                    <w:rPr>
                      <w:szCs w:val="21"/>
                    </w:rPr>
                  </w:pPr>
                  <w:r>
                    <w:rPr>
                      <w:rFonts w:hint="eastAsia"/>
                      <w:szCs w:val="21"/>
                    </w:rPr>
                    <w:t>1套</w:t>
                  </w:r>
                </w:p>
              </w:tc>
              <w:tc>
                <w:tcPr>
                  <w:tcW w:w="1883" w:type="dxa"/>
                  <w:vAlign w:val="center"/>
                </w:tcPr>
                <w:p>
                  <w:pPr>
                    <w:snapToGrid w:val="0"/>
                    <w:spacing w:line="240" w:lineRule="exact"/>
                    <w:ind w:firstLine="105" w:firstLineChars="50"/>
                    <w:jc w:val="center"/>
                    <w:rPr>
                      <w:szCs w:val="21"/>
                    </w:rPr>
                  </w:pPr>
                  <w:r>
                    <w:rPr>
                      <w:rFonts w:hint="eastAsia"/>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Merge w:val="continue"/>
                  <w:vAlign w:val="center"/>
                </w:tcPr>
                <w:p>
                  <w:pPr>
                    <w:snapToGrid w:val="0"/>
                    <w:spacing w:line="240" w:lineRule="exact"/>
                    <w:jc w:val="center"/>
                    <w:rPr>
                      <w:szCs w:val="21"/>
                    </w:rPr>
                  </w:pPr>
                </w:p>
              </w:tc>
              <w:tc>
                <w:tcPr>
                  <w:tcW w:w="1899" w:type="dxa"/>
                  <w:vAlign w:val="center"/>
                </w:tcPr>
                <w:p>
                  <w:pPr>
                    <w:jc w:val="center"/>
                    <w:rPr>
                      <w:rFonts w:hAnsi="宋体"/>
                      <w:sz w:val="24"/>
                    </w:rPr>
                  </w:pPr>
                  <w:r>
                    <w:t>车辆</w:t>
                  </w:r>
                  <w:r>
                    <w:rPr>
                      <w:bCs/>
                    </w:rPr>
                    <w:t>运输扬尘</w:t>
                  </w:r>
                </w:p>
              </w:tc>
              <w:tc>
                <w:tcPr>
                  <w:tcW w:w="3051" w:type="dxa"/>
                  <w:vAlign w:val="center"/>
                </w:tcPr>
                <w:p>
                  <w:pPr>
                    <w:ind w:firstLine="210" w:firstLineChars="100"/>
                    <w:jc w:val="center"/>
                    <w:rPr>
                      <w:sz w:val="24"/>
                    </w:rPr>
                  </w:pPr>
                  <w:r>
                    <w:rPr>
                      <w:rFonts w:hint="eastAsia"/>
                    </w:rPr>
                    <w:t>洒水降尘，冲洗设备</w:t>
                  </w:r>
                </w:p>
              </w:tc>
              <w:tc>
                <w:tcPr>
                  <w:tcW w:w="1165" w:type="dxa"/>
                  <w:vAlign w:val="center"/>
                </w:tcPr>
                <w:p>
                  <w:pPr>
                    <w:jc w:val="center"/>
                    <w:rPr>
                      <w:szCs w:val="21"/>
                    </w:rPr>
                  </w:pPr>
                  <w:r>
                    <w:rPr>
                      <w:rFonts w:hint="eastAsia"/>
                      <w:szCs w:val="21"/>
                    </w:rPr>
                    <w:t>1套</w:t>
                  </w:r>
                </w:p>
              </w:tc>
              <w:tc>
                <w:tcPr>
                  <w:tcW w:w="1883" w:type="dxa"/>
                  <w:vAlign w:val="center"/>
                </w:tcPr>
                <w:p>
                  <w:pPr>
                    <w:snapToGrid w:val="0"/>
                    <w:spacing w:line="240" w:lineRule="exact"/>
                    <w:ind w:firstLine="105" w:firstLineChars="50"/>
                    <w:jc w:val="center"/>
                    <w:rPr>
                      <w:szCs w:val="21"/>
                    </w:rPr>
                  </w:pPr>
                  <w:r>
                    <w:rPr>
                      <w:rFonts w:hint="eastAsia"/>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Merge w:val="continue"/>
                  <w:vAlign w:val="center"/>
                </w:tcPr>
                <w:p>
                  <w:pPr>
                    <w:snapToGrid w:val="0"/>
                    <w:spacing w:line="240" w:lineRule="exact"/>
                    <w:jc w:val="center"/>
                    <w:rPr>
                      <w:szCs w:val="21"/>
                    </w:rPr>
                  </w:pPr>
                </w:p>
              </w:tc>
              <w:tc>
                <w:tcPr>
                  <w:tcW w:w="1899" w:type="dxa"/>
                  <w:vAlign w:val="center"/>
                </w:tcPr>
                <w:p>
                  <w:pPr>
                    <w:tabs>
                      <w:tab w:val="left" w:pos="3555"/>
                    </w:tabs>
                    <w:jc w:val="center"/>
                    <w:rPr>
                      <w:bCs/>
                      <w:szCs w:val="21"/>
                    </w:rPr>
                  </w:pPr>
                  <w:r>
                    <w:rPr>
                      <w:rFonts w:hint="eastAsia"/>
                      <w:bCs/>
                      <w:szCs w:val="21"/>
                    </w:rPr>
                    <w:t>厨房油烟</w:t>
                  </w:r>
                </w:p>
              </w:tc>
              <w:tc>
                <w:tcPr>
                  <w:tcW w:w="3051" w:type="dxa"/>
                  <w:vAlign w:val="center"/>
                </w:tcPr>
                <w:p>
                  <w:pPr>
                    <w:tabs>
                      <w:tab w:val="left" w:pos="3555"/>
                    </w:tabs>
                    <w:jc w:val="center"/>
                    <w:rPr>
                      <w:szCs w:val="21"/>
                    </w:rPr>
                  </w:pPr>
                  <w:r>
                    <w:rPr>
                      <w:rFonts w:hint="eastAsia"/>
                      <w:szCs w:val="21"/>
                    </w:rPr>
                    <w:t>油烟净化设备</w:t>
                  </w:r>
                </w:p>
              </w:tc>
              <w:tc>
                <w:tcPr>
                  <w:tcW w:w="1165" w:type="dxa"/>
                  <w:vAlign w:val="center"/>
                </w:tcPr>
                <w:p>
                  <w:pPr>
                    <w:tabs>
                      <w:tab w:val="left" w:pos="3555"/>
                    </w:tabs>
                    <w:jc w:val="center"/>
                    <w:rPr>
                      <w:bCs/>
                      <w:szCs w:val="21"/>
                    </w:rPr>
                  </w:pPr>
                  <w:r>
                    <w:rPr>
                      <w:rFonts w:hint="eastAsia"/>
                      <w:bCs/>
                      <w:szCs w:val="21"/>
                    </w:rPr>
                    <w:t>1台</w:t>
                  </w:r>
                </w:p>
              </w:tc>
              <w:tc>
                <w:tcPr>
                  <w:tcW w:w="1883" w:type="dxa"/>
                  <w:vAlign w:val="center"/>
                </w:tcPr>
                <w:p>
                  <w:pPr>
                    <w:snapToGrid w:val="0"/>
                    <w:spacing w:line="240" w:lineRule="exact"/>
                    <w:ind w:firstLine="105" w:firstLineChars="50"/>
                    <w:jc w:val="center"/>
                    <w:rPr>
                      <w:szCs w:val="21"/>
                    </w:rPr>
                  </w:pPr>
                  <w:r>
                    <w:rPr>
                      <w:rFonts w:hint="eastAsia"/>
                      <w:szCs w:val="21"/>
                    </w:rPr>
                    <w:t>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Align w:val="center"/>
                </w:tcPr>
                <w:p>
                  <w:pPr>
                    <w:snapToGrid w:val="0"/>
                    <w:spacing w:line="240" w:lineRule="exact"/>
                    <w:jc w:val="center"/>
                    <w:rPr>
                      <w:szCs w:val="21"/>
                    </w:rPr>
                  </w:pPr>
                  <w:r>
                    <w:rPr>
                      <w:rFonts w:hint="eastAsia"/>
                      <w:szCs w:val="21"/>
                    </w:rPr>
                    <w:t>废水</w:t>
                  </w:r>
                </w:p>
              </w:tc>
              <w:tc>
                <w:tcPr>
                  <w:tcW w:w="1899" w:type="dxa"/>
                  <w:vAlign w:val="center"/>
                </w:tcPr>
                <w:p>
                  <w:pPr>
                    <w:snapToGrid w:val="0"/>
                    <w:spacing w:line="240" w:lineRule="exact"/>
                    <w:jc w:val="center"/>
                    <w:rPr>
                      <w:szCs w:val="21"/>
                    </w:rPr>
                  </w:pPr>
                  <w:r>
                    <w:rPr>
                      <w:rFonts w:hint="eastAsia"/>
                      <w:szCs w:val="21"/>
                    </w:rPr>
                    <w:t>生活污水</w:t>
                  </w:r>
                </w:p>
              </w:tc>
              <w:tc>
                <w:tcPr>
                  <w:tcW w:w="3051" w:type="dxa"/>
                  <w:vAlign w:val="center"/>
                </w:tcPr>
                <w:p>
                  <w:pPr>
                    <w:spacing w:line="240" w:lineRule="exact"/>
                    <w:jc w:val="center"/>
                    <w:rPr>
                      <w:szCs w:val="21"/>
                    </w:rPr>
                  </w:pPr>
                  <w:r>
                    <w:rPr>
                      <w:rFonts w:hint="eastAsia"/>
                      <w:color w:val="FF0000"/>
                      <w:szCs w:val="21"/>
                    </w:rPr>
                    <w:t>化粪池</w:t>
                  </w:r>
                </w:p>
              </w:tc>
              <w:tc>
                <w:tcPr>
                  <w:tcW w:w="1165" w:type="dxa"/>
                  <w:vAlign w:val="center"/>
                </w:tcPr>
                <w:p>
                  <w:pPr>
                    <w:snapToGrid w:val="0"/>
                    <w:spacing w:line="240" w:lineRule="exact"/>
                    <w:jc w:val="center"/>
                    <w:rPr>
                      <w:szCs w:val="21"/>
                    </w:rPr>
                  </w:pPr>
                  <w:r>
                    <w:rPr>
                      <w:rFonts w:hint="eastAsia"/>
                      <w:szCs w:val="21"/>
                    </w:rPr>
                    <w:t>1座</w:t>
                  </w:r>
                </w:p>
              </w:tc>
              <w:tc>
                <w:tcPr>
                  <w:tcW w:w="1883" w:type="dxa"/>
                  <w:vAlign w:val="center"/>
                </w:tcPr>
                <w:p>
                  <w:pPr>
                    <w:snapToGrid w:val="0"/>
                    <w:spacing w:line="240" w:lineRule="exact"/>
                    <w:jc w:val="center"/>
                    <w:rPr>
                      <w:szCs w:val="21"/>
                    </w:rPr>
                  </w:pPr>
                  <w:r>
                    <w:rPr>
                      <w:rFonts w:hint="eastAsia"/>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Align w:val="center"/>
                </w:tcPr>
                <w:p>
                  <w:pPr>
                    <w:snapToGrid w:val="0"/>
                    <w:spacing w:line="240" w:lineRule="exact"/>
                    <w:jc w:val="center"/>
                    <w:rPr>
                      <w:szCs w:val="21"/>
                    </w:rPr>
                  </w:pPr>
                  <w:r>
                    <w:rPr>
                      <w:szCs w:val="21"/>
                    </w:rPr>
                    <w:t>噪声</w:t>
                  </w:r>
                </w:p>
              </w:tc>
              <w:tc>
                <w:tcPr>
                  <w:tcW w:w="1899" w:type="dxa"/>
                  <w:vAlign w:val="center"/>
                </w:tcPr>
                <w:p>
                  <w:pPr>
                    <w:snapToGrid w:val="0"/>
                    <w:spacing w:line="240" w:lineRule="exact"/>
                    <w:jc w:val="center"/>
                    <w:rPr>
                      <w:szCs w:val="21"/>
                    </w:rPr>
                  </w:pPr>
                  <w:r>
                    <w:rPr>
                      <w:rFonts w:hint="eastAsia" w:hAnsi="宋体"/>
                      <w:szCs w:val="21"/>
                    </w:rPr>
                    <w:t>设备噪声</w:t>
                  </w:r>
                </w:p>
              </w:tc>
              <w:tc>
                <w:tcPr>
                  <w:tcW w:w="3051" w:type="dxa"/>
                  <w:vAlign w:val="center"/>
                </w:tcPr>
                <w:p>
                  <w:pPr>
                    <w:snapToGrid w:val="0"/>
                    <w:spacing w:line="240" w:lineRule="exact"/>
                    <w:rPr>
                      <w:szCs w:val="21"/>
                    </w:rPr>
                  </w:pPr>
                  <w:r>
                    <w:rPr>
                      <w:rFonts w:hint="eastAsia" w:hAnsi="宋体"/>
                      <w:szCs w:val="21"/>
                    </w:rPr>
                    <w:t>置于封闭车间，</w:t>
                  </w:r>
                  <w:r>
                    <w:rPr>
                      <w:rFonts w:hint="eastAsia"/>
                      <w:szCs w:val="21"/>
                    </w:rPr>
                    <w:t>基础减振、车间隔声</w:t>
                  </w:r>
                </w:p>
              </w:tc>
              <w:tc>
                <w:tcPr>
                  <w:tcW w:w="1165" w:type="dxa"/>
                  <w:vAlign w:val="center"/>
                </w:tcPr>
                <w:p>
                  <w:pPr>
                    <w:snapToGrid w:val="0"/>
                    <w:spacing w:line="240" w:lineRule="exact"/>
                    <w:jc w:val="center"/>
                    <w:rPr>
                      <w:szCs w:val="21"/>
                    </w:rPr>
                  </w:pPr>
                  <w:r>
                    <w:rPr>
                      <w:szCs w:val="21"/>
                    </w:rPr>
                    <w:t>配套</w:t>
                  </w:r>
                </w:p>
              </w:tc>
              <w:tc>
                <w:tcPr>
                  <w:tcW w:w="1883" w:type="dxa"/>
                  <w:vAlign w:val="center"/>
                </w:tcPr>
                <w:p>
                  <w:pPr>
                    <w:snapToGrid w:val="0"/>
                    <w:spacing w:line="240" w:lineRule="exact"/>
                    <w:jc w:val="center"/>
                    <w:rPr>
                      <w:szCs w:val="21"/>
                    </w:rPr>
                  </w:pPr>
                  <w:r>
                    <w:rPr>
                      <w:rFonts w:hint="eastAsia"/>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Merge w:val="restart"/>
                  <w:vAlign w:val="center"/>
                </w:tcPr>
                <w:p>
                  <w:pPr>
                    <w:snapToGrid w:val="0"/>
                    <w:spacing w:line="240" w:lineRule="exact"/>
                    <w:jc w:val="center"/>
                    <w:rPr>
                      <w:szCs w:val="21"/>
                    </w:rPr>
                  </w:pPr>
                  <w:r>
                    <w:rPr>
                      <w:szCs w:val="21"/>
                    </w:rPr>
                    <w:t>固废</w:t>
                  </w:r>
                </w:p>
              </w:tc>
              <w:tc>
                <w:tcPr>
                  <w:tcW w:w="1899" w:type="dxa"/>
                  <w:vAlign w:val="center"/>
                </w:tcPr>
                <w:p>
                  <w:pPr>
                    <w:snapToGrid w:val="0"/>
                    <w:spacing w:line="240" w:lineRule="exact"/>
                    <w:jc w:val="center"/>
                    <w:rPr>
                      <w:szCs w:val="21"/>
                    </w:rPr>
                  </w:pPr>
                  <w:r>
                    <w:rPr>
                      <w:szCs w:val="21"/>
                    </w:rPr>
                    <w:t>生活垃圾</w:t>
                  </w:r>
                </w:p>
              </w:tc>
              <w:tc>
                <w:tcPr>
                  <w:tcW w:w="3051" w:type="dxa"/>
                  <w:vAlign w:val="center"/>
                </w:tcPr>
                <w:p>
                  <w:pPr>
                    <w:snapToGrid w:val="0"/>
                    <w:spacing w:line="240" w:lineRule="exact"/>
                    <w:jc w:val="center"/>
                    <w:rPr>
                      <w:szCs w:val="21"/>
                    </w:rPr>
                  </w:pPr>
                  <w:r>
                    <w:rPr>
                      <w:rFonts w:hint="eastAsia"/>
                      <w:szCs w:val="21"/>
                    </w:rPr>
                    <w:t>垃圾收集装置</w:t>
                  </w:r>
                </w:p>
              </w:tc>
              <w:tc>
                <w:tcPr>
                  <w:tcW w:w="1165" w:type="dxa"/>
                  <w:vAlign w:val="center"/>
                </w:tcPr>
                <w:p>
                  <w:pPr>
                    <w:snapToGrid w:val="0"/>
                    <w:spacing w:line="240" w:lineRule="exact"/>
                    <w:jc w:val="center"/>
                    <w:rPr>
                      <w:szCs w:val="21"/>
                    </w:rPr>
                  </w:pPr>
                  <w:r>
                    <w:rPr>
                      <w:szCs w:val="21"/>
                    </w:rPr>
                    <w:t>配套</w:t>
                  </w:r>
                </w:p>
              </w:tc>
              <w:tc>
                <w:tcPr>
                  <w:tcW w:w="1883" w:type="dxa"/>
                  <w:vAlign w:val="center"/>
                </w:tcPr>
                <w:p>
                  <w:pPr>
                    <w:snapToGrid w:val="0"/>
                    <w:spacing w:line="240" w:lineRule="exact"/>
                    <w:jc w:val="center"/>
                    <w:rPr>
                      <w:szCs w:val="21"/>
                    </w:rPr>
                  </w:pPr>
                  <w:r>
                    <w:rPr>
                      <w:rFonts w:hint="eastAsia"/>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Merge w:val="continue"/>
                  <w:vAlign w:val="center"/>
                </w:tcPr>
                <w:p>
                  <w:pPr>
                    <w:snapToGrid w:val="0"/>
                    <w:spacing w:line="240" w:lineRule="exact"/>
                    <w:jc w:val="center"/>
                    <w:rPr>
                      <w:szCs w:val="21"/>
                    </w:rPr>
                  </w:pPr>
                </w:p>
              </w:tc>
              <w:tc>
                <w:tcPr>
                  <w:tcW w:w="1899" w:type="dxa"/>
                  <w:vAlign w:val="center"/>
                </w:tcPr>
                <w:p>
                  <w:pPr>
                    <w:snapToGrid w:val="0"/>
                    <w:spacing w:line="240" w:lineRule="exact"/>
                    <w:jc w:val="center"/>
                    <w:rPr>
                      <w:color w:val="0070C0"/>
                      <w:szCs w:val="21"/>
                    </w:rPr>
                  </w:pPr>
                  <w:r>
                    <w:rPr>
                      <w:rFonts w:hint="eastAsia"/>
                      <w:color w:val="0070C0"/>
                      <w:szCs w:val="21"/>
                    </w:rPr>
                    <w:t>废机油</w:t>
                  </w:r>
                </w:p>
              </w:tc>
              <w:tc>
                <w:tcPr>
                  <w:tcW w:w="3051" w:type="dxa"/>
                  <w:vAlign w:val="center"/>
                </w:tcPr>
                <w:p>
                  <w:pPr>
                    <w:snapToGrid w:val="0"/>
                    <w:spacing w:line="240" w:lineRule="exact"/>
                    <w:jc w:val="center"/>
                    <w:rPr>
                      <w:color w:val="0070C0"/>
                      <w:szCs w:val="21"/>
                    </w:rPr>
                  </w:pPr>
                  <w:r>
                    <w:rPr>
                      <w:rFonts w:hint="eastAsia"/>
                      <w:color w:val="0070C0"/>
                      <w:szCs w:val="21"/>
                    </w:rPr>
                    <w:t>危废储存间</w:t>
                  </w:r>
                </w:p>
              </w:tc>
              <w:tc>
                <w:tcPr>
                  <w:tcW w:w="1165" w:type="dxa"/>
                  <w:vAlign w:val="center"/>
                </w:tcPr>
                <w:p>
                  <w:pPr>
                    <w:snapToGrid w:val="0"/>
                    <w:spacing w:line="240" w:lineRule="exact"/>
                    <w:jc w:val="center"/>
                    <w:rPr>
                      <w:color w:val="0070C0"/>
                      <w:szCs w:val="21"/>
                      <w:vertAlign w:val="superscript"/>
                    </w:rPr>
                  </w:pPr>
                  <w:r>
                    <w:rPr>
                      <w:rFonts w:hint="eastAsia"/>
                      <w:color w:val="0070C0"/>
                      <w:szCs w:val="21"/>
                    </w:rPr>
                    <w:t>5m</w:t>
                  </w:r>
                  <w:r>
                    <w:rPr>
                      <w:rFonts w:hint="eastAsia"/>
                      <w:color w:val="0070C0"/>
                      <w:szCs w:val="21"/>
                      <w:vertAlign w:val="superscript"/>
                    </w:rPr>
                    <w:t>2</w:t>
                  </w:r>
                </w:p>
              </w:tc>
              <w:tc>
                <w:tcPr>
                  <w:tcW w:w="1883" w:type="dxa"/>
                  <w:vAlign w:val="center"/>
                </w:tcPr>
                <w:p>
                  <w:pPr>
                    <w:snapToGrid w:val="0"/>
                    <w:spacing w:line="240" w:lineRule="exact"/>
                    <w:jc w:val="center"/>
                    <w:rPr>
                      <w:color w:val="0070C0"/>
                      <w:szCs w:val="21"/>
                    </w:rPr>
                  </w:pPr>
                  <w:r>
                    <w:rPr>
                      <w:rFonts w:hint="eastAsia"/>
                      <w:color w:val="0070C0"/>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Merge w:val="restart"/>
                  <w:vAlign w:val="center"/>
                </w:tcPr>
                <w:p>
                  <w:pPr>
                    <w:snapToGrid w:val="0"/>
                    <w:spacing w:line="240" w:lineRule="exact"/>
                    <w:jc w:val="center"/>
                    <w:rPr>
                      <w:szCs w:val="21"/>
                    </w:rPr>
                  </w:pPr>
                  <w:r>
                    <w:rPr>
                      <w:rFonts w:hint="eastAsia"/>
                      <w:szCs w:val="21"/>
                    </w:rPr>
                    <w:t>生态</w:t>
                  </w:r>
                </w:p>
              </w:tc>
              <w:tc>
                <w:tcPr>
                  <w:tcW w:w="1899" w:type="dxa"/>
                  <w:vAlign w:val="center"/>
                </w:tcPr>
                <w:p>
                  <w:pPr>
                    <w:snapToGrid w:val="0"/>
                    <w:spacing w:line="240" w:lineRule="exact"/>
                    <w:jc w:val="center"/>
                    <w:rPr>
                      <w:szCs w:val="21"/>
                    </w:rPr>
                  </w:pPr>
                  <w:r>
                    <w:rPr>
                      <w:rFonts w:hint="eastAsia"/>
                      <w:szCs w:val="21"/>
                    </w:rPr>
                    <w:t>水土流失</w:t>
                  </w:r>
                </w:p>
              </w:tc>
              <w:tc>
                <w:tcPr>
                  <w:tcW w:w="3051" w:type="dxa"/>
                  <w:vAlign w:val="center"/>
                </w:tcPr>
                <w:p>
                  <w:pPr>
                    <w:snapToGrid w:val="0"/>
                    <w:spacing w:line="240" w:lineRule="exact"/>
                    <w:jc w:val="center"/>
                    <w:rPr>
                      <w:szCs w:val="21"/>
                    </w:rPr>
                  </w:pPr>
                  <w:r>
                    <w:rPr>
                      <w:rFonts w:hint="eastAsia"/>
                      <w:szCs w:val="21"/>
                    </w:rPr>
                    <w:t>截排水设施</w:t>
                  </w:r>
                </w:p>
              </w:tc>
              <w:tc>
                <w:tcPr>
                  <w:tcW w:w="1165" w:type="dxa"/>
                  <w:vAlign w:val="center"/>
                </w:tcPr>
                <w:p>
                  <w:pPr>
                    <w:snapToGrid w:val="0"/>
                    <w:spacing w:line="240" w:lineRule="exact"/>
                    <w:jc w:val="center"/>
                    <w:rPr>
                      <w:szCs w:val="21"/>
                    </w:rPr>
                  </w:pPr>
                  <w:r>
                    <w:rPr>
                      <w:rFonts w:hint="eastAsia"/>
                      <w:szCs w:val="21"/>
                    </w:rPr>
                    <w:t>配套</w:t>
                  </w:r>
                </w:p>
              </w:tc>
              <w:tc>
                <w:tcPr>
                  <w:tcW w:w="1883" w:type="dxa"/>
                  <w:vAlign w:val="center"/>
                </w:tcPr>
                <w:p>
                  <w:pPr>
                    <w:snapToGrid w:val="0"/>
                    <w:spacing w:line="240" w:lineRule="exact"/>
                    <w:jc w:val="center"/>
                    <w:rPr>
                      <w:szCs w:val="21"/>
                    </w:rPr>
                  </w:pPr>
                  <w:r>
                    <w:rPr>
                      <w:rFonts w:hint="eastAsia"/>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Merge w:val="continue"/>
                  <w:vAlign w:val="center"/>
                </w:tcPr>
                <w:p>
                  <w:pPr>
                    <w:snapToGrid w:val="0"/>
                    <w:spacing w:line="240" w:lineRule="exact"/>
                    <w:jc w:val="center"/>
                    <w:rPr>
                      <w:szCs w:val="21"/>
                    </w:rPr>
                  </w:pPr>
                </w:p>
              </w:tc>
              <w:tc>
                <w:tcPr>
                  <w:tcW w:w="1899" w:type="dxa"/>
                  <w:vAlign w:val="center"/>
                </w:tcPr>
                <w:p>
                  <w:pPr>
                    <w:snapToGrid w:val="0"/>
                    <w:spacing w:line="240" w:lineRule="exact"/>
                    <w:jc w:val="center"/>
                    <w:rPr>
                      <w:szCs w:val="21"/>
                    </w:rPr>
                  </w:pPr>
                  <w:r>
                    <w:rPr>
                      <w:rFonts w:hint="eastAsia"/>
                      <w:szCs w:val="21"/>
                    </w:rPr>
                    <w:t>绿化</w:t>
                  </w:r>
                </w:p>
              </w:tc>
              <w:tc>
                <w:tcPr>
                  <w:tcW w:w="3051" w:type="dxa"/>
                  <w:vAlign w:val="center"/>
                </w:tcPr>
                <w:p>
                  <w:pPr>
                    <w:snapToGrid w:val="0"/>
                    <w:spacing w:line="240" w:lineRule="exact"/>
                    <w:jc w:val="center"/>
                    <w:rPr>
                      <w:szCs w:val="21"/>
                    </w:rPr>
                  </w:pPr>
                  <w:r>
                    <w:rPr>
                      <w:rFonts w:hint="eastAsia"/>
                      <w:szCs w:val="21"/>
                    </w:rPr>
                    <w:t>植树种草、绿化景观等</w:t>
                  </w:r>
                </w:p>
              </w:tc>
              <w:tc>
                <w:tcPr>
                  <w:tcW w:w="1165" w:type="dxa"/>
                  <w:vAlign w:val="center"/>
                </w:tcPr>
                <w:p>
                  <w:pPr>
                    <w:snapToGrid w:val="0"/>
                    <w:spacing w:line="240" w:lineRule="exact"/>
                    <w:jc w:val="center"/>
                    <w:rPr>
                      <w:szCs w:val="21"/>
                    </w:rPr>
                  </w:pPr>
                  <w:r>
                    <w:rPr>
                      <w:rFonts w:hint="eastAsia"/>
                      <w:szCs w:val="21"/>
                    </w:rPr>
                    <w:t>4000</w:t>
                  </w:r>
                  <w:r>
                    <w:rPr>
                      <w:szCs w:val="21"/>
                    </w:rPr>
                    <w:t>m</w:t>
                  </w:r>
                  <w:r>
                    <w:rPr>
                      <w:szCs w:val="21"/>
                      <w:vertAlign w:val="superscript"/>
                    </w:rPr>
                    <w:t>2</w:t>
                  </w:r>
                </w:p>
              </w:tc>
              <w:tc>
                <w:tcPr>
                  <w:tcW w:w="1883" w:type="dxa"/>
                  <w:vAlign w:val="center"/>
                </w:tcPr>
                <w:p>
                  <w:pPr>
                    <w:snapToGrid w:val="0"/>
                    <w:spacing w:line="240" w:lineRule="exact"/>
                    <w:jc w:val="center"/>
                    <w:rPr>
                      <w:szCs w:val="21"/>
                    </w:rPr>
                  </w:pPr>
                  <w:r>
                    <w:rPr>
                      <w:rFonts w:hint="eastAsia"/>
                      <w:szCs w:val="21"/>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Merge w:val="continue"/>
                  <w:vAlign w:val="center"/>
                </w:tcPr>
                <w:p>
                  <w:pPr>
                    <w:snapToGrid w:val="0"/>
                    <w:spacing w:line="240" w:lineRule="exact"/>
                    <w:jc w:val="center"/>
                    <w:rPr>
                      <w:szCs w:val="21"/>
                    </w:rPr>
                  </w:pPr>
                </w:p>
              </w:tc>
              <w:tc>
                <w:tcPr>
                  <w:tcW w:w="1899" w:type="dxa"/>
                  <w:vMerge w:val="restart"/>
                  <w:vAlign w:val="center"/>
                </w:tcPr>
                <w:p>
                  <w:pPr>
                    <w:snapToGrid w:val="0"/>
                    <w:spacing w:line="240" w:lineRule="exact"/>
                    <w:jc w:val="center"/>
                    <w:rPr>
                      <w:szCs w:val="21"/>
                    </w:rPr>
                  </w:pPr>
                  <w:r>
                    <w:rPr>
                      <w:rFonts w:hint="eastAsia"/>
                      <w:szCs w:val="21"/>
                    </w:rPr>
                    <w:t>取土区复垦</w:t>
                  </w:r>
                </w:p>
              </w:tc>
              <w:tc>
                <w:tcPr>
                  <w:tcW w:w="3051" w:type="dxa"/>
                  <w:vAlign w:val="center"/>
                </w:tcPr>
                <w:p>
                  <w:pPr>
                    <w:snapToGrid w:val="0"/>
                    <w:spacing w:line="240" w:lineRule="exact"/>
                    <w:jc w:val="center"/>
                    <w:rPr>
                      <w:szCs w:val="21"/>
                    </w:rPr>
                  </w:pPr>
                  <w:r>
                    <w:rPr>
                      <w:rFonts w:hint="eastAsia"/>
                      <w:szCs w:val="21"/>
                    </w:rPr>
                    <w:t>种草</w:t>
                  </w:r>
                </w:p>
              </w:tc>
              <w:tc>
                <w:tcPr>
                  <w:tcW w:w="1165" w:type="dxa"/>
                  <w:vAlign w:val="center"/>
                </w:tcPr>
                <w:p>
                  <w:pPr>
                    <w:snapToGrid w:val="0"/>
                    <w:spacing w:line="240" w:lineRule="exact"/>
                    <w:jc w:val="center"/>
                    <w:rPr>
                      <w:szCs w:val="21"/>
                    </w:rPr>
                  </w:pPr>
                  <w:r>
                    <w:rPr>
                      <w:rFonts w:hint="eastAsia"/>
                      <w:szCs w:val="21"/>
                    </w:rPr>
                    <w:t>90490</w:t>
                  </w:r>
                  <w:r>
                    <w:rPr>
                      <w:szCs w:val="21"/>
                    </w:rPr>
                    <w:t>m</w:t>
                  </w:r>
                  <w:r>
                    <w:rPr>
                      <w:szCs w:val="21"/>
                      <w:vertAlign w:val="superscript"/>
                    </w:rPr>
                    <w:t>2</w:t>
                  </w:r>
                </w:p>
              </w:tc>
              <w:tc>
                <w:tcPr>
                  <w:tcW w:w="1883" w:type="dxa"/>
                  <w:vAlign w:val="center"/>
                </w:tcPr>
                <w:p>
                  <w:pPr>
                    <w:snapToGrid w:val="0"/>
                    <w:spacing w:line="240" w:lineRule="exact"/>
                    <w:jc w:val="center"/>
                    <w:rPr>
                      <w:szCs w:val="21"/>
                    </w:rPr>
                  </w:pPr>
                  <w:r>
                    <w:rPr>
                      <w:rFonts w:hint="eastAsia"/>
                      <w:szCs w:val="21"/>
                    </w:rPr>
                    <w:t>108.6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6" w:type="dxa"/>
                  <w:vMerge w:val="continue"/>
                  <w:vAlign w:val="center"/>
                </w:tcPr>
                <w:p>
                  <w:pPr>
                    <w:snapToGrid w:val="0"/>
                    <w:spacing w:line="240" w:lineRule="exact"/>
                    <w:jc w:val="center"/>
                    <w:rPr>
                      <w:szCs w:val="21"/>
                    </w:rPr>
                  </w:pPr>
                </w:p>
              </w:tc>
              <w:tc>
                <w:tcPr>
                  <w:tcW w:w="1899" w:type="dxa"/>
                  <w:vMerge w:val="continue"/>
                  <w:vAlign w:val="center"/>
                </w:tcPr>
                <w:p>
                  <w:pPr>
                    <w:snapToGrid w:val="0"/>
                    <w:spacing w:line="240" w:lineRule="exact"/>
                    <w:jc w:val="center"/>
                    <w:rPr>
                      <w:szCs w:val="21"/>
                    </w:rPr>
                  </w:pPr>
                </w:p>
              </w:tc>
              <w:tc>
                <w:tcPr>
                  <w:tcW w:w="3051" w:type="dxa"/>
                  <w:vAlign w:val="center"/>
                </w:tcPr>
                <w:p>
                  <w:pPr>
                    <w:snapToGrid w:val="0"/>
                    <w:spacing w:line="240" w:lineRule="exact"/>
                    <w:jc w:val="center"/>
                    <w:rPr>
                      <w:szCs w:val="21"/>
                    </w:rPr>
                  </w:pPr>
                  <w:r>
                    <w:rPr>
                      <w:rFonts w:hint="eastAsia"/>
                      <w:szCs w:val="21"/>
                    </w:rPr>
                    <w:t xml:space="preserve">植树 </w:t>
                  </w:r>
                </w:p>
              </w:tc>
              <w:tc>
                <w:tcPr>
                  <w:tcW w:w="1165" w:type="dxa"/>
                  <w:vAlign w:val="center"/>
                </w:tcPr>
                <w:p>
                  <w:pPr>
                    <w:snapToGrid w:val="0"/>
                    <w:spacing w:line="240" w:lineRule="exact"/>
                    <w:jc w:val="center"/>
                    <w:rPr>
                      <w:szCs w:val="21"/>
                    </w:rPr>
                  </w:pPr>
                  <w:r>
                    <w:rPr>
                      <w:rFonts w:hint="eastAsia"/>
                      <w:szCs w:val="21"/>
                    </w:rPr>
                    <w:t>10054棵</w:t>
                  </w:r>
                </w:p>
              </w:tc>
              <w:tc>
                <w:tcPr>
                  <w:tcW w:w="1883" w:type="dxa"/>
                  <w:vAlign w:val="center"/>
                </w:tcPr>
                <w:p>
                  <w:pPr>
                    <w:snapToGrid w:val="0"/>
                    <w:spacing w:line="240" w:lineRule="exact"/>
                    <w:jc w:val="center"/>
                    <w:rPr>
                      <w:szCs w:val="21"/>
                    </w:rPr>
                  </w:pPr>
                  <w:r>
                    <w:rPr>
                      <w:rFonts w:hint="eastAsia"/>
                      <w:szCs w:val="21"/>
                    </w:rPr>
                    <w:t>36.5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41" w:type="dxa"/>
                  <w:gridSpan w:val="4"/>
                  <w:vAlign w:val="center"/>
                </w:tcPr>
                <w:p>
                  <w:pPr>
                    <w:snapToGrid w:val="0"/>
                    <w:spacing w:line="240" w:lineRule="exact"/>
                    <w:jc w:val="center"/>
                    <w:rPr>
                      <w:szCs w:val="21"/>
                    </w:rPr>
                  </w:pPr>
                  <w:r>
                    <w:rPr>
                      <w:rFonts w:hint="eastAsia"/>
                      <w:szCs w:val="21"/>
                    </w:rPr>
                    <w:t>合计</w:t>
                  </w:r>
                </w:p>
              </w:tc>
              <w:tc>
                <w:tcPr>
                  <w:tcW w:w="1883" w:type="dxa"/>
                  <w:vAlign w:val="center"/>
                </w:tcPr>
                <w:p>
                  <w:pPr>
                    <w:snapToGrid w:val="0"/>
                    <w:spacing w:line="240" w:lineRule="exact"/>
                    <w:jc w:val="center"/>
                    <w:rPr>
                      <w:szCs w:val="21"/>
                    </w:rPr>
                  </w:pPr>
                  <w:r>
                    <w:rPr>
                      <w:rFonts w:hint="eastAsia"/>
                      <w:szCs w:val="21"/>
                    </w:rPr>
                    <w:t>257</w:t>
                  </w:r>
                </w:p>
              </w:tc>
            </w:tr>
          </w:tbl>
          <w:p>
            <w:pPr>
              <w:spacing w:line="360" w:lineRule="auto"/>
              <w:ind w:right="105" w:rightChars="50"/>
              <w:rPr>
                <w:b/>
                <w:sz w:val="24"/>
              </w:rPr>
            </w:pPr>
            <w:r>
              <w:rPr>
                <w:rFonts w:hint="eastAsia"/>
                <w:b/>
                <w:sz w:val="24"/>
              </w:rPr>
              <w:t xml:space="preserve">     十、项目污染物排放清单</w:t>
            </w:r>
          </w:p>
          <w:p>
            <w:pPr>
              <w:rPr>
                <w:sz w:val="24"/>
              </w:rPr>
            </w:pPr>
            <w:r>
              <w:rPr>
                <w:rFonts w:hint="eastAsia"/>
                <w:sz w:val="24"/>
              </w:rPr>
              <w:t xml:space="preserve">     项目污染物排放清单见表60。</w:t>
            </w:r>
          </w:p>
          <w:p>
            <w:pPr>
              <w:jc w:val="center"/>
              <w:rPr>
                <w:b/>
                <w:szCs w:val="21"/>
              </w:rPr>
            </w:pPr>
            <w:r>
              <w:rPr>
                <w:b/>
                <w:szCs w:val="21"/>
              </w:rPr>
              <w:t>表</w:t>
            </w:r>
            <w:r>
              <w:rPr>
                <w:rFonts w:hint="eastAsia"/>
                <w:b/>
                <w:szCs w:val="21"/>
              </w:rPr>
              <w:t>60</w:t>
            </w:r>
            <w:r>
              <w:rPr>
                <w:b/>
                <w:szCs w:val="21"/>
              </w:rPr>
              <w:t xml:space="preserve">    污染物排放清单</w:t>
            </w:r>
          </w:p>
          <w:tbl>
            <w:tblPr>
              <w:tblStyle w:val="24"/>
              <w:tblW w:w="8824"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918"/>
              <w:gridCol w:w="2109"/>
              <w:gridCol w:w="2686"/>
              <w:gridCol w:w="2111"/>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1918" w:type="dxa"/>
                  <w:vMerge w:val="restart"/>
                  <w:vAlign w:val="center"/>
                </w:tcPr>
                <w:p>
                  <w:pPr>
                    <w:pStyle w:val="76"/>
                    <w:rPr>
                      <w:sz w:val="21"/>
                      <w:szCs w:val="21"/>
                      <w:lang w:val="en-US"/>
                    </w:rPr>
                  </w:pPr>
                  <w:r>
                    <w:rPr>
                      <w:sz w:val="21"/>
                      <w:szCs w:val="21"/>
                    </w:rPr>
                    <w:t>分类</w:t>
                  </w:r>
                </w:p>
              </w:tc>
              <w:tc>
                <w:tcPr>
                  <w:tcW w:w="2109" w:type="dxa"/>
                  <w:vMerge w:val="restart"/>
                  <w:vAlign w:val="center"/>
                </w:tcPr>
                <w:p>
                  <w:pPr>
                    <w:pStyle w:val="76"/>
                    <w:rPr>
                      <w:sz w:val="21"/>
                      <w:szCs w:val="21"/>
                      <w:lang w:val="en-US"/>
                    </w:rPr>
                  </w:pPr>
                  <w:r>
                    <w:rPr>
                      <w:sz w:val="21"/>
                      <w:szCs w:val="21"/>
                    </w:rPr>
                    <w:t>污染物</w:t>
                  </w:r>
                </w:p>
              </w:tc>
              <w:tc>
                <w:tcPr>
                  <w:tcW w:w="4797" w:type="dxa"/>
                  <w:gridSpan w:val="2"/>
                  <w:vAlign w:val="center"/>
                </w:tcPr>
                <w:p>
                  <w:pPr>
                    <w:pStyle w:val="76"/>
                    <w:rPr>
                      <w:sz w:val="21"/>
                      <w:szCs w:val="21"/>
                      <w:lang w:val="en-US"/>
                    </w:rPr>
                  </w:pPr>
                  <w:r>
                    <w:rPr>
                      <w:sz w:val="21"/>
                      <w:szCs w:val="21"/>
                    </w:rPr>
                    <w:t>污染物排放情况</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1918" w:type="dxa"/>
                  <w:vMerge w:val="continue"/>
                  <w:vAlign w:val="center"/>
                </w:tcPr>
                <w:p>
                  <w:pPr>
                    <w:pStyle w:val="76"/>
                    <w:rPr>
                      <w:sz w:val="21"/>
                      <w:szCs w:val="21"/>
                      <w:lang w:val="en-US"/>
                    </w:rPr>
                  </w:pPr>
                </w:p>
              </w:tc>
              <w:tc>
                <w:tcPr>
                  <w:tcW w:w="2109" w:type="dxa"/>
                  <w:vMerge w:val="continue"/>
                  <w:vAlign w:val="center"/>
                </w:tcPr>
                <w:p>
                  <w:pPr>
                    <w:pStyle w:val="76"/>
                    <w:rPr>
                      <w:sz w:val="21"/>
                      <w:szCs w:val="21"/>
                      <w:lang w:val="en-US"/>
                    </w:rPr>
                  </w:pPr>
                </w:p>
              </w:tc>
              <w:tc>
                <w:tcPr>
                  <w:tcW w:w="2686" w:type="dxa"/>
                  <w:vAlign w:val="center"/>
                </w:tcPr>
                <w:p>
                  <w:pPr>
                    <w:pStyle w:val="76"/>
                    <w:rPr>
                      <w:sz w:val="21"/>
                      <w:szCs w:val="21"/>
                      <w:lang w:val="en-US"/>
                    </w:rPr>
                  </w:pPr>
                  <w:r>
                    <w:rPr>
                      <w:sz w:val="21"/>
                      <w:szCs w:val="21"/>
                    </w:rPr>
                    <w:t>排放浓度</w:t>
                  </w:r>
                </w:p>
              </w:tc>
              <w:tc>
                <w:tcPr>
                  <w:tcW w:w="2111" w:type="dxa"/>
                  <w:vAlign w:val="center"/>
                </w:tcPr>
                <w:p>
                  <w:pPr>
                    <w:pStyle w:val="76"/>
                    <w:rPr>
                      <w:sz w:val="21"/>
                      <w:szCs w:val="21"/>
                      <w:lang w:val="en-US"/>
                    </w:rPr>
                  </w:pPr>
                  <w:r>
                    <w:rPr>
                      <w:sz w:val="21"/>
                      <w:szCs w:val="21"/>
                    </w:rPr>
                    <w:t>排放量</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1918" w:type="dxa"/>
                  <w:vMerge w:val="restart"/>
                  <w:vAlign w:val="center"/>
                </w:tcPr>
                <w:p>
                  <w:pPr>
                    <w:pStyle w:val="76"/>
                    <w:rPr>
                      <w:sz w:val="21"/>
                      <w:szCs w:val="21"/>
                      <w:lang w:val="en-US"/>
                    </w:rPr>
                  </w:pPr>
                  <w:r>
                    <w:rPr>
                      <w:sz w:val="21"/>
                      <w:szCs w:val="21"/>
                    </w:rPr>
                    <w:t>废</w:t>
                  </w:r>
                  <w:r>
                    <w:rPr>
                      <w:rFonts w:hint="eastAsia"/>
                      <w:sz w:val="21"/>
                      <w:szCs w:val="21"/>
                    </w:rPr>
                    <w:t>气</w:t>
                  </w:r>
                </w:p>
              </w:tc>
              <w:tc>
                <w:tcPr>
                  <w:tcW w:w="2109" w:type="dxa"/>
                  <w:vAlign w:val="center"/>
                </w:tcPr>
                <w:p>
                  <w:pPr>
                    <w:pStyle w:val="76"/>
                    <w:rPr>
                      <w:sz w:val="21"/>
                      <w:szCs w:val="21"/>
                      <w:lang w:val="en-US"/>
                    </w:rPr>
                  </w:pPr>
                  <w:r>
                    <w:rPr>
                      <w:rFonts w:hint="eastAsia"/>
                      <w:sz w:val="21"/>
                      <w:szCs w:val="21"/>
                      <w:lang w:val="en-US"/>
                    </w:rPr>
                    <w:t>隧道窑</w:t>
                  </w:r>
                  <w:r>
                    <w:rPr>
                      <w:sz w:val="21"/>
                      <w:szCs w:val="21"/>
                      <w:lang w:val="en-US"/>
                    </w:rPr>
                    <w:t>废气量</w:t>
                  </w:r>
                </w:p>
              </w:tc>
              <w:tc>
                <w:tcPr>
                  <w:tcW w:w="2686" w:type="dxa"/>
                  <w:vAlign w:val="center"/>
                </w:tcPr>
                <w:p>
                  <w:pPr>
                    <w:pStyle w:val="76"/>
                    <w:rPr>
                      <w:sz w:val="21"/>
                      <w:szCs w:val="21"/>
                      <w:lang w:val="en-US"/>
                    </w:rPr>
                  </w:pPr>
                  <w:r>
                    <w:rPr>
                      <w:rFonts w:hint="eastAsia"/>
                      <w:sz w:val="21"/>
                      <w:szCs w:val="21"/>
                      <w:lang w:val="en-US"/>
                    </w:rPr>
                    <w:t>/</w:t>
                  </w:r>
                </w:p>
              </w:tc>
              <w:tc>
                <w:tcPr>
                  <w:tcW w:w="2111" w:type="dxa"/>
                  <w:vAlign w:val="center"/>
                </w:tcPr>
                <w:p>
                  <w:pPr>
                    <w:pStyle w:val="76"/>
                    <w:rPr>
                      <w:sz w:val="21"/>
                      <w:szCs w:val="21"/>
                      <w:lang w:val="en-US"/>
                    </w:rPr>
                  </w:pPr>
                  <w:r>
                    <w:rPr>
                      <w:rFonts w:hint="eastAsia"/>
                      <w:bCs/>
                      <w:snapToGrid w:val="0"/>
                      <w:sz w:val="21"/>
                      <w:szCs w:val="21"/>
                      <w:lang w:val="en-US"/>
                    </w:rPr>
                    <w:t>7.7×10</w:t>
                  </w:r>
                  <w:r>
                    <w:rPr>
                      <w:rFonts w:hint="eastAsia"/>
                      <w:bCs/>
                      <w:snapToGrid w:val="0"/>
                      <w:sz w:val="21"/>
                      <w:szCs w:val="21"/>
                      <w:vertAlign w:val="superscript"/>
                      <w:lang w:val="en-US"/>
                    </w:rPr>
                    <w:t>7</w:t>
                  </w:r>
                  <w:r>
                    <w:rPr>
                      <w:rFonts w:hint="eastAsia"/>
                      <w:bCs/>
                      <w:snapToGrid w:val="0"/>
                      <w:sz w:val="21"/>
                      <w:szCs w:val="21"/>
                      <w:lang w:val="en-US"/>
                    </w:rPr>
                    <w:t>m</w:t>
                  </w:r>
                  <w:r>
                    <w:rPr>
                      <w:rFonts w:hint="eastAsia"/>
                      <w:bCs/>
                      <w:snapToGrid w:val="0"/>
                      <w:sz w:val="21"/>
                      <w:szCs w:val="21"/>
                      <w:vertAlign w:val="superscript"/>
                      <w:lang w:val="en-US"/>
                    </w:rPr>
                    <w:t>3</w:t>
                  </w:r>
                  <w:r>
                    <w:rPr>
                      <w:rFonts w:hint="eastAsia"/>
                      <w:bCs/>
                      <w:snapToGrid w:val="0"/>
                      <w:sz w:val="21"/>
                      <w:szCs w:val="21"/>
                      <w:lang w:val="en-US"/>
                    </w:rPr>
                    <w:t>/a</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92" w:hRule="atLeast"/>
              </w:trPr>
              <w:tc>
                <w:tcPr>
                  <w:tcW w:w="1918" w:type="dxa"/>
                  <w:vMerge w:val="continue"/>
                  <w:vAlign w:val="center"/>
                </w:tcPr>
                <w:p>
                  <w:pPr>
                    <w:pStyle w:val="76"/>
                    <w:rPr>
                      <w:sz w:val="21"/>
                      <w:szCs w:val="21"/>
                      <w:lang w:val="en-US"/>
                    </w:rPr>
                  </w:pPr>
                </w:p>
              </w:tc>
              <w:tc>
                <w:tcPr>
                  <w:tcW w:w="2109" w:type="dxa"/>
                  <w:vAlign w:val="center"/>
                </w:tcPr>
                <w:p>
                  <w:pPr>
                    <w:adjustRightInd w:val="0"/>
                    <w:snapToGrid w:val="0"/>
                    <w:spacing w:line="320" w:lineRule="exact"/>
                    <w:ind w:right="53" w:rightChars="25"/>
                    <w:jc w:val="center"/>
                    <w:rPr>
                      <w:snapToGrid w:val="0"/>
                      <w:kern w:val="0"/>
                      <w:szCs w:val="21"/>
                    </w:rPr>
                  </w:pPr>
                  <w:r>
                    <w:rPr>
                      <w:szCs w:val="21"/>
                    </w:rPr>
                    <w:t>SO</w:t>
                  </w:r>
                  <w:r>
                    <w:rPr>
                      <w:szCs w:val="21"/>
                      <w:vertAlign w:val="subscript"/>
                    </w:rPr>
                    <w:t>2</w:t>
                  </w:r>
                </w:p>
              </w:tc>
              <w:tc>
                <w:tcPr>
                  <w:tcW w:w="2686" w:type="dxa"/>
                  <w:vAlign w:val="center"/>
                </w:tcPr>
                <w:p>
                  <w:pPr>
                    <w:adjustRightInd w:val="0"/>
                    <w:snapToGrid w:val="0"/>
                    <w:spacing w:line="320" w:lineRule="exact"/>
                    <w:ind w:right="53" w:rightChars="25"/>
                    <w:jc w:val="center"/>
                    <w:rPr>
                      <w:snapToGrid w:val="0"/>
                      <w:kern w:val="0"/>
                      <w:szCs w:val="21"/>
                      <w:vertAlign w:val="superscript"/>
                    </w:rPr>
                  </w:pPr>
                  <w:r>
                    <w:rPr>
                      <w:rFonts w:hint="eastAsia"/>
                      <w:szCs w:val="21"/>
                    </w:rPr>
                    <w:t>8.8</w:t>
                  </w:r>
                  <w:r>
                    <w:rPr>
                      <w:szCs w:val="21"/>
                    </w:rPr>
                    <w:t>mg/m</w:t>
                  </w:r>
                  <w:r>
                    <w:rPr>
                      <w:szCs w:val="21"/>
                      <w:vertAlign w:val="superscript"/>
                    </w:rPr>
                    <w:t>3</w:t>
                  </w:r>
                </w:p>
              </w:tc>
              <w:tc>
                <w:tcPr>
                  <w:tcW w:w="2111" w:type="dxa"/>
                  <w:vAlign w:val="center"/>
                </w:tcPr>
                <w:p>
                  <w:pPr>
                    <w:adjustRightInd w:val="0"/>
                    <w:snapToGrid w:val="0"/>
                    <w:spacing w:line="320" w:lineRule="exact"/>
                    <w:ind w:right="53" w:rightChars="25"/>
                    <w:jc w:val="center"/>
                    <w:rPr>
                      <w:snapToGrid w:val="0"/>
                      <w:kern w:val="0"/>
                      <w:szCs w:val="21"/>
                    </w:rPr>
                  </w:pPr>
                  <w:r>
                    <w:rPr>
                      <w:rFonts w:hint="eastAsia"/>
                      <w:snapToGrid w:val="0"/>
                      <w:kern w:val="0"/>
                      <w:szCs w:val="21"/>
                    </w:rPr>
                    <w:t>0.680t/a</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1918" w:type="dxa"/>
                  <w:vMerge w:val="continue"/>
                  <w:vAlign w:val="center"/>
                </w:tcPr>
                <w:p>
                  <w:pPr>
                    <w:pStyle w:val="76"/>
                    <w:rPr>
                      <w:sz w:val="21"/>
                      <w:szCs w:val="21"/>
                      <w:lang w:val="en-US"/>
                    </w:rPr>
                  </w:pPr>
                </w:p>
              </w:tc>
              <w:tc>
                <w:tcPr>
                  <w:tcW w:w="2109" w:type="dxa"/>
                  <w:vAlign w:val="center"/>
                </w:tcPr>
                <w:p>
                  <w:pPr>
                    <w:adjustRightInd w:val="0"/>
                    <w:snapToGrid w:val="0"/>
                    <w:spacing w:line="320" w:lineRule="exact"/>
                    <w:ind w:right="53" w:rightChars="25"/>
                    <w:jc w:val="center"/>
                    <w:rPr>
                      <w:snapToGrid w:val="0"/>
                      <w:kern w:val="0"/>
                      <w:szCs w:val="21"/>
                    </w:rPr>
                  </w:pPr>
                  <w:r>
                    <w:rPr>
                      <w:rFonts w:hint="eastAsia"/>
                      <w:szCs w:val="21"/>
                    </w:rPr>
                    <w:t>NO</w:t>
                  </w:r>
                  <w:r>
                    <w:rPr>
                      <w:rFonts w:hint="eastAsia"/>
                      <w:szCs w:val="21"/>
                      <w:vertAlign w:val="subscript"/>
                    </w:rPr>
                    <w:t>X</w:t>
                  </w:r>
                </w:p>
              </w:tc>
              <w:tc>
                <w:tcPr>
                  <w:tcW w:w="2686" w:type="dxa"/>
                  <w:vAlign w:val="center"/>
                </w:tcPr>
                <w:p>
                  <w:pPr>
                    <w:adjustRightInd w:val="0"/>
                    <w:snapToGrid w:val="0"/>
                    <w:spacing w:line="320" w:lineRule="exact"/>
                    <w:ind w:right="53" w:rightChars="25"/>
                    <w:jc w:val="center"/>
                    <w:rPr>
                      <w:snapToGrid w:val="0"/>
                      <w:kern w:val="0"/>
                      <w:szCs w:val="21"/>
                    </w:rPr>
                  </w:pPr>
                  <w:r>
                    <w:rPr>
                      <w:rFonts w:hint="eastAsia"/>
                      <w:szCs w:val="21"/>
                    </w:rPr>
                    <w:t>137.3</w:t>
                  </w:r>
                  <w:r>
                    <w:rPr>
                      <w:szCs w:val="21"/>
                    </w:rPr>
                    <w:t>mg/m</w:t>
                  </w:r>
                  <w:r>
                    <w:rPr>
                      <w:szCs w:val="21"/>
                      <w:vertAlign w:val="superscript"/>
                    </w:rPr>
                    <w:t>3</w:t>
                  </w:r>
                </w:p>
              </w:tc>
              <w:tc>
                <w:tcPr>
                  <w:tcW w:w="2111" w:type="dxa"/>
                  <w:vAlign w:val="center"/>
                </w:tcPr>
                <w:p>
                  <w:pPr>
                    <w:adjustRightInd w:val="0"/>
                    <w:snapToGrid w:val="0"/>
                    <w:spacing w:line="320" w:lineRule="exact"/>
                    <w:ind w:right="53" w:rightChars="25"/>
                    <w:jc w:val="center"/>
                    <w:rPr>
                      <w:snapToGrid w:val="0"/>
                      <w:kern w:val="0"/>
                      <w:szCs w:val="21"/>
                    </w:rPr>
                  </w:pPr>
                  <w:r>
                    <w:rPr>
                      <w:rFonts w:hint="eastAsia"/>
                      <w:snapToGrid w:val="0"/>
                      <w:kern w:val="0"/>
                      <w:szCs w:val="21"/>
                    </w:rPr>
                    <w:t>10.609t/a</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1918" w:type="dxa"/>
                  <w:vMerge w:val="continue"/>
                  <w:vAlign w:val="center"/>
                </w:tcPr>
                <w:p>
                  <w:pPr>
                    <w:pStyle w:val="76"/>
                    <w:rPr>
                      <w:sz w:val="21"/>
                      <w:szCs w:val="21"/>
                      <w:lang w:val="en-US"/>
                    </w:rPr>
                  </w:pPr>
                </w:p>
              </w:tc>
              <w:tc>
                <w:tcPr>
                  <w:tcW w:w="2109" w:type="dxa"/>
                  <w:vAlign w:val="center"/>
                </w:tcPr>
                <w:p>
                  <w:pPr>
                    <w:adjustRightInd w:val="0"/>
                    <w:snapToGrid w:val="0"/>
                    <w:spacing w:line="320" w:lineRule="exact"/>
                    <w:ind w:right="53" w:rightChars="25"/>
                    <w:jc w:val="center"/>
                    <w:rPr>
                      <w:snapToGrid w:val="0"/>
                      <w:kern w:val="0"/>
                      <w:szCs w:val="21"/>
                    </w:rPr>
                  </w:pPr>
                  <w:r>
                    <w:rPr>
                      <w:rFonts w:hint="eastAsia"/>
                      <w:snapToGrid w:val="0"/>
                      <w:kern w:val="0"/>
                      <w:szCs w:val="21"/>
                    </w:rPr>
                    <w:t>烟尘</w:t>
                  </w:r>
                </w:p>
              </w:tc>
              <w:tc>
                <w:tcPr>
                  <w:tcW w:w="2686" w:type="dxa"/>
                  <w:vAlign w:val="center"/>
                </w:tcPr>
                <w:p>
                  <w:pPr>
                    <w:adjustRightInd w:val="0"/>
                    <w:snapToGrid w:val="0"/>
                    <w:spacing w:line="320" w:lineRule="exact"/>
                    <w:ind w:right="53" w:rightChars="25"/>
                    <w:jc w:val="center"/>
                    <w:rPr>
                      <w:snapToGrid w:val="0"/>
                      <w:kern w:val="0"/>
                      <w:szCs w:val="21"/>
                    </w:rPr>
                  </w:pPr>
                  <w:r>
                    <w:rPr>
                      <w:rFonts w:hint="eastAsia"/>
                      <w:snapToGrid w:val="0"/>
                      <w:kern w:val="0"/>
                      <w:szCs w:val="21"/>
                    </w:rPr>
                    <w:t>17.6</w:t>
                  </w:r>
                  <w:r>
                    <w:rPr>
                      <w:szCs w:val="21"/>
                    </w:rPr>
                    <w:t>mg/m</w:t>
                  </w:r>
                  <w:r>
                    <w:rPr>
                      <w:szCs w:val="21"/>
                      <w:vertAlign w:val="superscript"/>
                    </w:rPr>
                    <w:t>3</w:t>
                  </w:r>
                </w:p>
              </w:tc>
              <w:tc>
                <w:tcPr>
                  <w:tcW w:w="2111" w:type="dxa"/>
                  <w:vAlign w:val="center"/>
                </w:tcPr>
                <w:p>
                  <w:pPr>
                    <w:adjustRightInd w:val="0"/>
                    <w:snapToGrid w:val="0"/>
                    <w:spacing w:line="320" w:lineRule="exact"/>
                    <w:ind w:right="53" w:rightChars="25"/>
                    <w:jc w:val="center"/>
                    <w:rPr>
                      <w:snapToGrid w:val="0"/>
                      <w:kern w:val="0"/>
                      <w:szCs w:val="21"/>
                    </w:rPr>
                  </w:pPr>
                  <w:r>
                    <w:rPr>
                      <w:rFonts w:hint="eastAsia"/>
                      <w:snapToGrid w:val="0"/>
                      <w:kern w:val="0"/>
                      <w:szCs w:val="21"/>
                    </w:rPr>
                    <w:t>1.361t/a</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1918" w:type="dxa"/>
                  <w:vMerge w:val="continue"/>
                  <w:vAlign w:val="center"/>
                </w:tcPr>
                <w:p>
                  <w:pPr>
                    <w:pStyle w:val="76"/>
                    <w:rPr>
                      <w:sz w:val="21"/>
                      <w:szCs w:val="21"/>
                      <w:lang w:val="en-US"/>
                    </w:rPr>
                  </w:pPr>
                </w:p>
              </w:tc>
              <w:tc>
                <w:tcPr>
                  <w:tcW w:w="2109" w:type="dxa"/>
                  <w:vAlign w:val="center"/>
                </w:tcPr>
                <w:p>
                  <w:pPr>
                    <w:adjustRightInd w:val="0"/>
                    <w:snapToGrid w:val="0"/>
                    <w:spacing w:line="320" w:lineRule="exact"/>
                    <w:ind w:right="53" w:rightChars="25"/>
                    <w:jc w:val="center"/>
                    <w:rPr>
                      <w:snapToGrid w:val="0"/>
                      <w:kern w:val="0"/>
                      <w:szCs w:val="21"/>
                    </w:rPr>
                  </w:pPr>
                  <w:r>
                    <w:rPr>
                      <w:rFonts w:hint="eastAsia"/>
                      <w:snapToGrid w:val="0"/>
                      <w:kern w:val="0"/>
                      <w:szCs w:val="21"/>
                    </w:rPr>
                    <w:t>氟化物</w:t>
                  </w:r>
                </w:p>
              </w:tc>
              <w:tc>
                <w:tcPr>
                  <w:tcW w:w="2686" w:type="dxa"/>
                  <w:vAlign w:val="center"/>
                </w:tcPr>
                <w:p>
                  <w:pPr>
                    <w:adjustRightInd w:val="0"/>
                    <w:snapToGrid w:val="0"/>
                    <w:spacing w:line="320" w:lineRule="exact"/>
                    <w:ind w:right="53" w:rightChars="25"/>
                    <w:jc w:val="center"/>
                    <w:rPr>
                      <w:snapToGrid w:val="0"/>
                      <w:kern w:val="0"/>
                      <w:szCs w:val="21"/>
                    </w:rPr>
                  </w:pPr>
                  <w:r>
                    <w:rPr>
                      <w:rFonts w:hint="eastAsia"/>
                      <w:szCs w:val="21"/>
                    </w:rPr>
                    <w:t>0.91</w:t>
                  </w:r>
                  <w:r>
                    <w:rPr>
                      <w:szCs w:val="21"/>
                    </w:rPr>
                    <w:t>mg/m</w:t>
                  </w:r>
                  <w:r>
                    <w:rPr>
                      <w:szCs w:val="21"/>
                      <w:vertAlign w:val="superscript"/>
                    </w:rPr>
                    <w:t>3</w:t>
                  </w:r>
                </w:p>
              </w:tc>
              <w:tc>
                <w:tcPr>
                  <w:tcW w:w="2111" w:type="dxa"/>
                  <w:vAlign w:val="center"/>
                </w:tcPr>
                <w:p>
                  <w:pPr>
                    <w:adjustRightInd w:val="0"/>
                    <w:snapToGrid w:val="0"/>
                    <w:spacing w:line="320" w:lineRule="exact"/>
                    <w:ind w:right="53" w:rightChars="25"/>
                    <w:jc w:val="center"/>
                    <w:rPr>
                      <w:snapToGrid w:val="0"/>
                      <w:kern w:val="0"/>
                      <w:szCs w:val="21"/>
                    </w:rPr>
                  </w:pPr>
                  <w:r>
                    <w:rPr>
                      <w:rFonts w:hint="eastAsia"/>
                      <w:snapToGrid w:val="0"/>
                      <w:kern w:val="0"/>
                      <w:szCs w:val="21"/>
                    </w:rPr>
                    <w:t>0.070t/a</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1918" w:type="dxa"/>
                  <w:vMerge w:val="continue"/>
                  <w:vAlign w:val="center"/>
                </w:tcPr>
                <w:p>
                  <w:pPr>
                    <w:pStyle w:val="76"/>
                    <w:rPr>
                      <w:sz w:val="21"/>
                      <w:szCs w:val="21"/>
                      <w:lang w:val="en-US"/>
                    </w:rPr>
                  </w:pPr>
                </w:p>
              </w:tc>
              <w:tc>
                <w:tcPr>
                  <w:tcW w:w="2109" w:type="dxa"/>
                  <w:vAlign w:val="center"/>
                </w:tcPr>
                <w:p>
                  <w:pPr>
                    <w:pStyle w:val="76"/>
                    <w:rPr>
                      <w:sz w:val="21"/>
                      <w:szCs w:val="21"/>
                      <w:lang w:val="en-US"/>
                    </w:rPr>
                  </w:pPr>
                  <w:r>
                    <w:rPr>
                      <w:rFonts w:hint="eastAsia"/>
                      <w:sz w:val="21"/>
                      <w:szCs w:val="21"/>
                      <w:lang w:val="en-US"/>
                    </w:rPr>
                    <w:t>粘土开采扬尘</w:t>
                  </w:r>
                </w:p>
              </w:tc>
              <w:tc>
                <w:tcPr>
                  <w:tcW w:w="2686" w:type="dxa"/>
                  <w:vAlign w:val="center"/>
                </w:tcPr>
                <w:p>
                  <w:pPr>
                    <w:adjustRightInd w:val="0"/>
                    <w:snapToGrid w:val="0"/>
                    <w:spacing w:line="320" w:lineRule="exact"/>
                    <w:ind w:right="53" w:rightChars="25"/>
                    <w:jc w:val="center"/>
                    <w:rPr>
                      <w:szCs w:val="21"/>
                    </w:rPr>
                  </w:pPr>
                  <w:r>
                    <w:rPr>
                      <w:rFonts w:hint="eastAsia"/>
                      <w:szCs w:val="21"/>
                    </w:rPr>
                    <w:t>/</w:t>
                  </w:r>
                </w:p>
              </w:tc>
              <w:tc>
                <w:tcPr>
                  <w:tcW w:w="2111" w:type="dxa"/>
                  <w:vAlign w:val="center"/>
                </w:tcPr>
                <w:p>
                  <w:pPr>
                    <w:pStyle w:val="76"/>
                    <w:rPr>
                      <w:sz w:val="21"/>
                      <w:szCs w:val="21"/>
                      <w:lang w:val="en-US"/>
                    </w:rPr>
                  </w:pPr>
                  <w:r>
                    <w:rPr>
                      <w:rFonts w:hint="eastAsia"/>
                      <w:sz w:val="21"/>
                      <w:szCs w:val="21"/>
                      <w:lang w:val="en-US"/>
                    </w:rPr>
                    <w:t>0.19</w:t>
                  </w:r>
                  <w:r>
                    <w:rPr>
                      <w:rFonts w:hint="eastAsia"/>
                      <w:snapToGrid w:val="0"/>
                      <w:sz w:val="21"/>
                      <w:szCs w:val="21"/>
                      <w:lang w:val="en-US"/>
                    </w:rPr>
                    <w:t>t/a</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1918" w:type="dxa"/>
                  <w:vMerge w:val="continue"/>
                  <w:vAlign w:val="center"/>
                </w:tcPr>
                <w:p>
                  <w:pPr>
                    <w:pStyle w:val="76"/>
                    <w:rPr>
                      <w:sz w:val="21"/>
                      <w:szCs w:val="21"/>
                      <w:lang w:val="en-US"/>
                    </w:rPr>
                  </w:pPr>
                </w:p>
              </w:tc>
              <w:tc>
                <w:tcPr>
                  <w:tcW w:w="2109" w:type="dxa"/>
                  <w:vAlign w:val="center"/>
                </w:tcPr>
                <w:p>
                  <w:pPr>
                    <w:pStyle w:val="76"/>
                    <w:rPr>
                      <w:sz w:val="21"/>
                      <w:szCs w:val="21"/>
                      <w:lang w:val="en-US"/>
                    </w:rPr>
                  </w:pPr>
                  <w:r>
                    <w:rPr>
                      <w:rFonts w:hint="eastAsia"/>
                      <w:sz w:val="21"/>
                      <w:szCs w:val="21"/>
                      <w:lang w:val="en-US"/>
                    </w:rPr>
                    <w:t>物料装卸作业扬尘</w:t>
                  </w:r>
                </w:p>
              </w:tc>
              <w:tc>
                <w:tcPr>
                  <w:tcW w:w="2686" w:type="dxa"/>
                </w:tcPr>
                <w:p>
                  <w:pPr>
                    <w:adjustRightInd w:val="0"/>
                    <w:snapToGrid w:val="0"/>
                    <w:spacing w:line="320" w:lineRule="exact"/>
                    <w:ind w:right="53" w:rightChars="25"/>
                    <w:jc w:val="center"/>
                    <w:rPr>
                      <w:szCs w:val="21"/>
                    </w:rPr>
                  </w:pPr>
                  <w:r>
                    <w:rPr>
                      <w:rFonts w:hint="eastAsia"/>
                      <w:szCs w:val="21"/>
                    </w:rPr>
                    <w:t>/</w:t>
                  </w:r>
                </w:p>
              </w:tc>
              <w:tc>
                <w:tcPr>
                  <w:tcW w:w="2111" w:type="dxa"/>
                  <w:vAlign w:val="center"/>
                </w:tcPr>
                <w:p>
                  <w:pPr>
                    <w:pStyle w:val="76"/>
                    <w:rPr>
                      <w:sz w:val="21"/>
                      <w:szCs w:val="21"/>
                      <w:lang w:val="en-US"/>
                    </w:rPr>
                  </w:pPr>
                  <w:r>
                    <w:rPr>
                      <w:rFonts w:hint="eastAsia"/>
                      <w:sz w:val="21"/>
                      <w:szCs w:val="21"/>
                      <w:lang w:val="en-US"/>
                    </w:rPr>
                    <w:t>31.1kg</w:t>
                  </w:r>
                  <w:r>
                    <w:rPr>
                      <w:rFonts w:hint="eastAsia"/>
                      <w:snapToGrid w:val="0"/>
                      <w:sz w:val="21"/>
                      <w:szCs w:val="21"/>
                      <w:lang w:val="en-US"/>
                    </w:rPr>
                    <w:t>/a</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1918" w:type="dxa"/>
                  <w:vMerge w:val="continue"/>
                  <w:vAlign w:val="center"/>
                </w:tcPr>
                <w:p>
                  <w:pPr>
                    <w:pStyle w:val="76"/>
                    <w:rPr>
                      <w:sz w:val="21"/>
                      <w:szCs w:val="21"/>
                      <w:lang w:val="en-US"/>
                    </w:rPr>
                  </w:pPr>
                </w:p>
              </w:tc>
              <w:tc>
                <w:tcPr>
                  <w:tcW w:w="2109" w:type="dxa"/>
                  <w:vAlign w:val="center"/>
                </w:tcPr>
                <w:p>
                  <w:pPr>
                    <w:pStyle w:val="76"/>
                    <w:rPr>
                      <w:sz w:val="21"/>
                      <w:szCs w:val="21"/>
                      <w:lang w:val="en-US"/>
                    </w:rPr>
                  </w:pPr>
                  <w:r>
                    <w:rPr>
                      <w:bCs/>
                      <w:sz w:val="21"/>
                      <w:szCs w:val="21"/>
                      <w:lang w:val="en-US"/>
                    </w:rPr>
                    <w:t>运输</w:t>
                  </w:r>
                  <w:r>
                    <w:rPr>
                      <w:rFonts w:hint="eastAsia"/>
                      <w:bCs/>
                      <w:sz w:val="21"/>
                      <w:szCs w:val="21"/>
                      <w:lang w:val="en-US"/>
                    </w:rPr>
                    <w:t>车辆</w:t>
                  </w:r>
                  <w:r>
                    <w:rPr>
                      <w:bCs/>
                      <w:sz w:val="21"/>
                      <w:szCs w:val="21"/>
                      <w:lang w:val="en-US"/>
                    </w:rPr>
                    <w:t>扬尘</w:t>
                  </w:r>
                </w:p>
              </w:tc>
              <w:tc>
                <w:tcPr>
                  <w:tcW w:w="2686" w:type="dxa"/>
                </w:tcPr>
                <w:p>
                  <w:pPr>
                    <w:adjustRightInd w:val="0"/>
                    <w:snapToGrid w:val="0"/>
                    <w:spacing w:line="320" w:lineRule="exact"/>
                    <w:ind w:right="53" w:rightChars="25"/>
                    <w:jc w:val="center"/>
                    <w:rPr>
                      <w:szCs w:val="21"/>
                    </w:rPr>
                  </w:pPr>
                  <w:r>
                    <w:rPr>
                      <w:rFonts w:hint="eastAsia"/>
                      <w:szCs w:val="21"/>
                    </w:rPr>
                    <w:t>/</w:t>
                  </w:r>
                </w:p>
              </w:tc>
              <w:tc>
                <w:tcPr>
                  <w:tcW w:w="2111" w:type="dxa"/>
                  <w:vAlign w:val="center"/>
                </w:tcPr>
                <w:p>
                  <w:pPr>
                    <w:pStyle w:val="76"/>
                    <w:rPr>
                      <w:sz w:val="21"/>
                      <w:szCs w:val="21"/>
                      <w:lang w:val="en-US"/>
                    </w:rPr>
                  </w:pPr>
                  <w:r>
                    <w:rPr>
                      <w:rFonts w:hint="eastAsia"/>
                      <w:sz w:val="21"/>
                      <w:szCs w:val="21"/>
                      <w:lang w:val="en-US"/>
                    </w:rPr>
                    <w:t>1.48</w:t>
                  </w:r>
                  <w:r>
                    <w:rPr>
                      <w:rFonts w:hint="eastAsia"/>
                      <w:snapToGrid w:val="0"/>
                      <w:sz w:val="21"/>
                      <w:szCs w:val="21"/>
                      <w:lang w:val="en-US"/>
                    </w:rPr>
                    <w:t>t/a</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1918" w:type="dxa"/>
                  <w:vMerge w:val="continue"/>
                  <w:vAlign w:val="center"/>
                </w:tcPr>
                <w:p>
                  <w:pPr>
                    <w:pStyle w:val="76"/>
                    <w:rPr>
                      <w:sz w:val="21"/>
                      <w:szCs w:val="21"/>
                      <w:lang w:val="en-US"/>
                    </w:rPr>
                  </w:pPr>
                </w:p>
              </w:tc>
              <w:tc>
                <w:tcPr>
                  <w:tcW w:w="2109" w:type="dxa"/>
                  <w:vAlign w:val="center"/>
                </w:tcPr>
                <w:p>
                  <w:pPr>
                    <w:pStyle w:val="76"/>
                    <w:rPr>
                      <w:bCs/>
                      <w:sz w:val="21"/>
                      <w:szCs w:val="21"/>
                      <w:lang w:val="en-US"/>
                    </w:rPr>
                  </w:pPr>
                  <w:r>
                    <w:rPr>
                      <w:rFonts w:hint="eastAsia"/>
                      <w:bCs/>
                      <w:sz w:val="21"/>
                      <w:szCs w:val="21"/>
                      <w:lang w:val="en-US"/>
                    </w:rPr>
                    <w:t>餐厅油烟</w:t>
                  </w:r>
                </w:p>
              </w:tc>
              <w:tc>
                <w:tcPr>
                  <w:tcW w:w="2686" w:type="dxa"/>
                  <w:vAlign w:val="center"/>
                </w:tcPr>
                <w:p>
                  <w:pPr>
                    <w:adjustRightInd w:val="0"/>
                    <w:snapToGrid w:val="0"/>
                    <w:spacing w:line="320" w:lineRule="exact"/>
                    <w:ind w:right="53" w:rightChars="25"/>
                    <w:jc w:val="center"/>
                    <w:rPr>
                      <w:szCs w:val="21"/>
                    </w:rPr>
                  </w:pPr>
                  <w:r>
                    <w:rPr>
                      <w:rFonts w:hint="eastAsia"/>
                      <w:szCs w:val="21"/>
                    </w:rPr>
                    <w:t>1.8</w:t>
                  </w:r>
                  <w:r>
                    <w:t xml:space="preserve"> mg/m</w:t>
                  </w:r>
                  <w:r>
                    <w:rPr>
                      <w:vertAlign w:val="superscript"/>
                    </w:rPr>
                    <w:t>3</w:t>
                  </w:r>
                </w:p>
              </w:tc>
              <w:tc>
                <w:tcPr>
                  <w:tcW w:w="2111" w:type="dxa"/>
                  <w:vAlign w:val="center"/>
                </w:tcPr>
                <w:p>
                  <w:pPr>
                    <w:pStyle w:val="76"/>
                    <w:rPr>
                      <w:sz w:val="21"/>
                      <w:szCs w:val="21"/>
                      <w:lang w:val="en-US"/>
                    </w:rPr>
                  </w:pPr>
                  <w:r>
                    <w:rPr>
                      <w:rFonts w:hint="eastAsia"/>
                      <w:lang w:val="en-US"/>
                    </w:rPr>
                    <w:t>0.57kg</w:t>
                  </w:r>
                  <w:r>
                    <w:rPr>
                      <w:lang w:val="en-US"/>
                    </w:rPr>
                    <w:t>/a</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1918" w:type="dxa"/>
                  <w:vAlign w:val="center"/>
                </w:tcPr>
                <w:p>
                  <w:pPr>
                    <w:pStyle w:val="76"/>
                    <w:rPr>
                      <w:sz w:val="21"/>
                      <w:szCs w:val="21"/>
                      <w:lang w:val="en-US"/>
                    </w:rPr>
                  </w:pPr>
                  <w:r>
                    <w:rPr>
                      <w:rFonts w:hint="eastAsia"/>
                      <w:sz w:val="21"/>
                      <w:szCs w:val="21"/>
                    </w:rPr>
                    <w:t>废水</w:t>
                  </w:r>
                </w:p>
              </w:tc>
              <w:tc>
                <w:tcPr>
                  <w:tcW w:w="6906" w:type="dxa"/>
                  <w:gridSpan w:val="3"/>
                  <w:vAlign w:val="center"/>
                </w:tcPr>
                <w:p>
                  <w:pPr>
                    <w:pStyle w:val="76"/>
                    <w:rPr>
                      <w:sz w:val="21"/>
                      <w:szCs w:val="21"/>
                    </w:rPr>
                  </w:pPr>
                  <w:r>
                    <w:rPr>
                      <w:rFonts w:hint="eastAsia"/>
                      <w:kern w:val="10"/>
                      <w:sz w:val="21"/>
                      <w:szCs w:val="21"/>
                    </w:rPr>
                    <w:t>项目搅拌用水经干燥焙烧后，以蒸汽的形式蒸发掉，不外排；取土区洒水、绿化洒水及道路洒水，以蒸汽的形式蒸发掉，不外排；</w:t>
                  </w:r>
                  <w:r>
                    <w:rPr>
                      <w:rFonts w:hint="eastAsia"/>
                      <w:color w:val="FF0000"/>
                      <w:kern w:val="10"/>
                      <w:sz w:val="21"/>
                      <w:szCs w:val="21"/>
                    </w:rPr>
                    <w:t>生活污水经化粪池储存后定期清掏，</w:t>
                  </w:r>
                  <w:r>
                    <w:rPr>
                      <w:rFonts w:hint="eastAsia"/>
                      <w:kern w:val="10"/>
                      <w:sz w:val="21"/>
                      <w:szCs w:val="21"/>
                    </w:rPr>
                    <w:t>运营期所有废水均损耗或回收利用，不外排。</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1918" w:type="dxa"/>
                  <w:vAlign w:val="center"/>
                </w:tcPr>
                <w:p>
                  <w:pPr>
                    <w:pStyle w:val="76"/>
                    <w:rPr>
                      <w:sz w:val="21"/>
                      <w:szCs w:val="21"/>
                    </w:rPr>
                  </w:pPr>
                  <w:r>
                    <w:rPr>
                      <w:rFonts w:hint="eastAsia"/>
                      <w:sz w:val="21"/>
                      <w:szCs w:val="21"/>
                    </w:rPr>
                    <w:t>噪声</w:t>
                  </w:r>
                </w:p>
              </w:tc>
              <w:tc>
                <w:tcPr>
                  <w:tcW w:w="6906" w:type="dxa"/>
                  <w:gridSpan w:val="3"/>
                  <w:vAlign w:val="center"/>
                </w:tcPr>
                <w:p>
                  <w:pPr>
                    <w:pStyle w:val="76"/>
                    <w:rPr>
                      <w:kern w:val="10"/>
                      <w:sz w:val="21"/>
                      <w:szCs w:val="21"/>
                    </w:rPr>
                  </w:pPr>
                  <w:r>
                    <w:rPr>
                      <w:rFonts w:hint="eastAsia"/>
                      <w:kern w:val="10"/>
                      <w:sz w:val="21"/>
                      <w:szCs w:val="21"/>
                    </w:rPr>
                    <w:t>采取减振、隔声等措施</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1918" w:type="dxa"/>
                  <w:vAlign w:val="center"/>
                </w:tcPr>
                <w:p>
                  <w:pPr>
                    <w:pStyle w:val="76"/>
                    <w:rPr>
                      <w:sz w:val="21"/>
                      <w:szCs w:val="21"/>
                    </w:rPr>
                  </w:pPr>
                  <w:r>
                    <w:rPr>
                      <w:sz w:val="21"/>
                      <w:szCs w:val="21"/>
                    </w:rPr>
                    <w:t>固体废物</w:t>
                  </w:r>
                </w:p>
              </w:tc>
              <w:tc>
                <w:tcPr>
                  <w:tcW w:w="6906" w:type="dxa"/>
                  <w:gridSpan w:val="3"/>
                  <w:vAlign w:val="center"/>
                </w:tcPr>
                <w:p>
                  <w:pPr>
                    <w:pStyle w:val="76"/>
                    <w:rPr>
                      <w:sz w:val="21"/>
                      <w:szCs w:val="21"/>
                    </w:rPr>
                  </w:pPr>
                  <w:r>
                    <w:rPr>
                      <w:rFonts w:hint="eastAsia"/>
                      <w:kern w:val="10"/>
                      <w:sz w:val="21"/>
                      <w:szCs w:val="21"/>
                    </w:rPr>
                    <w:t>生活垃圾由厂内统一收集，当地环卫部门定期清运；生产过程中的废坯回用于生产，不外排；废机油交有资质单位处置。</w:t>
                  </w:r>
                </w:p>
              </w:tc>
            </w:tr>
          </w:tbl>
          <w:p>
            <w:pPr>
              <w:rPr>
                <w:sz w:val="24"/>
              </w:rPr>
            </w:pPr>
            <w:r>
              <w:rPr>
                <w:rFonts w:hint="eastAsia"/>
                <w:sz w:val="24"/>
              </w:rPr>
              <w:t xml:space="preserve">   </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b/>
          <w:sz w:val="24"/>
        </w:rPr>
      </w:pPr>
      <w:r>
        <w:rPr>
          <w:rFonts w:hAnsi="宋体"/>
          <w:b/>
          <w:sz w:val="24"/>
        </w:rPr>
        <w:br w:type="page"/>
      </w:r>
      <w:r>
        <w:rPr>
          <w:rFonts w:hAnsi="宋体"/>
          <w:b/>
          <w:sz w:val="24"/>
        </w:rPr>
        <w:t>建设项目拟采取的防治措施及预期治理效果</w:t>
      </w:r>
    </w:p>
    <w:tbl>
      <w:tblPr>
        <w:tblStyle w:val="24"/>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701"/>
        <w:gridCol w:w="1560"/>
        <w:gridCol w:w="2409"/>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5" w:type="dxa"/>
            <w:tcBorders>
              <w:top w:val="single" w:color="auto" w:sz="12" w:space="0"/>
              <w:left w:val="single" w:color="auto" w:sz="12" w:space="0"/>
              <w:tl2br w:val="single" w:color="auto" w:sz="4" w:space="0"/>
            </w:tcBorders>
          </w:tcPr>
          <w:p>
            <w:pPr>
              <w:jc w:val="right"/>
              <w:rPr>
                <w:sz w:val="24"/>
                <w:szCs w:val="24"/>
              </w:rPr>
            </w:pPr>
            <w:r>
              <w:rPr>
                <w:rFonts w:hAnsi="宋体"/>
                <w:sz w:val="24"/>
                <w:szCs w:val="24"/>
              </w:rPr>
              <w:t>内容</w:t>
            </w:r>
          </w:p>
          <w:p>
            <w:pPr>
              <w:rPr>
                <w:sz w:val="24"/>
                <w:szCs w:val="24"/>
              </w:rPr>
            </w:pPr>
            <w:r>
              <w:rPr>
                <w:rFonts w:hAnsi="宋体"/>
                <w:sz w:val="24"/>
                <w:szCs w:val="24"/>
              </w:rPr>
              <w:t>类型</w:t>
            </w:r>
          </w:p>
        </w:tc>
        <w:tc>
          <w:tcPr>
            <w:tcW w:w="1701" w:type="dxa"/>
            <w:tcBorders>
              <w:top w:val="single" w:color="auto" w:sz="12" w:space="0"/>
            </w:tcBorders>
            <w:vAlign w:val="center"/>
          </w:tcPr>
          <w:p>
            <w:pPr>
              <w:jc w:val="center"/>
              <w:rPr>
                <w:sz w:val="24"/>
                <w:szCs w:val="24"/>
              </w:rPr>
            </w:pPr>
            <w:r>
              <w:rPr>
                <w:rFonts w:hAnsi="宋体"/>
                <w:sz w:val="24"/>
                <w:szCs w:val="24"/>
              </w:rPr>
              <w:t>排放源</w:t>
            </w:r>
          </w:p>
          <w:p>
            <w:pPr>
              <w:jc w:val="center"/>
              <w:rPr>
                <w:sz w:val="24"/>
                <w:szCs w:val="24"/>
              </w:rPr>
            </w:pPr>
            <w:r>
              <w:rPr>
                <w:rFonts w:hAnsi="宋体"/>
                <w:sz w:val="24"/>
                <w:szCs w:val="24"/>
              </w:rPr>
              <w:t>（编号）</w:t>
            </w:r>
          </w:p>
        </w:tc>
        <w:tc>
          <w:tcPr>
            <w:tcW w:w="1560" w:type="dxa"/>
            <w:tcBorders>
              <w:top w:val="single" w:color="auto" w:sz="12" w:space="0"/>
            </w:tcBorders>
            <w:vAlign w:val="center"/>
          </w:tcPr>
          <w:p>
            <w:pPr>
              <w:jc w:val="center"/>
              <w:rPr>
                <w:sz w:val="24"/>
                <w:szCs w:val="24"/>
              </w:rPr>
            </w:pPr>
            <w:r>
              <w:rPr>
                <w:rFonts w:hAnsi="宋体"/>
                <w:sz w:val="24"/>
                <w:szCs w:val="24"/>
              </w:rPr>
              <w:t>污染物名称</w:t>
            </w:r>
          </w:p>
        </w:tc>
        <w:tc>
          <w:tcPr>
            <w:tcW w:w="2409" w:type="dxa"/>
            <w:tcBorders>
              <w:top w:val="single" w:color="auto" w:sz="12" w:space="0"/>
            </w:tcBorders>
            <w:vAlign w:val="center"/>
          </w:tcPr>
          <w:p>
            <w:pPr>
              <w:jc w:val="center"/>
              <w:rPr>
                <w:sz w:val="24"/>
                <w:szCs w:val="24"/>
              </w:rPr>
            </w:pPr>
            <w:r>
              <w:rPr>
                <w:rFonts w:hAnsi="宋体"/>
                <w:sz w:val="24"/>
                <w:szCs w:val="24"/>
              </w:rPr>
              <w:t>防治措施</w:t>
            </w:r>
          </w:p>
        </w:tc>
        <w:tc>
          <w:tcPr>
            <w:tcW w:w="2376" w:type="dxa"/>
            <w:tcBorders>
              <w:top w:val="single" w:color="auto" w:sz="12" w:space="0"/>
              <w:right w:val="single" w:color="auto" w:sz="12" w:space="0"/>
            </w:tcBorders>
            <w:vAlign w:val="center"/>
          </w:tcPr>
          <w:p>
            <w:pPr>
              <w:jc w:val="center"/>
              <w:rPr>
                <w:sz w:val="24"/>
                <w:szCs w:val="24"/>
              </w:rPr>
            </w:pPr>
            <w:r>
              <w:rPr>
                <w:rFonts w:hAnsi="宋体"/>
                <w:sz w:val="24"/>
                <w:szCs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5" w:type="dxa"/>
            <w:vMerge w:val="restart"/>
            <w:tcBorders>
              <w:left w:val="single" w:color="auto" w:sz="12" w:space="0"/>
            </w:tcBorders>
            <w:vAlign w:val="center"/>
          </w:tcPr>
          <w:p>
            <w:pPr>
              <w:jc w:val="center"/>
              <w:rPr>
                <w:sz w:val="24"/>
                <w:szCs w:val="24"/>
              </w:rPr>
            </w:pPr>
            <w:r>
              <w:rPr>
                <w:rFonts w:hAnsi="宋体"/>
                <w:sz w:val="24"/>
                <w:szCs w:val="24"/>
              </w:rPr>
              <w:t>大</w:t>
            </w:r>
          </w:p>
          <w:p>
            <w:pPr>
              <w:jc w:val="center"/>
              <w:rPr>
                <w:sz w:val="24"/>
                <w:szCs w:val="24"/>
              </w:rPr>
            </w:pPr>
            <w:r>
              <w:rPr>
                <w:rFonts w:hAnsi="宋体"/>
                <w:sz w:val="24"/>
                <w:szCs w:val="24"/>
              </w:rPr>
              <w:t>气</w:t>
            </w:r>
          </w:p>
          <w:p>
            <w:pPr>
              <w:jc w:val="center"/>
              <w:rPr>
                <w:sz w:val="24"/>
                <w:szCs w:val="24"/>
              </w:rPr>
            </w:pPr>
            <w:r>
              <w:rPr>
                <w:rFonts w:hAnsi="宋体"/>
                <w:sz w:val="24"/>
                <w:szCs w:val="24"/>
              </w:rPr>
              <w:t>污</w:t>
            </w:r>
          </w:p>
          <w:p>
            <w:pPr>
              <w:jc w:val="center"/>
              <w:rPr>
                <w:sz w:val="24"/>
                <w:szCs w:val="24"/>
              </w:rPr>
            </w:pPr>
            <w:r>
              <w:rPr>
                <w:rFonts w:hAnsi="宋体"/>
                <w:sz w:val="24"/>
                <w:szCs w:val="24"/>
              </w:rPr>
              <w:t>染</w:t>
            </w:r>
          </w:p>
          <w:p>
            <w:pPr>
              <w:jc w:val="center"/>
              <w:rPr>
                <w:sz w:val="24"/>
                <w:szCs w:val="24"/>
              </w:rPr>
            </w:pPr>
            <w:r>
              <w:rPr>
                <w:rFonts w:hAnsi="宋体"/>
                <w:sz w:val="24"/>
                <w:szCs w:val="24"/>
              </w:rPr>
              <w:t>物</w:t>
            </w:r>
          </w:p>
        </w:tc>
        <w:tc>
          <w:tcPr>
            <w:tcW w:w="1701" w:type="dxa"/>
            <w:vAlign w:val="center"/>
          </w:tcPr>
          <w:p>
            <w:pPr>
              <w:jc w:val="center"/>
              <w:rPr>
                <w:spacing w:val="6"/>
                <w:sz w:val="24"/>
                <w:szCs w:val="24"/>
              </w:rPr>
            </w:pPr>
            <w:r>
              <w:rPr>
                <w:rFonts w:hint="eastAsia"/>
                <w:spacing w:val="6"/>
                <w:sz w:val="24"/>
                <w:szCs w:val="24"/>
              </w:rPr>
              <w:t>隧道窑</w:t>
            </w:r>
          </w:p>
        </w:tc>
        <w:tc>
          <w:tcPr>
            <w:tcW w:w="1560" w:type="dxa"/>
            <w:vAlign w:val="center"/>
          </w:tcPr>
          <w:p>
            <w:pPr>
              <w:rPr>
                <w:spacing w:val="6"/>
                <w:sz w:val="24"/>
                <w:szCs w:val="24"/>
              </w:rPr>
            </w:pPr>
            <w:r>
              <w:rPr>
                <w:rFonts w:hint="eastAsia"/>
                <w:spacing w:val="6"/>
                <w:sz w:val="24"/>
                <w:szCs w:val="24"/>
              </w:rPr>
              <w:t>SO</w:t>
            </w:r>
            <w:r>
              <w:rPr>
                <w:rFonts w:hint="eastAsia"/>
                <w:spacing w:val="6"/>
                <w:sz w:val="24"/>
                <w:szCs w:val="24"/>
                <w:vertAlign w:val="subscript"/>
              </w:rPr>
              <w:t>2</w:t>
            </w:r>
            <w:r>
              <w:rPr>
                <w:rFonts w:hint="eastAsia"/>
                <w:spacing w:val="6"/>
                <w:sz w:val="24"/>
                <w:szCs w:val="24"/>
              </w:rPr>
              <w:t>、烟尘、NO</w:t>
            </w:r>
            <w:r>
              <w:rPr>
                <w:rFonts w:hint="eastAsia"/>
                <w:spacing w:val="6"/>
                <w:sz w:val="24"/>
                <w:szCs w:val="24"/>
                <w:vertAlign w:val="subscript"/>
              </w:rPr>
              <w:t>X</w:t>
            </w:r>
            <w:r>
              <w:rPr>
                <w:rFonts w:hint="eastAsia"/>
                <w:spacing w:val="6"/>
                <w:sz w:val="24"/>
                <w:szCs w:val="24"/>
              </w:rPr>
              <w:t>、氟化物</w:t>
            </w:r>
          </w:p>
        </w:tc>
        <w:tc>
          <w:tcPr>
            <w:tcW w:w="2409" w:type="dxa"/>
            <w:vAlign w:val="center"/>
          </w:tcPr>
          <w:p>
            <w:pPr>
              <w:pStyle w:val="77"/>
              <w:spacing w:line="240" w:lineRule="auto"/>
              <w:jc w:val="both"/>
              <w:rPr>
                <w:sz w:val="24"/>
                <w:szCs w:val="24"/>
              </w:rPr>
            </w:pPr>
            <w:r>
              <w:rPr>
                <w:rFonts w:hint="eastAsia"/>
                <w:sz w:val="24"/>
                <w:szCs w:val="24"/>
              </w:rPr>
              <w:t>收集后由15m排气筒排放</w:t>
            </w:r>
          </w:p>
        </w:tc>
        <w:tc>
          <w:tcPr>
            <w:tcW w:w="2376" w:type="dxa"/>
            <w:vMerge w:val="restart"/>
            <w:tcBorders>
              <w:right w:val="single" w:color="auto" w:sz="12" w:space="0"/>
            </w:tcBorders>
            <w:vAlign w:val="center"/>
          </w:tcPr>
          <w:p>
            <w:pPr>
              <w:ind w:right="-101" w:rightChars="-48"/>
              <w:rPr>
                <w:sz w:val="24"/>
                <w:szCs w:val="24"/>
              </w:rPr>
            </w:pPr>
            <w:r>
              <w:rPr>
                <w:rFonts w:hint="eastAsia"/>
                <w:sz w:val="24"/>
                <w:szCs w:val="24"/>
              </w:rPr>
              <w:t>《关中地区重点行业大气污染物排放标准》（GB61 1226-2018）中的表7砖瓦工业大气污染物排放浓度限值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5" w:type="dxa"/>
            <w:vMerge w:val="continue"/>
            <w:tcBorders>
              <w:left w:val="single" w:color="auto" w:sz="12" w:space="0"/>
            </w:tcBorders>
            <w:vAlign w:val="center"/>
          </w:tcPr>
          <w:p>
            <w:pPr>
              <w:jc w:val="center"/>
              <w:rPr>
                <w:rFonts w:hAnsi="宋体"/>
                <w:sz w:val="24"/>
                <w:szCs w:val="24"/>
              </w:rPr>
            </w:pPr>
          </w:p>
        </w:tc>
        <w:tc>
          <w:tcPr>
            <w:tcW w:w="1701" w:type="dxa"/>
            <w:vAlign w:val="center"/>
          </w:tcPr>
          <w:p>
            <w:pPr>
              <w:jc w:val="center"/>
              <w:rPr>
                <w:spacing w:val="6"/>
                <w:sz w:val="24"/>
                <w:szCs w:val="24"/>
              </w:rPr>
            </w:pPr>
            <w:r>
              <w:rPr>
                <w:rFonts w:hint="eastAsia"/>
                <w:spacing w:val="6"/>
                <w:sz w:val="24"/>
                <w:szCs w:val="24"/>
              </w:rPr>
              <w:t>破碎工段</w:t>
            </w:r>
          </w:p>
        </w:tc>
        <w:tc>
          <w:tcPr>
            <w:tcW w:w="1560" w:type="dxa"/>
            <w:vAlign w:val="center"/>
          </w:tcPr>
          <w:p>
            <w:pPr>
              <w:jc w:val="center"/>
              <w:rPr>
                <w:spacing w:val="6"/>
                <w:sz w:val="24"/>
                <w:szCs w:val="24"/>
              </w:rPr>
            </w:pPr>
            <w:r>
              <w:rPr>
                <w:rFonts w:hint="eastAsia"/>
                <w:spacing w:val="6"/>
                <w:sz w:val="24"/>
                <w:szCs w:val="24"/>
              </w:rPr>
              <w:t>颗粒物</w:t>
            </w:r>
          </w:p>
        </w:tc>
        <w:tc>
          <w:tcPr>
            <w:tcW w:w="2409" w:type="dxa"/>
            <w:vAlign w:val="center"/>
          </w:tcPr>
          <w:p>
            <w:pPr>
              <w:pStyle w:val="77"/>
              <w:spacing w:line="240" w:lineRule="auto"/>
              <w:jc w:val="both"/>
              <w:rPr>
                <w:sz w:val="24"/>
                <w:szCs w:val="24"/>
              </w:rPr>
            </w:pPr>
            <w:r>
              <w:rPr>
                <w:rFonts w:hint="eastAsia"/>
                <w:sz w:val="24"/>
                <w:szCs w:val="24"/>
              </w:rPr>
              <w:t>布袋除尘器处理后经15m排气筒排放</w:t>
            </w:r>
          </w:p>
        </w:tc>
        <w:tc>
          <w:tcPr>
            <w:tcW w:w="2376" w:type="dxa"/>
            <w:vMerge w:val="continue"/>
            <w:tcBorders>
              <w:right w:val="single" w:color="auto" w:sz="12" w:space="0"/>
            </w:tcBorders>
            <w:vAlign w:val="center"/>
          </w:tcPr>
          <w:p>
            <w:pPr>
              <w:ind w:right="-101" w:rightChars="-48"/>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5" w:type="dxa"/>
            <w:vMerge w:val="continue"/>
            <w:tcBorders>
              <w:left w:val="single" w:color="auto" w:sz="12" w:space="0"/>
            </w:tcBorders>
            <w:vAlign w:val="center"/>
          </w:tcPr>
          <w:p>
            <w:pPr>
              <w:jc w:val="center"/>
              <w:rPr>
                <w:rFonts w:hAnsi="宋体"/>
                <w:sz w:val="24"/>
                <w:szCs w:val="24"/>
              </w:rPr>
            </w:pPr>
          </w:p>
        </w:tc>
        <w:tc>
          <w:tcPr>
            <w:tcW w:w="1701" w:type="dxa"/>
            <w:vAlign w:val="center"/>
          </w:tcPr>
          <w:p>
            <w:pPr>
              <w:jc w:val="center"/>
              <w:rPr>
                <w:spacing w:val="6"/>
                <w:sz w:val="24"/>
                <w:szCs w:val="24"/>
              </w:rPr>
            </w:pPr>
            <w:r>
              <w:rPr>
                <w:rFonts w:hint="eastAsia"/>
                <w:spacing w:val="6"/>
                <w:sz w:val="24"/>
                <w:szCs w:val="24"/>
              </w:rPr>
              <w:t>干燥工段</w:t>
            </w:r>
          </w:p>
        </w:tc>
        <w:tc>
          <w:tcPr>
            <w:tcW w:w="1560" w:type="dxa"/>
            <w:vAlign w:val="center"/>
          </w:tcPr>
          <w:p>
            <w:pPr>
              <w:jc w:val="center"/>
              <w:rPr>
                <w:spacing w:val="6"/>
                <w:sz w:val="24"/>
                <w:szCs w:val="24"/>
              </w:rPr>
            </w:pPr>
            <w:r>
              <w:rPr>
                <w:rFonts w:hint="eastAsia"/>
                <w:spacing w:val="6"/>
                <w:sz w:val="24"/>
                <w:szCs w:val="24"/>
              </w:rPr>
              <w:t>/</w:t>
            </w:r>
          </w:p>
        </w:tc>
        <w:tc>
          <w:tcPr>
            <w:tcW w:w="2409" w:type="dxa"/>
            <w:vAlign w:val="center"/>
          </w:tcPr>
          <w:p>
            <w:pPr>
              <w:pStyle w:val="77"/>
              <w:spacing w:line="240" w:lineRule="auto"/>
              <w:jc w:val="both"/>
              <w:rPr>
                <w:sz w:val="24"/>
                <w:szCs w:val="24"/>
              </w:rPr>
            </w:pPr>
            <w:r>
              <w:rPr>
                <w:rFonts w:hint="eastAsia"/>
                <w:sz w:val="24"/>
                <w:szCs w:val="24"/>
              </w:rPr>
              <w:t>15m排气筒排放</w:t>
            </w:r>
          </w:p>
        </w:tc>
        <w:tc>
          <w:tcPr>
            <w:tcW w:w="2376" w:type="dxa"/>
            <w:vMerge w:val="continue"/>
            <w:tcBorders>
              <w:right w:val="single" w:color="auto" w:sz="12" w:space="0"/>
            </w:tcBorders>
            <w:vAlign w:val="center"/>
          </w:tcPr>
          <w:p>
            <w:pPr>
              <w:ind w:right="-101" w:rightChars="-48"/>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5" w:type="dxa"/>
            <w:vMerge w:val="continue"/>
            <w:tcBorders>
              <w:left w:val="single" w:color="auto" w:sz="12" w:space="0"/>
            </w:tcBorders>
            <w:vAlign w:val="center"/>
          </w:tcPr>
          <w:p>
            <w:pPr>
              <w:jc w:val="center"/>
              <w:rPr>
                <w:sz w:val="24"/>
                <w:szCs w:val="24"/>
              </w:rPr>
            </w:pPr>
          </w:p>
        </w:tc>
        <w:tc>
          <w:tcPr>
            <w:tcW w:w="1701" w:type="dxa"/>
            <w:vAlign w:val="center"/>
          </w:tcPr>
          <w:p>
            <w:pPr>
              <w:jc w:val="center"/>
              <w:rPr>
                <w:spacing w:val="6"/>
                <w:sz w:val="24"/>
                <w:szCs w:val="24"/>
              </w:rPr>
            </w:pPr>
            <w:r>
              <w:rPr>
                <w:rFonts w:hint="eastAsia"/>
                <w:spacing w:val="6"/>
                <w:sz w:val="24"/>
                <w:szCs w:val="24"/>
              </w:rPr>
              <w:t>粘土开采</w:t>
            </w:r>
          </w:p>
        </w:tc>
        <w:tc>
          <w:tcPr>
            <w:tcW w:w="1560" w:type="dxa"/>
            <w:vAlign w:val="center"/>
          </w:tcPr>
          <w:p>
            <w:pPr>
              <w:jc w:val="center"/>
              <w:rPr>
                <w:spacing w:val="6"/>
                <w:sz w:val="24"/>
                <w:szCs w:val="24"/>
              </w:rPr>
            </w:pPr>
            <w:r>
              <w:rPr>
                <w:rFonts w:hint="eastAsia"/>
                <w:spacing w:val="6"/>
                <w:sz w:val="24"/>
                <w:szCs w:val="24"/>
              </w:rPr>
              <w:t>粉尘</w:t>
            </w:r>
          </w:p>
        </w:tc>
        <w:tc>
          <w:tcPr>
            <w:tcW w:w="2409" w:type="dxa"/>
            <w:vAlign w:val="center"/>
          </w:tcPr>
          <w:p>
            <w:pPr>
              <w:pStyle w:val="77"/>
              <w:spacing w:line="240" w:lineRule="auto"/>
              <w:jc w:val="both"/>
              <w:rPr>
                <w:sz w:val="24"/>
                <w:szCs w:val="24"/>
              </w:rPr>
            </w:pPr>
            <w:r>
              <w:rPr>
                <w:rFonts w:hint="eastAsia"/>
                <w:sz w:val="24"/>
                <w:szCs w:val="24"/>
              </w:rPr>
              <w:t>洒水车洒水降尘</w:t>
            </w:r>
          </w:p>
        </w:tc>
        <w:tc>
          <w:tcPr>
            <w:tcW w:w="2376" w:type="dxa"/>
            <w:vMerge w:val="restart"/>
            <w:tcBorders>
              <w:right w:val="single" w:color="auto" w:sz="12" w:space="0"/>
            </w:tcBorders>
            <w:vAlign w:val="center"/>
          </w:tcPr>
          <w:p>
            <w:pPr>
              <w:ind w:right="-101" w:rightChars="-48"/>
              <w:jc w:val="left"/>
              <w:rPr>
                <w:sz w:val="24"/>
                <w:szCs w:val="24"/>
              </w:rPr>
            </w:pPr>
            <w:r>
              <w:rPr>
                <w:rFonts w:hint="eastAsia" w:hAnsi="宋体"/>
                <w:sz w:val="24"/>
                <w:szCs w:val="24"/>
              </w:rPr>
              <w:t>《砖瓦工业大气污染排放标准》（GB29620-2013）表3中厂界排放标准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5" w:type="dxa"/>
            <w:vMerge w:val="continue"/>
            <w:tcBorders>
              <w:left w:val="single" w:color="auto" w:sz="12" w:space="0"/>
            </w:tcBorders>
            <w:vAlign w:val="center"/>
          </w:tcPr>
          <w:p>
            <w:pPr>
              <w:jc w:val="center"/>
              <w:rPr>
                <w:sz w:val="24"/>
                <w:szCs w:val="24"/>
              </w:rPr>
            </w:pPr>
          </w:p>
        </w:tc>
        <w:tc>
          <w:tcPr>
            <w:tcW w:w="1701" w:type="dxa"/>
            <w:vAlign w:val="center"/>
          </w:tcPr>
          <w:p>
            <w:pPr>
              <w:jc w:val="center"/>
              <w:rPr>
                <w:spacing w:val="6"/>
                <w:sz w:val="24"/>
                <w:szCs w:val="24"/>
              </w:rPr>
            </w:pPr>
            <w:r>
              <w:rPr>
                <w:rFonts w:hint="eastAsia"/>
                <w:spacing w:val="6"/>
                <w:sz w:val="24"/>
                <w:szCs w:val="24"/>
              </w:rPr>
              <w:t>原料</w:t>
            </w:r>
          </w:p>
        </w:tc>
        <w:tc>
          <w:tcPr>
            <w:tcW w:w="1560" w:type="dxa"/>
            <w:vAlign w:val="center"/>
          </w:tcPr>
          <w:p>
            <w:pPr>
              <w:jc w:val="center"/>
              <w:rPr>
                <w:spacing w:val="6"/>
                <w:sz w:val="24"/>
                <w:szCs w:val="24"/>
              </w:rPr>
            </w:pPr>
            <w:r>
              <w:rPr>
                <w:rFonts w:hint="eastAsia"/>
                <w:spacing w:val="6"/>
                <w:sz w:val="24"/>
                <w:szCs w:val="24"/>
              </w:rPr>
              <w:t>扬尘</w:t>
            </w:r>
          </w:p>
        </w:tc>
        <w:tc>
          <w:tcPr>
            <w:tcW w:w="2409" w:type="dxa"/>
            <w:vAlign w:val="center"/>
          </w:tcPr>
          <w:p>
            <w:pPr>
              <w:pStyle w:val="77"/>
              <w:spacing w:line="240" w:lineRule="auto"/>
              <w:jc w:val="both"/>
              <w:rPr>
                <w:spacing w:val="-4"/>
                <w:sz w:val="24"/>
                <w:szCs w:val="24"/>
              </w:rPr>
            </w:pPr>
            <w:r>
              <w:rPr>
                <w:rFonts w:hint="eastAsia"/>
                <w:sz w:val="24"/>
                <w:szCs w:val="24"/>
              </w:rPr>
              <w:t>密闭车间，喷水雾化器</w:t>
            </w:r>
          </w:p>
        </w:tc>
        <w:tc>
          <w:tcPr>
            <w:tcW w:w="2376" w:type="dxa"/>
            <w:vMerge w:val="continue"/>
            <w:tcBorders>
              <w:right w:val="single" w:color="auto" w:sz="12" w:space="0"/>
            </w:tcBorders>
            <w:vAlign w:val="center"/>
          </w:tcPr>
          <w:p>
            <w:pPr>
              <w:ind w:right="-101" w:rightChars="-48"/>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5" w:type="dxa"/>
            <w:vMerge w:val="continue"/>
            <w:tcBorders>
              <w:left w:val="single" w:color="auto" w:sz="12" w:space="0"/>
            </w:tcBorders>
            <w:vAlign w:val="center"/>
          </w:tcPr>
          <w:p>
            <w:pPr>
              <w:jc w:val="center"/>
              <w:rPr>
                <w:sz w:val="24"/>
                <w:szCs w:val="24"/>
              </w:rPr>
            </w:pPr>
          </w:p>
        </w:tc>
        <w:tc>
          <w:tcPr>
            <w:tcW w:w="1701" w:type="dxa"/>
            <w:vAlign w:val="center"/>
          </w:tcPr>
          <w:p>
            <w:pPr>
              <w:jc w:val="center"/>
              <w:rPr>
                <w:spacing w:val="6"/>
                <w:sz w:val="24"/>
                <w:szCs w:val="24"/>
              </w:rPr>
            </w:pPr>
            <w:r>
              <w:rPr>
                <w:sz w:val="24"/>
                <w:szCs w:val="24"/>
              </w:rPr>
              <w:t>车辆</w:t>
            </w:r>
            <w:r>
              <w:rPr>
                <w:bCs/>
                <w:sz w:val="24"/>
                <w:szCs w:val="24"/>
              </w:rPr>
              <w:t>运输</w:t>
            </w:r>
          </w:p>
        </w:tc>
        <w:tc>
          <w:tcPr>
            <w:tcW w:w="1560" w:type="dxa"/>
            <w:vAlign w:val="center"/>
          </w:tcPr>
          <w:p>
            <w:pPr>
              <w:jc w:val="center"/>
              <w:rPr>
                <w:spacing w:val="6"/>
                <w:sz w:val="24"/>
                <w:szCs w:val="24"/>
              </w:rPr>
            </w:pPr>
            <w:r>
              <w:rPr>
                <w:rFonts w:hint="eastAsia"/>
                <w:spacing w:val="6"/>
                <w:sz w:val="24"/>
                <w:szCs w:val="24"/>
              </w:rPr>
              <w:t>扬尘</w:t>
            </w:r>
          </w:p>
        </w:tc>
        <w:tc>
          <w:tcPr>
            <w:tcW w:w="2409" w:type="dxa"/>
            <w:vAlign w:val="center"/>
          </w:tcPr>
          <w:p>
            <w:pPr>
              <w:pStyle w:val="77"/>
              <w:spacing w:line="240" w:lineRule="auto"/>
              <w:jc w:val="both"/>
              <w:rPr>
                <w:spacing w:val="20"/>
                <w:sz w:val="24"/>
                <w:szCs w:val="24"/>
              </w:rPr>
            </w:pPr>
            <w:r>
              <w:rPr>
                <w:rFonts w:hint="eastAsia"/>
                <w:sz w:val="24"/>
                <w:szCs w:val="24"/>
              </w:rPr>
              <w:t>洒水降尘，道路硬化</w:t>
            </w:r>
          </w:p>
        </w:tc>
        <w:tc>
          <w:tcPr>
            <w:tcW w:w="2376" w:type="dxa"/>
            <w:vMerge w:val="continue"/>
            <w:tcBorders>
              <w:right w:val="single" w:color="auto" w:sz="12" w:space="0"/>
            </w:tcBorders>
            <w:vAlign w:val="center"/>
          </w:tcPr>
          <w:p>
            <w:pPr>
              <w:ind w:right="-101" w:rightChars="-48"/>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5" w:type="dxa"/>
            <w:vMerge w:val="continue"/>
            <w:tcBorders>
              <w:left w:val="single" w:color="auto" w:sz="12" w:space="0"/>
            </w:tcBorders>
            <w:vAlign w:val="center"/>
          </w:tcPr>
          <w:p>
            <w:pPr>
              <w:jc w:val="center"/>
              <w:rPr>
                <w:sz w:val="24"/>
                <w:szCs w:val="24"/>
              </w:rPr>
            </w:pPr>
          </w:p>
        </w:tc>
        <w:tc>
          <w:tcPr>
            <w:tcW w:w="1701" w:type="dxa"/>
            <w:vAlign w:val="center"/>
          </w:tcPr>
          <w:p>
            <w:pPr>
              <w:adjustRightInd w:val="0"/>
              <w:snapToGrid w:val="0"/>
              <w:jc w:val="center"/>
              <w:rPr>
                <w:sz w:val="24"/>
              </w:rPr>
            </w:pPr>
            <w:r>
              <w:rPr>
                <w:rFonts w:hint="eastAsia"/>
                <w:sz w:val="24"/>
              </w:rPr>
              <w:t>餐厅</w:t>
            </w:r>
          </w:p>
        </w:tc>
        <w:tc>
          <w:tcPr>
            <w:tcW w:w="1560" w:type="dxa"/>
            <w:vAlign w:val="center"/>
          </w:tcPr>
          <w:p>
            <w:pPr>
              <w:adjustRightInd w:val="0"/>
              <w:snapToGrid w:val="0"/>
              <w:jc w:val="center"/>
              <w:rPr>
                <w:sz w:val="24"/>
              </w:rPr>
            </w:pPr>
            <w:r>
              <w:rPr>
                <w:rFonts w:hint="eastAsia"/>
                <w:sz w:val="24"/>
              </w:rPr>
              <w:t>厨房油烟</w:t>
            </w:r>
          </w:p>
        </w:tc>
        <w:tc>
          <w:tcPr>
            <w:tcW w:w="2409" w:type="dxa"/>
            <w:vAlign w:val="center"/>
          </w:tcPr>
          <w:p>
            <w:pPr>
              <w:jc w:val="center"/>
              <w:rPr>
                <w:sz w:val="24"/>
              </w:rPr>
            </w:pPr>
            <w:r>
              <w:rPr>
                <w:rFonts w:hint="eastAsia"/>
                <w:sz w:val="24"/>
              </w:rPr>
              <w:t>油烟净化设备</w:t>
            </w:r>
          </w:p>
        </w:tc>
        <w:tc>
          <w:tcPr>
            <w:tcW w:w="2376" w:type="dxa"/>
            <w:tcBorders>
              <w:right w:val="single" w:color="auto" w:sz="12" w:space="0"/>
            </w:tcBorders>
            <w:vAlign w:val="center"/>
          </w:tcPr>
          <w:p>
            <w:pPr>
              <w:spacing w:line="300" w:lineRule="exact"/>
              <w:jc w:val="left"/>
              <w:rPr>
                <w:sz w:val="24"/>
              </w:rPr>
            </w:pPr>
            <w:r>
              <w:rPr>
                <w:rFonts w:hint="eastAsia"/>
                <w:szCs w:val="21"/>
              </w:rPr>
              <w:t>《</w:t>
            </w:r>
            <w:r>
              <w:rPr>
                <w:rFonts w:hint="eastAsia"/>
                <w:sz w:val="24"/>
              </w:rPr>
              <w:t>饮食业油烟排放标准》（试行）（GB18483-2001）中相关规定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1245" w:type="dxa"/>
            <w:tcBorders>
              <w:left w:val="single" w:color="auto" w:sz="12" w:space="0"/>
            </w:tcBorders>
            <w:vAlign w:val="center"/>
          </w:tcPr>
          <w:p>
            <w:pPr>
              <w:jc w:val="center"/>
              <w:rPr>
                <w:sz w:val="24"/>
                <w:szCs w:val="24"/>
              </w:rPr>
            </w:pPr>
            <w:r>
              <w:rPr>
                <w:rFonts w:hAnsi="宋体"/>
                <w:sz w:val="24"/>
                <w:szCs w:val="24"/>
              </w:rPr>
              <w:t>水</w:t>
            </w:r>
          </w:p>
          <w:p>
            <w:pPr>
              <w:jc w:val="center"/>
              <w:rPr>
                <w:sz w:val="24"/>
                <w:szCs w:val="24"/>
              </w:rPr>
            </w:pPr>
            <w:r>
              <w:rPr>
                <w:rFonts w:hAnsi="宋体"/>
                <w:sz w:val="24"/>
                <w:szCs w:val="24"/>
              </w:rPr>
              <w:t>污</w:t>
            </w:r>
          </w:p>
          <w:p>
            <w:pPr>
              <w:jc w:val="center"/>
              <w:rPr>
                <w:sz w:val="24"/>
                <w:szCs w:val="24"/>
              </w:rPr>
            </w:pPr>
            <w:r>
              <w:rPr>
                <w:rFonts w:hAnsi="宋体"/>
                <w:sz w:val="24"/>
                <w:szCs w:val="24"/>
              </w:rPr>
              <w:t>染</w:t>
            </w:r>
          </w:p>
          <w:p>
            <w:pPr>
              <w:jc w:val="center"/>
              <w:rPr>
                <w:sz w:val="24"/>
                <w:szCs w:val="24"/>
              </w:rPr>
            </w:pPr>
            <w:r>
              <w:rPr>
                <w:rFonts w:hAnsi="宋体"/>
                <w:sz w:val="24"/>
                <w:szCs w:val="24"/>
              </w:rPr>
              <w:t>物</w:t>
            </w:r>
          </w:p>
        </w:tc>
        <w:tc>
          <w:tcPr>
            <w:tcW w:w="1701" w:type="dxa"/>
            <w:vAlign w:val="center"/>
          </w:tcPr>
          <w:p>
            <w:pPr>
              <w:jc w:val="center"/>
              <w:rPr>
                <w:rFonts w:hAnsi="宋体"/>
                <w:sz w:val="24"/>
                <w:szCs w:val="24"/>
              </w:rPr>
            </w:pPr>
            <w:r>
              <w:rPr>
                <w:sz w:val="24"/>
                <w:szCs w:val="24"/>
              </w:rPr>
              <w:t>生活污水</w:t>
            </w:r>
          </w:p>
        </w:tc>
        <w:tc>
          <w:tcPr>
            <w:tcW w:w="1560" w:type="dxa"/>
            <w:vAlign w:val="center"/>
          </w:tcPr>
          <w:p>
            <w:pPr>
              <w:jc w:val="center"/>
              <w:rPr>
                <w:sz w:val="24"/>
                <w:szCs w:val="24"/>
              </w:rPr>
            </w:pPr>
            <w:r>
              <w:rPr>
                <w:sz w:val="24"/>
                <w:szCs w:val="24"/>
              </w:rPr>
              <w:t>COD</w:t>
            </w:r>
          </w:p>
          <w:p>
            <w:pPr>
              <w:jc w:val="center"/>
              <w:rPr>
                <w:sz w:val="24"/>
                <w:szCs w:val="24"/>
              </w:rPr>
            </w:pPr>
            <w:r>
              <w:rPr>
                <w:sz w:val="24"/>
                <w:szCs w:val="24"/>
              </w:rPr>
              <w:t>BOD</w:t>
            </w:r>
            <w:r>
              <w:rPr>
                <w:sz w:val="24"/>
                <w:szCs w:val="24"/>
                <w:vertAlign w:val="subscript"/>
              </w:rPr>
              <w:t>5</w:t>
            </w:r>
          </w:p>
          <w:p>
            <w:pPr>
              <w:jc w:val="center"/>
              <w:rPr>
                <w:sz w:val="24"/>
                <w:szCs w:val="24"/>
              </w:rPr>
            </w:pPr>
            <w:r>
              <w:rPr>
                <w:sz w:val="24"/>
                <w:szCs w:val="24"/>
              </w:rPr>
              <w:t>SS</w:t>
            </w:r>
          </w:p>
          <w:p>
            <w:pPr>
              <w:jc w:val="center"/>
              <w:rPr>
                <w:sz w:val="24"/>
                <w:szCs w:val="24"/>
              </w:rPr>
            </w:pPr>
            <w:r>
              <w:rPr>
                <w:rFonts w:hAnsi="宋体"/>
                <w:sz w:val="24"/>
                <w:szCs w:val="24"/>
              </w:rPr>
              <w:t>氨氮</w:t>
            </w:r>
          </w:p>
        </w:tc>
        <w:tc>
          <w:tcPr>
            <w:tcW w:w="2409" w:type="dxa"/>
            <w:vAlign w:val="center"/>
          </w:tcPr>
          <w:p>
            <w:pPr>
              <w:jc w:val="center"/>
              <w:rPr>
                <w:sz w:val="24"/>
                <w:szCs w:val="24"/>
              </w:rPr>
            </w:pPr>
            <w:r>
              <w:rPr>
                <w:rFonts w:hint="eastAsia"/>
                <w:sz w:val="24"/>
                <w:szCs w:val="24"/>
              </w:rPr>
              <w:t>经化粪池储存后定期清运</w:t>
            </w:r>
          </w:p>
        </w:tc>
        <w:tc>
          <w:tcPr>
            <w:tcW w:w="2376" w:type="dxa"/>
            <w:tcBorders>
              <w:right w:val="single" w:color="auto" w:sz="12" w:space="0"/>
            </w:tcBorders>
            <w:vAlign w:val="center"/>
          </w:tcPr>
          <w:p>
            <w:pPr>
              <w:jc w:val="left"/>
              <w:rPr>
                <w:sz w:val="24"/>
                <w:szCs w:val="24"/>
              </w:rPr>
            </w:pPr>
            <w:r>
              <w:rPr>
                <w:rFonts w:hint="eastAsia" w:hAnsi="宋体"/>
                <w:sz w:val="24"/>
                <w:szCs w:val="24"/>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45" w:type="dxa"/>
            <w:vMerge w:val="restart"/>
            <w:tcBorders>
              <w:left w:val="single" w:color="auto" w:sz="12" w:space="0"/>
            </w:tcBorders>
            <w:vAlign w:val="center"/>
          </w:tcPr>
          <w:p>
            <w:pPr>
              <w:jc w:val="center"/>
              <w:rPr>
                <w:sz w:val="24"/>
                <w:szCs w:val="24"/>
              </w:rPr>
            </w:pPr>
            <w:r>
              <w:rPr>
                <w:rFonts w:hAnsi="宋体"/>
                <w:sz w:val="24"/>
                <w:szCs w:val="24"/>
              </w:rPr>
              <w:t>固体废物</w:t>
            </w:r>
          </w:p>
        </w:tc>
        <w:tc>
          <w:tcPr>
            <w:tcW w:w="1701" w:type="dxa"/>
            <w:vAlign w:val="center"/>
          </w:tcPr>
          <w:p>
            <w:pPr>
              <w:jc w:val="center"/>
              <w:rPr>
                <w:spacing w:val="6"/>
                <w:sz w:val="24"/>
                <w:szCs w:val="24"/>
              </w:rPr>
            </w:pPr>
            <w:r>
              <w:rPr>
                <w:rFonts w:hint="eastAsia"/>
                <w:spacing w:val="6"/>
                <w:sz w:val="24"/>
                <w:szCs w:val="24"/>
              </w:rPr>
              <w:t>生活区</w:t>
            </w:r>
          </w:p>
        </w:tc>
        <w:tc>
          <w:tcPr>
            <w:tcW w:w="1560" w:type="dxa"/>
            <w:vAlign w:val="center"/>
          </w:tcPr>
          <w:p>
            <w:pPr>
              <w:jc w:val="center"/>
              <w:rPr>
                <w:spacing w:val="6"/>
                <w:sz w:val="24"/>
                <w:szCs w:val="24"/>
              </w:rPr>
            </w:pPr>
            <w:r>
              <w:rPr>
                <w:spacing w:val="6"/>
                <w:sz w:val="24"/>
                <w:szCs w:val="24"/>
              </w:rPr>
              <w:t>生活垃圾</w:t>
            </w:r>
          </w:p>
        </w:tc>
        <w:tc>
          <w:tcPr>
            <w:tcW w:w="4785" w:type="dxa"/>
            <w:gridSpan w:val="2"/>
            <w:tcBorders>
              <w:right w:val="single" w:color="auto" w:sz="12" w:space="0"/>
            </w:tcBorders>
            <w:vAlign w:val="center"/>
          </w:tcPr>
          <w:p>
            <w:pPr>
              <w:rPr>
                <w:sz w:val="24"/>
                <w:szCs w:val="24"/>
              </w:rPr>
            </w:pPr>
            <w:r>
              <w:rPr>
                <w:rFonts w:hint="eastAsia"/>
                <w:spacing w:val="6"/>
                <w:sz w:val="24"/>
                <w:szCs w:val="24"/>
              </w:rPr>
              <w:t>送环卫部门指定地点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245" w:type="dxa"/>
            <w:vMerge w:val="continue"/>
            <w:tcBorders>
              <w:left w:val="single" w:color="auto" w:sz="12" w:space="0"/>
            </w:tcBorders>
            <w:vAlign w:val="center"/>
          </w:tcPr>
          <w:p>
            <w:pPr>
              <w:jc w:val="center"/>
              <w:rPr>
                <w:rFonts w:hAnsi="宋体"/>
                <w:sz w:val="24"/>
                <w:szCs w:val="24"/>
              </w:rPr>
            </w:pPr>
          </w:p>
        </w:tc>
        <w:tc>
          <w:tcPr>
            <w:tcW w:w="1701" w:type="dxa"/>
            <w:vAlign w:val="center"/>
          </w:tcPr>
          <w:p>
            <w:pPr>
              <w:jc w:val="center"/>
              <w:rPr>
                <w:rFonts w:hAnsi="宋体"/>
                <w:sz w:val="24"/>
                <w:szCs w:val="24"/>
              </w:rPr>
            </w:pPr>
            <w:r>
              <w:rPr>
                <w:rFonts w:hint="eastAsia"/>
                <w:spacing w:val="6"/>
                <w:sz w:val="24"/>
                <w:szCs w:val="24"/>
              </w:rPr>
              <w:t>生产区</w:t>
            </w:r>
          </w:p>
        </w:tc>
        <w:tc>
          <w:tcPr>
            <w:tcW w:w="1560" w:type="dxa"/>
            <w:vAlign w:val="center"/>
          </w:tcPr>
          <w:p>
            <w:pPr>
              <w:jc w:val="center"/>
              <w:rPr>
                <w:rFonts w:hAnsi="宋体"/>
                <w:sz w:val="24"/>
                <w:szCs w:val="24"/>
              </w:rPr>
            </w:pPr>
            <w:r>
              <w:rPr>
                <w:rFonts w:hint="eastAsia"/>
                <w:spacing w:val="6"/>
                <w:sz w:val="24"/>
                <w:szCs w:val="24"/>
              </w:rPr>
              <w:t>废坯</w:t>
            </w:r>
          </w:p>
        </w:tc>
        <w:tc>
          <w:tcPr>
            <w:tcW w:w="4785" w:type="dxa"/>
            <w:gridSpan w:val="2"/>
            <w:tcBorders>
              <w:right w:val="single" w:color="auto" w:sz="12" w:space="0"/>
            </w:tcBorders>
            <w:vAlign w:val="center"/>
          </w:tcPr>
          <w:p>
            <w:pPr>
              <w:rPr>
                <w:rFonts w:hAnsi="宋体"/>
                <w:sz w:val="24"/>
                <w:szCs w:val="24"/>
              </w:rPr>
            </w:pPr>
            <w:r>
              <w:rPr>
                <w:rFonts w:hint="eastAsia"/>
                <w:spacing w:val="6"/>
                <w:sz w:val="24"/>
                <w:szCs w:val="24"/>
              </w:rPr>
              <w:t>回用于生产，不外排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245" w:type="dxa"/>
            <w:tcBorders>
              <w:left w:val="single" w:color="auto" w:sz="12" w:space="0"/>
            </w:tcBorders>
            <w:vAlign w:val="center"/>
          </w:tcPr>
          <w:p>
            <w:pPr>
              <w:jc w:val="center"/>
              <w:rPr>
                <w:sz w:val="24"/>
                <w:szCs w:val="24"/>
              </w:rPr>
            </w:pPr>
            <w:r>
              <w:rPr>
                <w:rFonts w:hAnsi="宋体"/>
                <w:sz w:val="24"/>
                <w:szCs w:val="24"/>
              </w:rPr>
              <w:t>噪声</w:t>
            </w:r>
          </w:p>
        </w:tc>
        <w:tc>
          <w:tcPr>
            <w:tcW w:w="8046" w:type="dxa"/>
            <w:gridSpan w:val="4"/>
            <w:tcBorders>
              <w:right w:val="single" w:color="auto" w:sz="12" w:space="0"/>
            </w:tcBorders>
            <w:vAlign w:val="center"/>
          </w:tcPr>
          <w:p>
            <w:pPr>
              <w:rPr>
                <w:sz w:val="24"/>
                <w:szCs w:val="24"/>
              </w:rPr>
            </w:pPr>
            <w:r>
              <w:rPr>
                <w:rFonts w:hint="eastAsia" w:hAnsi="宋体"/>
                <w:sz w:val="24"/>
              </w:rPr>
              <w:t>粉碎机、搅拌机、风机</w:t>
            </w:r>
            <w:r>
              <w:rPr>
                <w:rFonts w:hAnsi="宋体"/>
                <w:sz w:val="24"/>
                <w:szCs w:val="24"/>
              </w:rPr>
              <w:t>等高噪声设备，</w:t>
            </w:r>
            <w:r>
              <w:rPr>
                <w:rFonts w:hint="eastAsia" w:hAnsi="宋体"/>
                <w:sz w:val="24"/>
                <w:szCs w:val="24"/>
              </w:rPr>
              <w:t>置于封闭车间，基础减振、车间隔声</w:t>
            </w:r>
            <w:r>
              <w:rPr>
                <w:rFonts w:hAnsi="宋体"/>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91" w:type="dxa"/>
            <w:gridSpan w:val="5"/>
            <w:tcBorders>
              <w:left w:val="single" w:color="auto" w:sz="12" w:space="0"/>
              <w:bottom w:val="single" w:color="auto" w:sz="12" w:space="0"/>
              <w:right w:val="single" w:color="auto" w:sz="12" w:space="0"/>
            </w:tcBorders>
          </w:tcPr>
          <w:p>
            <w:pPr>
              <w:rPr>
                <w:b/>
                <w:sz w:val="24"/>
                <w:szCs w:val="24"/>
              </w:rPr>
            </w:pPr>
            <w:r>
              <w:rPr>
                <w:rFonts w:hAnsi="宋体"/>
                <w:b/>
                <w:sz w:val="24"/>
                <w:szCs w:val="24"/>
              </w:rPr>
              <w:t>生态保护措施及预期效果</w:t>
            </w:r>
          </w:p>
          <w:p>
            <w:pPr>
              <w:spacing w:line="360" w:lineRule="auto"/>
              <w:ind w:firstLine="480" w:firstLineChars="200"/>
              <w:rPr>
                <w:sz w:val="24"/>
                <w:szCs w:val="24"/>
              </w:rPr>
            </w:pPr>
            <w:r>
              <w:rPr>
                <w:kern w:val="10"/>
                <w:sz w:val="24"/>
                <w:szCs w:val="24"/>
              </w:rPr>
              <w:t>项目在施工过程中必然会对区域生态环境造成一定的影响</w:t>
            </w:r>
            <w:r>
              <w:rPr>
                <w:rFonts w:hint="eastAsia"/>
                <w:kern w:val="10"/>
                <w:sz w:val="24"/>
                <w:szCs w:val="24"/>
              </w:rPr>
              <w:t>，</w:t>
            </w:r>
            <w:r>
              <w:rPr>
                <w:sz w:val="24"/>
                <w:szCs w:val="24"/>
              </w:rPr>
              <w:t>主要有</w:t>
            </w:r>
            <w:r>
              <w:rPr>
                <w:rFonts w:hint="eastAsia"/>
                <w:sz w:val="24"/>
                <w:szCs w:val="24"/>
              </w:rPr>
              <w:t>隧道窑、产房等建设时，施工过程中因填挖土方，场地平整、建筑材料堆放等因素将会造成地表植被破坏。</w:t>
            </w:r>
            <w:r>
              <w:rPr>
                <w:kern w:val="10"/>
                <w:sz w:val="24"/>
                <w:szCs w:val="24"/>
              </w:rPr>
              <w:t>为减</w:t>
            </w:r>
            <w:r>
              <w:rPr>
                <w:rFonts w:hint="eastAsia"/>
                <w:kern w:val="10"/>
                <w:sz w:val="24"/>
                <w:szCs w:val="24"/>
              </w:rPr>
              <w:t>小</w:t>
            </w:r>
            <w:r>
              <w:rPr>
                <w:kern w:val="10"/>
                <w:sz w:val="24"/>
                <w:szCs w:val="24"/>
              </w:rPr>
              <w:t>项目对</w:t>
            </w:r>
            <w:r>
              <w:rPr>
                <w:rFonts w:hint="eastAsia"/>
                <w:kern w:val="10"/>
                <w:sz w:val="24"/>
                <w:szCs w:val="24"/>
              </w:rPr>
              <w:t>周围景观</w:t>
            </w:r>
            <w:r>
              <w:rPr>
                <w:kern w:val="10"/>
                <w:sz w:val="24"/>
                <w:szCs w:val="24"/>
              </w:rPr>
              <w:t>的</w:t>
            </w:r>
            <w:r>
              <w:rPr>
                <w:rFonts w:hint="eastAsia"/>
                <w:kern w:val="10"/>
                <w:sz w:val="24"/>
                <w:szCs w:val="24"/>
              </w:rPr>
              <w:t>影响</w:t>
            </w:r>
            <w:r>
              <w:rPr>
                <w:kern w:val="10"/>
                <w:sz w:val="24"/>
                <w:szCs w:val="24"/>
              </w:rPr>
              <w:t>，</w:t>
            </w:r>
            <w:r>
              <w:rPr>
                <w:rFonts w:hint="eastAsia"/>
                <w:kern w:val="10"/>
                <w:sz w:val="24"/>
                <w:szCs w:val="24"/>
              </w:rPr>
              <w:t>项目建成后</w:t>
            </w:r>
            <w:r>
              <w:rPr>
                <w:kern w:val="10"/>
                <w:sz w:val="24"/>
                <w:szCs w:val="24"/>
              </w:rPr>
              <w:t>厂区</w:t>
            </w:r>
            <w:r>
              <w:rPr>
                <w:rFonts w:hint="eastAsia"/>
                <w:kern w:val="10"/>
                <w:sz w:val="24"/>
                <w:szCs w:val="24"/>
              </w:rPr>
              <w:t>道路</w:t>
            </w:r>
            <w:r>
              <w:rPr>
                <w:kern w:val="10"/>
                <w:sz w:val="24"/>
                <w:szCs w:val="24"/>
              </w:rPr>
              <w:t>硬化，道路两旁，车间前后的空地上栽种树木、花卉、草皮等</w:t>
            </w:r>
            <w:r>
              <w:rPr>
                <w:rFonts w:hint="eastAsia"/>
                <w:kern w:val="10"/>
                <w:sz w:val="24"/>
                <w:szCs w:val="24"/>
              </w:rPr>
              <w:t>，绿化面积将达到4000m</w:t>
            </w:r>
            <w:r>
              <w:rPr>
                <w:rFonts w:hint="eastAsia"/>
                <w:kern w:val="10"/>
                <w:sz w:val="24"/>
                <w:szCs w:val="24"/>
                <w:vertAlign w:val="superscript"/>
              </w:rPr>
              <w:t>2</w:t>
            </w:r>
            <w:r>
              <w:rPr>
                <w:kern w:val="10"/>
                <w:sz w:val="24"/>
                <w:szCs w:val="24"/>
              </w:rPr>
              <w:t>。通过对厂区生态环境的</w:t>
            </w:r>
            <w:r>
              <w:rPr>
                <w:rFonts w:hint="eastAsia"/>
                <w:kern w:val="10"/>
                <w:sz w:val="24"/>
                <w:szCs w:val="24"/>
              </w:rPr>
              <w:t>建设</w:t>
            </w:r>
            <w:r>
              <w:rPr>
                <w:kern w:val="10"/>
                <w:sz w:val="24"/>
                <w:szCs w:val="24"/>
              </w:rPr>
              <w:t>，可提高植被覆盖率，净化空气环境，减轻大气环境污染和噪声的危害，同时</w:t>
            </w:r>
            <w:r>
              <w:rPr>
                <w:rFonts w:hint="eastAsia"/>
                <w:kern w:val="10"/>
                <w:sz w:val="24"/>
                <w:szCs w:val="24"/>
              </w:rPr>
              <w:t>达到</w:t>
            </w:r>
            <w:r>
              <w:rPr>
                <w:kern w:val="10"/>
                <w:sz w:val="24"/>
                <w:szCs w:val="24"/>
              </w:rPr>
              <w:t>美化厂区的效果。</w:t>
            </w:r>
            <w:r>
              <w:rPr>
                <w:rFonts w:hint="eastAsia"/>
                <w:sz w:val="24"/>
                <w:szCs w:val="24"/>
              </w:rPr>
              <w:t>在运行期，项目粘土露天开采，地表裸露，</w:t>
            </w:r>
            <w:r>
              <w:rPr>
                <w:sz w:val="24"/>
                <w:szCs w:val="24"/>
              </w:rPr>
              <w:t>逢雨季节将会造成水土流失现象</w:t>
            </w:r>
            <w:r>
              <w:rPr>
                <w:rFonts w:hint="eastAsia"/>
                <w:sz w:val="24"/>
                <w:szCs w:val="24"/>
              </w:rPr>
              <w:t>，应及时进行复耕。</w:t>
            </w:r>
          </w:p>
        </w:tc>
      </w:tr>
    </w:tbl>
    <w:p>
      <w:pPr>
        <w:rPr>
          <w:rFonts w:hAnsi="宋体"/>
          <w:b/>
          <w:sz w:val="24"/>
        </w:rPr>
        <w:sectPr>
          <w:pgSz w:w="11906" w:h="16838"/>
          <w:pgMar w:top="1090" w:right="1418" w:bottom="2025" w:left="1418" w:header="851" w:footer="992" w:gutter="0"/>
          <w:cols w:space="720" w:num="1"/>
          <w:docGrid w:type="lines" w:linePitch="312" w:charSpace="0"/>
        </w:sectPr>
      </w:pPr>
    </w:p>
    <w:p>
      <w:pPr>
        <w:rPr>
          <w:b/>
          <w:sz w:val="24"/>
        </w:rPr>
      </w:pPr>
      <w:r>
        <w:rPr>
          <w:rFonts w:hAnsi="宋体"/>
          <w:b/>
          <w:sz w:val="24"/>
        </w:rPr>
        <w:t>结论与建议</w:t>
      </w:r>
    </w:p>
    <w:tbl>
      <w:tblPr>
        <w:tblStyle w:val="24"/>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8" w:hRule="atLeast"/>
        </w:trPr>
        <w:tc>
          <w:tcPr>
            <w:tcW w:w="9249" w:type="dxa"/>
            <w:tcBorders>
              <w:top w:val="single" w:color="auto" w:sz="12" w:space="0"/>
              <w:left w:val="single" w:color="auto" w:sz="12" w:space="0"/>
              <w:bottom w:val="single" w:color="auto" w:sz="12" w:space="0"/>
              <w:right w:val="single" w:color="auto" w:sz="12" w:space="0"/>
            </w:tcBorders>
          </w:tcPr>
          <w:p>
            <w:pPr>
              <w:spacing w:line="360" w:lineRule="auto"/>
              <w:ind w:firstLine="482" w:firstLineChars="200"/>
              <w:rPr>
                <w:b/>
                <w:sz w:val="24"/>
              </w:rPr>
            </w:pPr>
            <w:r>
              <w:rPr>
                <w:rFonts w:hAnsi="宋体"/>
                <w:b/>
                <w:sz w:val="24"/>
              </w:rPr>
              <w:t>一、结论</w:t>
            </w:r>
          </w:p>
          <w:p>
            <w:pPr>
              <w:tabs>
                <w:tab w:val="left" w:pos="240"/>
              </w:tabs>
              <w:spacing w:line="360" w:lineRule="auto"/>
              <w:ind w:firstLine="482" w:firstLineChars="200"/>
              <w:rPr>
                <w:rFonts w:hAnsi="宋体"/>
                <w:b/>
                <w:sz w:val="24"/>
              </w:rPr>
            </w:pPr>
            <w:r>
              <w:rPr>
                <w:rFonts w:hint="eastAsia" w:hAnsi="宋体"/>
                <w:b/>
                <w:sz w:val="24"/>
              </w:rPr>
              <w:t>1、项目概况</w:t>
            </w:r>
          </w:p>
          <w:p>
            <w:pPr>
              <w:tabs>
                <w:tab w:val="left" w:pos="240"/>
                <w:tab w:val="left" w:pos="5590"/>
              </w:tabs>
              <w:spacing w:line="360" w:lineRule="auto"/>
              <w:ind w:firstLine="480" w:firstLineChars="200"/>
              <w:rPr>
                <w:sz w:val="24"/>
              </w:rPr>
            </w:pPr>
            <w:r>
              <w:rPr>
                <w:rFonts w:hint="eastAsia"/>
                <w:sz w:val="24"/>
                <w:szCs w:val="24"/>
              </w:rPr>
              <w:t>西安众昊新型环保墙体有限公司拟建的</w:t>
            </w:r>
            <w:r>
              <w:rPr>
                <w:bCs/>
                <w:sz w:val="24"/>
              </w:rPr>
              <w:t>西</w:t>
            </w:r>
            <w:r>
              <w:rPr>
                <w:rFonts w:hint="eastAsia" w:hAnsi="宋体"/>
                <w:bCs/>
                <w:sz w:val="24"/>
              </w:rPr>
              <w:t>安众昊新型环保建材建设项</w:t>
            </w:r>
            <w:r>
              <w:rPr>
                <w:bCs/>
                <w:sz w:val="24"/>
              </w:rPr>
              <w:t>目</w:t>
            </w:r>
            <w:r>
              <w:rPr>
                <w:sz w:val="24"/>
              </w:rPr>
              <w:t>位于西安市长安区魏寨乡东部新型建材产业基地地块</w:t>
            </w:r>
            <w:r>
              <w:rPr>
                <w:rFonts w:hint="eastAsia"/>
                <w:sz w:val="24"/>
              </w:rPr>
              <w:t>四</w:t>
            </w:r>
            <w:r>
              <w:rPr>
                <w:sz w:val="24"/>
              </w:rPr>
              <w:t>范围内，</w:t>
            </w:r>
            <w:r>
              <w:rPr>
                <w:rFonts w:hint="eastAsia"/>
                <w:sz w:val="24"/>
              </w:rPr>
              <w:t>中心坐标东经</w:t>
            </w:r>
            <w:r>
              <w:rPr>
                <w:sz w:val="24"/>
              </w:rPr>
              <w:t>109°9'6.44"</w:t>
            </w:r>
            <w:r>
              <w:rPr>
                <w:rFonts w:hint="eastAsia"/>
                <w:sz w:val="24"/>
              </w:rPr>
              <w:t>，北纬</w:t>
            </w:r>
            <w:r>
              <w:rPr>
                <w:sz w:val="24"/>
              </w:rPr>
              <w:t>34°6'24.75"</w:t>
            </w:r>
            <w:r>
              <w:rPr>
                <w:rFonts w:hint="eastAsia"/>
                <w:sz w:val="24"/>
              </w:rPr>
              <w:t>。本项目总投资5000万元，其中环保投资202万元，占总投资的4.04%。生产厂区占地面积为23333.3m</w:t>
            </w:r>
            <w:r>
              <w:rPr>
                <w:rFonts w:hint="eastAsia"/>
                <w:sz w:val="24"/>
                <w:vertAlign w:val="superscript"/>
              </w:rPr>
              <w:t>2</w:t>
            </w:r>
            <w:r>
              <w:rPr>
                <w:rFonts w:hint="eastAsia"/>
                <w:sz w:val="24"/>
              </w:rPr>
              <w:t>（合计35亩），取土区占地面积为12.24ha（合计183.6亩），取土区位于厂区南侧。厂区主要建设1条年产15万m</w:t>
            </w:r>
            <w:r>
              <w:rPr>
                <w:rFonts w:hint="eastAsia"/>
                <w:sz w:val="24"/>
                <w:vertAlign w:val="superscript"/>
              </w:rPr>
              <w:t>3</w:t>
            </w:r>
            <w:r>
              <w:rPr>
                <w:rFonts w:hint="eastAsia"/>
                <w:sz w:val="24"/>
              </w:rPr>
              <w:t>烧结空心砌块</w:t>
            </w:r>
            <w:r>
              <w:rPr>
                <w:rFonts w:hint="eastAsia" w:hAnsi="宋体"/>
                <w:bCs/>
                <w:sz w:val="24"/>
              </w:rPr>
              <w:t>生产线</w:t>
            </w:r>
            <w:r>
              <w:rPr>
                <w:rFonts w:hint="eastAsia"/>
                <w:sz w:val="24"/>
              </w:rPr>
              <w:t>。</w:t>
            </w:r>
          </w:p>
          <w:p>
            <w:pPr>
              <w:spacing w:line="360" w:lineRule="auto"/>
              <w:ind w:firstLine="480" w:firstLineChars="200"/>
              <w:rPr>
                <w:sz w:val="24"/>
              </w:rPr>
            </w:pPr>
            <w:r>
              <w:rPr>
                <w:rFonts w:hint="eastAsia"/>
                <w:sz w:val="24"/>
              </w:rPr>
              <w:t>本项目不属于《产业结构调整指导目录(2011年本)（2013年修正版）》中的限制类和淘汰类项目。项目隧道窑年产15万m</w:t>
            </w:r>
            <w:r>
              <w:rPr>
                <w:rFonts w:hint="eastAsia"/>
                <w:sz w:val="24"/>
                <w:vertAlign w:val="superscript"/>
              </w:rPr>
              <w:t>3</w:t>
            </w:r>
            <w:r>
              <w:rPr>
                <w:rFonts w:hint="eastAsia"/>
                <w:sz w:val="24"/>
              </w:rPr>
              <w:t>烧结空心砌块生产，符合《全国墙体材料烧结砖瓦行业准入条件》中相关政策要求。本项目已在西安市长安区发展和改革委员会备案，项目代码2018-61-30-03-010426，备案时间2018年4月3日（附件2）。项目建设符合国家及地方产业政策及环保政策要求。</w:t>
            </w:r>
          </w:p>
          <w:p>
            <w:pPr>
              <w:tabs>
                <w:tab w:val="left" w:pos="240"/>
                <w:tab w:val="left" w:pos="5590"/>
              </w:tabs>
              <w:spacing w:line="360" w:lineRule="auto"/>
              <w:ind w:firstLine="480" w:firstLineChars="200"/>
              <w:rPr>
                <w:sz w:val="24"/>
              </w:rPr>
            </w:pPr>
            <w:r>
              <w:rPr>
                <w:rFonts w:hint="eastAsia"/>
                <w:sz w:val="24"/>
              </w:rPr>
              <w:t>项目建设符合长安东部新型建材产业基地总体规划及规划环评要求，符合《全国墙体材料烧结砖瓦行业准入条件》等行业规范要求。</w:t>
            </w:r>
          </w:p>
          <w:p>
            <w:pPr>
              <w:spacing w:line="360" w:lineRule="auto"/>
              <w:ind w:firstLine="482" w:firstLineChars="200"/>
              <w:rPr>
                <w:b/>
                <w:sz w:val="24"/>
              </w:rPr>
            </w:pPr>
            <w:r>
              <w:rPr>
                <w:rFonts w:hint="eastAsia"/>
                <w:b/>
                <w:sz w:val="24"/>
              </w:rPr>
              <w:t>2</w:t>
            </w:r>
            <w:r>
              <w:rPr>
                <w:rFonts w:hAnsi="宋体"/>
                <w:b/>
                <w:sz w:val="24"/>
              </w:rPr>
              <w:t>、环境质量现状评价结论</w:t>
            </w:r>
          </w:p>
          <w:p>
            <w:pPr>
              <w:spacing w:line="440" w:lineRule="exact"/>
              <w:ind w:firstLine="480" w:firstLineChars="200"/>
              <w:rPr>
                <w:sz w:val="24"/>
                <w:szCs w:val="24"/>
              </w:rPr>
            </w:pPr>
            <w:r>
              <w:rPr>
                <w:rFonts w:hint="eastAsia" w:hAnsi="宋体"/>
                <w:sz w:val="24"/>
              </w:rPr>
              <w:t>①</w:t>
            </w:r>
            <w:r>
              <w:rPr>
                <w:sz w:val="24"/>
                <w:szCs w:val="24"/>
              </w:rPr>
              <w:t>根据陕西省生态环境厅办公室《环保快报》中2018年12月及1~12月全省环境空气质量状况分析空气常规六项污染物统计数据</w:t>
            </w:r>
            <w:r>
              <w:rPr>
                <w:rFonts w:hint="eastAsia"/>
                <w:sz w:val="24"/>
                <w:szCs w:val="24"/>
              </w:rPr>
              <w:t>，长安区NO</w:t>
            </w:r>
            <w:r>
              <w:rPr>
                <w:rFonts w:hint="eastAsia"/>
                <w:sz w:val="24"/>
                <w:szCs w:val="24"/>
                <w:vertAlign w:val="subscript"/>
              </w:rPr>
              <w:t>2</w:t>
            </w:r>
            <w:r>
              <w:rPr>
                <w:rFonts w:hint="eastAsia"/>
                <w:sz w:val="24"/>
                <w:szCs w:val="24"/>
              </w:rPr>
              <w:t>、PM</w:t>
            </w:r>
            <w:r>
              <w:rPr>
                <w:rFonts w:hint="eastAsia"/>
                <w:sz w:val="24"/>
                <w:szCs w:val="24"/>
                <w:vertAlign w:val="subscript"/>
              </w:rPr>
              <w:t>10</w:t>
            </w:r>
            <w:r>
              <w:rPr>
                <w:rFonts w:hint="eastAsia"/>
                <w:sz w:val="24"/>
                <w:szCs w:val="24"/>
              </w:rPr>
              <w:t>、PM</w:t>
            </w:r>
            <w:r>
              <w:rPr>
                <w:rFonts w:hint="eastAsia"/>
                <w:sz w:val="24"/>
                <w:szCs w:val="24"/>
                <w:vertAlign w:val="subscript"/>
              </w:rPr>
              <w:t>2.5</w:t>
            </w:r>
            <w:r>
              <w:rPr>
                <w:rFonts w:hint="eastAsia"/>
                <w:sz w:val="24"/>
                <w:szCs w:val="24"/>
              </w:rPr>
              <w:t>年均浓度及O</w:t>
            </w:r>
            <w:r>
              <w:rPr>
                <w:rFonts w:hint="eastAsia"/>
                <w:sz w:val="24"/>
                <w:szCs w:val="24"/>
                <w:vertAlign w:val="subscript"/>
              </w:rPr>
              <w:t>3</w:t>
            </w:r>
            <w:r>
              <w:rPr>
                <w:rFonts w:hint="eastAsia"/>
                <w:sz w:val="24"/>
                <w:szCs w:val="24"/>
              </w:rPr>
              <w:t>年平均浓度均值均超标</w:t>
            </w:r>
            <w:r>
              <w:rPr>
                <w:sz w:val="24"/>
                <w:szCs w:val="24"/>
              </w:rPr>
              <w:t>。其余</w:t>
            </w:r>
            <w:r>
              <w:rPr>
                <w:rFonts w:hint="eastAsia"/>
                <w:sz w:val="24"/>
                <w:szCs w:val="24"/>
              </w:rPr>
              <w:t>SO</w:t>
            </w:r>
            <w:r>
              <w:rPr>
                <w:rFonts w:hint="eastAsia"/>
                <w:sz w:val="24"/>
                <w:szCs w:val="24"/>
                <w:vertAlign w:val="subscript"/>
              </w:rPr>
              <w:t>2</w:t>
            </w:r>
            <w:r>
              <w:rPr>
                <w:rFonts w:hint="eastAsia"/>
                <w:sz w:val="24"/>
                <w:szCs w:val="24"/>
              </w:rPr>
              <w:t>及</w:t>
            </w:r>
            <w:r>
              <w:t xml:space="preserve"> </w:t>
            </w:r>
            <w:r>
              <w:rPr>
                <w:sz w:val="24"/>
                <w:szCs w:val="24"/>
              </w:rPr>
              <w:t>CO</w:t>
            </w:r>
            <w:r>
              <w:rPr>
                <w:rFonts w:hint="eastAsia"/>
                <w:sz w:val="24"/>
                <w:szCs w:val="24"/>
              </w:rPr>
              <w:t>及</w:t>
            </w:r>
            <w:r>
              <w:rPr>
                <w:sz w:val="24"/>
                <w:szCs w:val="24"/>
              </w:rPr>
              <w:t>指标满足《环境空气质量标准》（GB3095-2012）（修改单）中的二级标准。因此</w:t>
            </w:r>
            <w:r>
              <w:rPr>
                <w:rFonts w:hint="eastAsia"/>
                <w:sz w:val="24"/>
                <w:szCs w:val="24"/>
              </w:rPr>
              <w:t>长安区</w:t>
            </w:r>
            <w:r>
              <w:rPr>
                <w:sz w:val="24"/>
                <w:szCs w:val="24"/>
              </w:rPr>
              <w:t>区域环境空气质量现状为不达标区。</w:t>
            </w:r>
            <w:r>
              <w:rPr>
                <w:rFonts w:hint="eastAsia" w:hAnsi="宋体"/>
                <w:sz w:val="24"/>
              </w:rPr>
              <w:t>根据监测结果</w:t>
            </w:r>
            <w:r>
              <w:rPr>
                <w:rFonts w:hint="eastAsia"/>
                <w:sz w:val="24"/>
              </w:rPr>
              <w:t>项目所在地的</w:t>
            </w:r>
            <w:r>
              <w:rPr>
                <w:rFonts w:hint="eastAsia" w:hAnsi="宋体"/>
                <w:sz w:val="24"/>
              </w:rPr>
              <w:t>特征污染物氟化物浓度值低于《工业企业设计卫生标准》（TJ36-79）中一次值标准；</w:t>
            </w:r>
            <w:r>
              <w:rPr>
                <w:sz w:val="24"/>
                <w:szCs w:val="24"/>
              </w:rPr>
              <w:t xml:space="preserve"> </w:t>
            </w:r>
          </w:p>
          <w:p>
            <w:pPr>
              <w:widowControl/>
              <w:spacing w:line="360" w:lineRule="auto"/>
              <w:ind w:firstLine="480" w:firstLineChars="200"/>
              <w:rPr>
                <w:sz w:val="24"/>
              </w:rPr>
            </w:pPr>
            <w:r>
              <w:rPr>
                <w:rFonts w:hint="eastAsia" w:hAnsi="宋体"/>
                <w:sz w:val="24"/>
              </w:rPr>
              <w:t>②</w:t>
            </w:r>
            <w:r>
              <w:rPr>
                <w:rFonts w:hint="eastAsia" w:hAnsi="宋体"/>
                <w:sz w:val="24"/>
                <w:szCs w:val="24"/>
              </w:rPr>
              <w:t>场界</w:t>
            </w:r>
            <w:r>
              <w:rPr>
                <w:rFonts w:hint="eastAsia" w:hAnsi="宋体"/>
                <w:sz w:val="24"/>
              </w:rPr>
              <w:t>周边各</w:t>
            </w:r>
            <w:r>
              <w:rPr>
                <w:rFonts w:hAnsi="宋体"/>
                <w:sz w:val="24"/>
                <w:szCs w:val="24"/>
              </w:rPr>
              <w:t>监测</w:t>
            </w:r>
            <w:r>
              <w:rPr>
                <w:rFonts w:hAnsi="宋体"/>
                <w:sz w:val="24"/>
              </w:rPr>
              <w:t>值</w:t>
            </w:r>
            <w:r>
              <w:rPr>
                <w:rFonts w:hint="eastAsia" w:hAnsi="宋体"/>
                <w:sz w:val="24"/>
              </w:rPr>
              <w:t>均</w:t>
            </w:r>
            <w:r>
              <w:rPr>
                <w:rFonts w:hAnsi="宋体"/>
                <w:sz w:val="24"/>
              </w:rPr>
              <w:t>符合《声环境质量标准》（</w:t>
            </w:r>
            <w:r>
              <w:rPr>
                <w:sz w:val="24"/>
              </w:rPr>
              <w:t>GB3096-2008</w:t>
            </w:r>
            <w:r>
              <w:rPr>
                <w:rFonts w:hAnsi="宋体"/>
                <w:sz w:val="24"/>
              </w:rPr>
              <w:t>）中的</w:t>
            </w:r>
            <w:r>
              <w:rPr>
                <w:rFonts w:hint="eastAsia" w:hAnsi="宋体"/>
                <w:sz w:val="24"/>
              </w:rPr>
              <w:t>2类标准值，</w:t>
            </w:r>
            <w:r>
              <w:rPr>
                <w:rFonts w:hint="eastAsia"/>
                <w:sz w:val="24"/>
              </w:rPr>
              <w:t>说明项目场界周围声环境质量较好。</w:t>
            </w:r>
          </w:p>
          <w:p>
            <w:pPr>
              <w:spacing w:line="360" w:lineRule="auto"/>
              <w:ind w:right="105" w:rightChars="50" w:firstLine="482" w:firstLineChars="200"/>
              <w:rPr>
                <w:b/>
                <w:sz w:val="24"/>
              </w:rPr>
            </w:pPr>
            <w:r>
              <w:rPr>
                <w:rFonts w:hint="eastAsia"/>
                <w:b/>
                <w:sz w:val="24"/>
              </w:rPr>
              <w:t>3</w:t>
            </w:r>
            <w:r>
              <w:rPr>
                <w:rFonts w:hAnsi="宋体"/>
                <w:b/>
                <w:sz w:val="24"/>
              </w:rPr>
              <w:t>、</w:t>
            </w:r>
            <w:r>
              <w:rPr>
                <w:rFonts w:hint="eastAsia" w:hAnsi="宋体"/>
                <w:b/>
                <w:sz w:val="24"/>
              </w:rPr>
              <w:t>污染治理措施及环境影响</w:t>
            </w:r>
            <w:r>
              <w:rPr>
                <w:rFonts w:hAnsi="宋体"/>
                <w:b/>
                <w:sz w:val="24"/>
              </w:rPr>
              <w:t>分析</w:t>
            </w:r>
            <w:r>
              <w:rPr>
                <w:rFonts w:hint="eastAsia" w:hAnsi="宋体"/>
                <w:b/>
                <w:sz w:val="24"/>
              </w:rPr>
              <w:t>结论</w:t>
            </w:r>
          </w:p>
          <w:p>
            <w:pPr>
              <w:spacing w:line="360" w:lineRule="auto"/>
              <w:ind w:firstLine="480" w:firstLineChars="200"/>
              <w:rPr>
                <w:sz w:val="24"/>
                <w:szCs w:val="24"/>
              </w:rPr>
            </w:pPr>
            <w:r>
              <w:rPr>
                <w:sz w:val="24"/>
                <w:szCs w:val="24"/>
              </w:rPr>
              <w:t>（1）施工期</w:t>
            </w:r>
          </w:p>
          <w:p>
            <w:pPr>
              <w:spacing w:line="360" w:lineRule="auto"/>
              <w:ind w:firstLine="480" w:firstLineChars="200"/>
              <w:rPr>
                <w:kern w:val="10"/>
                <w:sz w:val="24"/>
                <w:szCs w:val="24"/>
              </w:rPr>
            </w:pPr>
            <w:r>
              <w:rPr>
                <w:rFonts w:hint="eastAsia"/>
                <w:kern w:val="10"/>
                <w:sz w:val="24"/>
                <w:szCs w:val="24"/>
              </w:rPr>
              <w:t>施工期的环境问题主要是施工运输扬尘和施工噪声对周围环境的影响。施工过程中通过有效管理</w:t>
            </w:r>
            <w:r>
              <w:rPr>
                <w:kern w:val="10"/>
                <w:sz w:val="24"/>
                <w:szCs w:val="24"/>
              </w:rPr>
              <w:t>、</w:t>
            </w:r>
            <w:r>
              <w:rPr>
                <w:rFonts w:hint="eastAsia"/>
                <w:kern w:val="10"/>
                <w:sz w:val="24"/>
                <w:szCs w:val="24"/>
              </w:rPr>
              <w:t>科学安排施工作业，及时</w:t>
            </w:r>
            <w:r>
              <w:rPr>
                <w:kern w:val="10"/>
                <w:sz w:val="24"/>
                <w:szCs w:val="24"/>
              </w:rPr>
              <w:t>、</w:t>
            </w:r>
            <w:r>
              <w:rPr>
                <w:rFonts w:hint="eastAsia"/>
                <w:kern w:val="10"/>
                <w:sz w:val="24"/>
                <w:szCs w:val="24"/>
              </w:rPr>
              <w:t>有效采取相应环保措施，可使施工期对周围环境影响降到最低。随着施工期的结束，这些环境问题也将消失。</w:t>
            </w:r>
          </w:p>
          <w:p>
            <w:pPr>
              <w:spacing w:line="460" w:lineRule="exact"/>
              <w:ind w:firstLine="480" w:firstLineChars="200"/>
              <w:rPr>
                <w:rFonts w:ascii="宋体" w:hAnsi="宋体"/>
                <w:sz w:val="24"/>
                <w:szCs w:val="24"/>
              </w:rPr>
            </w:pPr>
            <w:r>
              <w:rPr>
                <w:sz w:val="24"/>
                <w:szCs w:val="24"/>
              </w:rPr>
              <w:t>（2）营运期</w:t>
            </w:r>
          </w:p>
          <w:p>
            <w:pPr>
              <w:spacing w:line="520" w:lineRule="exact"/>
              <w:ind w:firstLine="600" w:firstLineChars="250"/>
              <w:rPr>
                <w:kern w:val="10"/>
                <w:sz w:val="24"/>
                <w:szCs w:val="24"/>
              </w:rPr>
            </w:pPr>
            <w:r>
              <w:rPr>
                <w:rFonts w:hint="eastAsia" w:ascii="宋体" w:hAnsi="宋体"/>
                <w:kern w:val="10"/>
                <w:sz w:val="24"/>
                <w:szCs w:val="24"/>
              </w:rPr>
              <w:t>①</w:t>
            </w:r>
            <w:r>
              <w:rPr>
                <w:rFonts w:hint="eastAsia"/>
                <w:kern w:val="10"/>
                <w:sz w:val="24"/>
                <w:szCs w:val="24"/>
              </w:rPr>
              <w:t>大气环境影响分析结论</w:t>
            </w:r>
          </w:p>
          <w:p>
            <w:pPr>
              <w:spacing w:line="480" w:lineRule="exact"/>
              <w:ind w:firstLine="480" w:firstLineChars="200"/>
              <w:rPr>
                <w:kern w:val="10"/>
                <w:sz w:val="24"/>
                <w:szCs w:val="24"/>
              </w:rPr>
            </w:pPr>
            <w:r>
              <w:rPr>
                <w:rFonts w:hint="eastAsia"/>
                <w:kern w:val="10"/>
                <w:sz w:val="24"/>
                <w:szCs w:val="24"/>
              </w:rPr>
              <w:t>项目主要大气污染源为</w:t>
            </w:r>
            <w:r>
              <w:rPr>
                <w:rFonts w:ascii="宋体" w:hAnsi="宋体"/>
                <w:bCs/>
                <w:sz w:val="24"/>
                <w:szCs w:val="24"/>
              </w:rPr>
              <w:t>隧道窑焙烧</w:t>
            </w:r>
            <w:r>
              <w:rPr>
                <w:rFonts w:hint="eastAsia" w:hAnsi="宋体"/>
                <w:bCs/>
                <w:sz w:val="24"/>
                <w:szCs w:val="24"/>
              </w:rPr>
              <w:t>废气、</w:t>
            </w:r>
            <w:r>
              <w:rPr>
                <w:rFonts w:hint="eastAsia" w:ascii="宋体" w:hAnsi="宋体"/>
                <w:bCs/>
                <w:sz w:val="24"/>
                <w:szCs w:val="24"/>
              </w:rPr>
              <w:t>粘土开采、物料装卸作业扬尘、运输过程产生的扬尘</w:t>
            </w:r>
            <w:r>
              <w:rPr>
                <w:kern w:val="10"/>
                <w:sz w:val="24"/>
                <w:szCs w:val="24"/>
              </w:rPr>
              <w:t>。</w:t>
            </w:r>
            <w:r>
              <w:rPr>
                <w:sz w:val="24"/>
                <w:szCs w:val="24"/>
              </w:rPr>
              <w:t>隧道窑</w:t>
            </w:r>
            <w:r>
              <w:rPr>
                <w:bCs/>
                <w:sz w:val="24"/>
                <w:szCs w:val="24"/>
              </w:rPr>
              <w:t>焙烧</w:t>
            </w:r>
            <w:r>
              <w:rPr>
                <w:sz w:val="24"/>
                <w:szCs w:val="24"/>
              </w:rPr>
              <w:t>废气</w:t>
            </w:r>
            <w:r>
              <w:rPr>
                <w:sz w:val="24"/>
              </w:rPr>
              <w:t>经收集后</w:t>
            </w:r>
            <w:r>
              <w:rPr>
                <w:bCs/>
                <w:sz w:val="24"/>
              </w:rPr>
              <w:t>由15m高排气筒排放；</w:t>
            </w:r>
            <w:r>
              <w:rPr>
                <w:rFonts w:hint="eastAsia" w:hAnsi="宋体"/>
                <w:sz w:val="24"/>
              </w:rPr>
              <w:t>粘土取土区通过洒水车洒水降尘，以增加物料表面含水率的措施来降低开采粉尘；</w:t>
            </w:r>
            <w:r>
              <w:rPr>
                <w:rFonts w:hint="eastAsia"/>
                <w:kern w:val="10"/>
                <w:sz w:val="24"/>
                <w:szCs w:val="24"/>
              </w:rPr>
              <w:t>在</w:t>
            </w:r>
            <w:r>
              <w:rPr>
                <w:sz w:val="24"/>
              </w:rPr>
              <w:t>装卸原料时尽量降低物料落差</w:t>
            </w:r>
            <w:r>
              <w:rPr>
                <w:rFonts w:hint="eastAsia"/>
                <w:sz w:val="24"/>
              </w:rPr>
              <w:t>及喷雾等措施</w:t>
            </w:r>
            <w:r>
              <w:rPr>
                <w:sz w:val="24"/>
              </w:rPr>
              <w:t>，以减少扬尘产生</w:t>
            </w:r>
            <w:r>
              <w:rPr>
                <w:rFonts w:hint="eastAsia"/>
                <w:sz w:val="24"/>
              </w:rPr>
              <w:t>；</w:t>
            </w:r>
            <w:r>
              <w:rPr>
                <w:sz w:val="24"/>
              </w:rPr>
              <w:t>加强厂区绿化，以达到防尘降噪的效果</w:t>
            </w:r>
            <w:r>
              <w:rPr>
                <w:rFonts w:hint="eastAsia"/>
                <w:sz w:val="24"/>
              </w:rPr>
              <w:t>等措施，减少无组织扬尘对周围环境的影响</w:t>
            </w:r>
            <w:r>
              <w:rPr>
                <w:rFonts w:hint="eastAsia" w:hAnsi="宋体"/>
                <w:sz w:val="24"/>
              </w:rPr>
              <w:t>。</w:t>
            </w:r>
          </w:p>
          <w:p>
            <w:pPr>
              <w:spacing w:line="480" w:lineRule="exact"/>
              <w:ind w:firstLine="480" w:firstLineChars="200"/>
              <w:rPr>
                <w:rFonts w:ascii="宋体" w:hAnsi="宋体"/>
                <w:kern w:val="10"/>
                <w:sz w:val="24"/>
                <w:szCs w:val="24"/>
              </w:rPr>
            </w:pPr>
            <w:r>
              <w:rPr>
                <w:rFonts w:hint="eastAsia"/>
                <w:kern w:val="10"/>
                <w:sz w:val="24"/>
                <w:szCs w:val="24"/>
              </w:rPr>
              <w:t>因此，在采取环评提出的相应环保措施之后，隧道窑废气</w:t>
            </w:r>
            <w:r>
              <w:rPr>
                <w:rFonts w:hint="eastAsia"/>
                <w:snapToGrid w:val="0"/>
                <w:kern w:val="0"/>
                <w:sz w:val="24"/>
                <w:szCs w:val="24"/>
              </w:rPr>
              <w:t>满足</w:t>
            </w:r>
            <w:r>
              <w:rPr>
                <w:rFonts w:hint="eastAsia" w:hAnsi="宋体"/>
                <w:bCs/>
                <w:sz w:val="24"/>
                <w:szCs w:val="24"/>
              </w:rPr>
              <w:t>《关中地区重点行业大气污染物排放标准》（GB61 1226-2018）中的表7砖瓦工业大气污染物排放浓度限值，</w:t>
            </w:r>
            <w:r>
              <w:rPr>
                <w:rFonts w:hint="eastAsia"/>
                <w:kern w:val="10"/>
                <w:sz w:val="24"/>
                <w:szCs w:val="24"/>
              </w:rPr>
              <w:t>项目</w:t>
            </w:r>
            <w:r>
              <w:rPr>
                <w:kern w:val="10"/>
                <w:sz w:val="24"/>
                <w:szCs w:val="24"/>
              </w:rPr>
              <w:t>产生的大气污染物经治理后对周围空气环境影响较小。</w:t>
            </w:r>
          </w:p>
          <w:p>
            <w:pPr>
              <w:spacing w:line="480" w:lineRule="exact"/>
              <w:ind w:firstLine="600" w:firstLineChars="250"/>
              <w:rPr>
                <w:kern w:val="10"/>
                <w:sz w:val="24"/>
                <w:szCs w:val="24"/>
              </w:rPr>
            </w:pPr>
            <w:r>
              <w:rPr>
                <w:rFonts w:hint="eastAsia" w:ascii="宋体" w:hAnsi="宋体"/>
                <w:kern w:val="10"/>
                <w:sz w:val="24"/>
                <w:szCs w:val="24"/>
              </w:rPr>
              <w:t>②</w:t>
            </w:r>
            <w:r>
              <w:rPr>
                <w:rFonts w:hint="eastAsia"/>
                <w:kern w:val="10"/>
                <w:sz w:val="24"/>
                <w:szCs w:val="24"/>
              </w:rPr>
              <w:t>水环境影响分析结论</w:t>
            </w:r>
          </w:p>
          <w:p>
            <w:pPr>
              <w:spacing w:line="360" w:lineRule="auto"/>
              <w:ind w:firstLine="480" w:firstLineChars="200"/>
              <w:jc w:val="left"/>
              <w:rPr>
                <w:rFonts w:ascii="宋体" w:hAnsi="宋体"/>
                <w:sz w:val="24"/>
              </w:rPr>
            </w:pPr>
            <w:r>
              <w:rPr>
                <w:rFonts w:hint="eastAsia"/>
                <w:sz w:val="24"/>
              </w:rPr>
              <w:t>项目搅拌用水</w:t>
            </w:r>
            <w:r>
              <w:rPr>
                <w:rFonts w:hAnsi="宋体"/>
                <w:sz w:val="24"/>
              </w:rPr>
              <w:t>经干燥焙烧后，以蒸汽的形式蒸发掉，不外排</w:t>
            </w:r>
            <w:r>
              <w:rPr>
                <w:rFonts w:hint="eastAsia" w:hAnsi="宋体"/>
                <w:sz w:val="24"/>
              </w:rPr>
              <w:t>；</w:t>
            </w:r>
            <w:r>
              <w:rPr>
                <w:rFonts w:hint="eastAsia"/>
                <w:sz w:val="24"/>
              </w:rPr>
              <w:t>取土区洒水、绿化洒水及道路洒水，</w:t>
            </w:r>
            <w:r>
              <w:rPr>
                <w:rFonts w:hAnsi="宋体"/>
                <w:sz w:val="24"/>
              </w:rPr>
              <w:t>以蒸汽的形式蒸发掉，不外排</w:t>
            </w:r>
            <w:r>
              <w:rPr>
                <w:rFonts w:hint="eastAsia" w:hAnsi="宋体"/>
                <w:sz w:val="24"/>
              </w:rPr>
              <w:t>；生活污水经化粪池储存后定期清掏</w:t>
            </w:r>
            <w:r>
              <w:rPr>
                <w:rFonts w:hint="eastAsia"/>
                <w:spacing w:val="2"/>
                <w:sz w:val="24"/>
              </w:rPr>
              <w:t>，</w:t>
            </w:r>
            <w:r>
              <w:rPr>
                <w:sz w:val="24"/>
              </w:rPr>
              <w:t>运营期所有</w:t>
            </w:r>
            <w:r>
              <w:rPr>
                <w:rFonts w:hint="eastAsia"/>
                <w:sz w:val="24"/>
              </w:rPr>
              <w:t>废水</w:t>
            </w:r>
            <w:r>
              <w:rPr>
                <w:sz w:val="24"/>
              </w:rPr>
              <w:t>均损耗或回收利用，不外排。</w:t>
            </w:r>
            <w:r>
              <w:rPr>
                <w:rFonts w:hint="eastAsia"/>
                <w:bCs/>
                <w:sz w:val="24"/>
              </w:rPr>
              <w:t>因此项目建设不会对区域地表水体造成影响</w:t>
            </w:r>
            <w:r>
              <w:rPr>
                <w:rFonts w:hint="eastAsia"/>
                <w:kern w:val="10"/>
                <w:sz w:val="24"/>
                <w:szCs w:val="24"/>
              </w:rPr>
              <w:t>。</w:t>
            </w:r>
          </w:p>
          <w:p>
            <w:pPr>
              <w:spacing w:line="480" w:lineRule="exact"/>
              <w:ind w:firstLine="600" w:firstLineChars="250"/>
              <w:rPr>
                <w:kern w:val="10"/>
                <w:sz w:val="24"/>
                <w:szCs w:val="24"/>
              </w:rPr>
            </w:pPr>
            <w:r>
              <w:rPr>
                <w:rFonts w:hint="eastAsia" w:ascii="宋体" w:hAnsi="宋体"/>
                <w:kern w:val="10"/>
                <w:sz w:val="24"/>
                <w:szCs w:val="24"/>
              </w:rPr>
              <w:t>③</w:t>
            </w:r>
            <w:r>
              <w:rPr>
                <w:rFonts w:hint="eastAsia"/>
                <w:kern w:val="10"/>
                <w:sz w:val="24"/>
                <w:szCs w:val="24"/>
              </w:rPr>
              <w:t>噪声环境影响分析结论</w:t>
            </w:r>
          </w:p>
          <w:p>
            <w:pPr>
              <w:spacing w:line="480" w:lineRule="exact"/>
              <w:ind w:firstLine="480" w:firstLineChars="200"/>
              <w:rPr>
                <w:kern w:val="10"/>
                <w:sz w:val="24"/>
                <w:szCs w:val="24"/>
              </w:rPr>
            </w:pPr>
            <w:r>
              <w:rPr>
                <w:rFonts w:hint="eastAsia" w:hAnsi="宋体"/>
                <w:sz w:val="24"/>
              </w:rPr>
              <w:t>本项目营运期噪声主要来源于粉碎机、搅拌机、挤出机、风机等生产设备噪声、运输车辆交通噪声等产生的噪声。项目运行期间，生产设备运行噪声较大，其强度在85-105dB（A）之</w:t>
            </w:r>
            <w:r>
              <w:rPr>
                <w:rFonts w:hint="eastAsia" w:hAnsi="宋体"/>
                <w:sz w:val="24"/>
                <w:szCs w:val="24"/>
              </w:rPr>
              <w:t>间</w:t>
            </w:r>
            <w:r>
              <w:rPr>
                <w:rFonts w:hint="eastAsia"/>
                <w:kern w:val="10"/>
                <w:sz w:val="24"/>
                <w:szCs w:val="24"/>
              </w:rPr>
              <w:t>，通过</w:t>
            </w:r>
            <w:r>
              <w:rPr>
                <w:rFonts w:hint="eastAsia"/>
                <w:sz w:val="24"/>
                <w:szCs w:val="24"/>
              </w:rPr>
              <w:t>选用低噪声设备、基础减振、车间隔声</w:t>
            </w:r>
            <w:r>
              <w:rPr>
                <w:rFonts w:hint="eastAsia"/>
                <w:kern w:val="10"/>
                <w:sz w:val="24"/>
                <w:szCs w:val="24"/>
              </w:rPr>
              <w:t>等措施后，</w:t>
            </w:r>
            <w:r>
              <w:rPr>
                <w:kern w:val="10"/>
                <w:sz w:val="24"/>
                <w:szCs w:val="24"/>
              </w:rPr>
              <w:t>可达到《工业企业厂界环境噪声排放标准》（GB12348-2008）中2类标准要求，</w:t>
            </w:r>
            <w:r>
              <w:rPr>
                <w:rFonts w:hint="eastAsia"/>
                <w:kern w:val="10"/>
                <w:sz w:val="24"/>
                <w:szCs w:val="24"/>
              </w:rPr>
              <w:t>项目运营期车间噪声贡献值在敏感点满足《声环境质量标准》（GB3096-2008）中的2类标准，项目</w:t>
            </w:r>
            <w:r>
              <w:rPr>
                <w:kern w:val="10"/>
                <w:sz w:val="24"/>
                <w:szCs w:val="24"/>
              </w:rPr>
              <w:t>对周围声环境影响</w:t>
            </w:r>
            <w:r>
              <w:rPr>
                <w:rFonts w:hint="eastAsia"/>
                <w:kern w:val="10"/>
                <w:sz w:val="24"/>
                <w:szCs w:val="24"/>
              </w:rPr>
              <w:t>较</w:t>
            </w:r>
            <w:r>
              <w:rPr>
                <w:kern w:val="10"/>
                <w:sz w:val="24"/>
                <w:szCs w:val="24"/>
              </w:rPr>
              <w:t>小。</w:t>
            </w:r>
          </w:p>
          <w:p>
            <w:pPr>
              <w:pStyle w:val="56"/>
              <w:numPr>
                <w:ilvl w:val="0"/>
                <w:numId w:val="2"/>
              </w:numPr>
              <w:spacing w:line="480" w:lineRule="exact"/>
              <w:ind w:firstLineChars="0"/>
              <w:rPr>
                <w:kern w:val="10"/>
                <w:sz w:val="24"/>
                <w:szCs w:val="24"/>
              </w:rPr>
            </w:pPr>
            <w:r>
              <w:rPr>
                <w:rFonts w:hint="eastAsia"/>
                <w:kern w:val="10"/>
                <w:sz w:val="24"/>
                <w:szCs w:val="24"/>
              </w:rPr>
              <w:t>固废环境影响分析结论</w:t>
            </w:r>
          </w:p>
          <w:p>
            <w:pPr>
              <w:spacing w:line="360" w:lineRule="auto"/>
              <w:ind w:firstLine="480" w:firstLineChars="200"/>
              <w:rPr>
                <w:kern w:val="10"/>
                <w:sz w:val="24"/>
                <w:szCs w:val="24"/>
              </w:rPr>
            </w:pPr>
            <w:r>
              <w:rPr>
                <w:rFonts w:hint="eastAsia"/>
                <w:kern w:val="10"/>
                <w:sz w:val="24"/>
                <w:szCs w:val="24"/>
              </w:rPr>
              <w:t>生活垃圾由厂内统一收集，当地环卫部门定期清运；生产过程中的废坯回用于生产，不外排；</w:t>
            </w:r>
            <w:r>
              <w:rPr>
                <w:rFonts w:hint="eastAsia" w:hAnsi="宋体"/>
                <w:color w:val="FF0000"/>
                <w:sz w:val="24"/>
              </w:rPr>
              <w:t>餐厨垃圾集中收集交相关回收单位处置，其中，废油脂交由有资质单位处置；</w:t>
            </w:r>
            <w:r>
              <w:rPr>
                <w:rFonts w:hint="eastAsia"/>
                <w:kern w:val="10"/>
                <w:sz w:val="24"/>
                <w:szCs w:val="24"/>
              </w:rPr>
              <w:t>采取</w:t>
            </w:r>
            <w:r>
              <w:rPr>
                <w:kern w:val="10"/>
                <w:sz w:val="24"/>
                <w:szCs w:val="24"/>
              </w:rPr>
              <w:t>以上措施后，产生</w:t>
            </w:r>
            <w:r>
              <w:rPr>
                <w:rFonts w:hint="eastAsia"/>
                <w:kern w:val="10"/>
                <w:sz w:val="24"/>
                <w:szCs w:val="24"/>
              </w:rPr>
              <w:t>的</w:t>
            </w:r>
            <w:r>
              <w:rPr>
                <w:kern w:val="10"/>
                <w:sz w:val="24"/>
                <w:szCs w:val="24"/>
              </w:rPr>
              <w:t>固废对周围环境基本无影响。</w:t>
            </w:r>
          </w:p>
          <w:p>
            <w:pPr>
              <w:spacing w:line="360" w:lineRule="auto"/>
              <w:ind w:firstLine="480" w:firstLineChars="200"/>
              <w:rPr>
                <w:rFonts w:ascii="宋体" w:hAnsi="宋体"/>
                <w:kern w:val="10"/>
                <w:sz w:val="24"/>
                <w:szCs w:val="24"/>
              </w:rPr>
            </w:pPr>
            <w:r>
              <w:rPr>
                <w:kern w:val="10"/>
                <w:sz w:val="24"/>
                <w:szCs w:val="24"/>
              </w:rPr>
              <w:fldChar w:fldCharType="begin"/>
            </w:r>
            <w:r>
              <w:rPr>
                <w:kern w:val="10"/>
                <w:sz w:val="24"/>
                <w:szCs w:val="24"/>
              </w:rPr>
              <w:instrText xml:space="preserve"> </w:instrText>
            </w:r>
            <w:r>
              <w:rPr>
                <w:rFonts w:hint="eastAsia"/>
                <w:kern w:val="10"/>
                <w:sz w:val="24"/>
                <w:szCs w:val="24"/>
              </w:rPr>
              <w:instrText xml:space="preserve">= 5 \* GB3</w:instrText>
            </w:r>
            <w:r>
              <w:rPr>
                <w:kern w:val="10"/>
                <w:sz w:val="24"/>
                <w:szCs w:val="24"/>
              </w:rPr>
              <w:instrText xml:space="preserve"> </w:instrText>
            </w:r>
            <w:r>
              <w:rPr>
                <w:kern w:val="10"/>
                <w:sz w:val="24"/>
                <w:szCs w:val="24"/>
              </w:rPr>
              <w:fldChar w:fldCharType="separate"/>
            </w:r>
            <w:r>
              <w:rPr>
                <w:rFonts w:hint="eastAsia"/>
                <w:kern w:val="10"/>
                <w:sz w:val="24"/>
                <w:szCs w:val="24"/>
              </w:rPr>
              <w:t>⑤</w:t>
            </w:r>
            <w:r>
              <w:rPr>
                <w:kern w:val="10"/>
                <w:sz w:val="24"/>
                <w:szCs w:val="24"/>
              </w:rPr>
              <w:fldChar w:fldCharType="end"/>
            </w:r>
            <w:r>
              <w:rPr>
                <w:rFonts w:hint="eastAsia" w:ascii="宋体" w:hAnsi="宋体"/>
                <w:kern w:val="10"/>
                <w:sz w:val="24"/>
                <w:szCs w:val="24"/>
              </w:rPr>
              <w:t>生态环境影响分析结论</w:t>
            </w:r>
          </w:p>
          <w:p>
            <w:pPr>
              <w:spacing w:line="360" w:lineRule="auto"/>
              <w:ind w:firstLine="480" w:firstLineChars="200"/>
              <w:rPr>
                <w:sz w:val="24"/>
              </w:rPr>
            </w:pPr>
            <w:r>
              <w:rPr>
                <w:rFonts w:hint="eastAsia"/>
                <w:kern w:val="10"/>
                <w:sz w:val="24"/>
                <w:szCs w:val="24"/>
              </w:rPr>
              <w:t>项目建成后</w:t>
            </w:r>
            <w:r>
              <w:rPr>
                <w:kern w:val="10"/>
                <w:sz w:val="24"/>
                <w:szCs w:val="24"/>
              </w:rPr>
              <w:t>厂区</w:t>
            </w:r>
            <w:r>
              <w:rPr>
                <w:rFonts w:hint="eastAsia"/>
                <w:kern w:val="10"/>
                <w:sz w:val="24"/>
                <w:szCs w:val="24"/>
              </w:rPr>
              <w:t>道路</w:t>
            </w:r>
            <w:r>
              <w:rPr>
                <w:kern w:val="10"/>
                <w:sz w:val="24"/>
                <w:szCs w:val="24"/>
              </w:rPr>
              <w:t>硬化，道路两旁，车间前后的空地上栽种树木、花卉、草皮等</w:t>
            </w:r>
            <w:r>
              <w:rPr>
                <w:rFonts w:hint="eastAsia"/>
                <w:kern w:val="10"/>
                <w:sz w:val="24"/>
                <w:szCs w:val="24"/>
              </w:rPr>
              <w:t>，绿化面积将达到4000m</w:t>
            </w:r>
            <w:r>
              <w:rPr>
                <w:rFonts w:hint="eastAsia"/>
                <w:kern w:val="10"/>
                <w:sz w:val="24"/>
                <w:szCs w:val="24"/>
                <w:vertAlign w:val="superscript"/>
              </w:rPr>
              <w:t>2</w:t>
            </w:r>
            <w:r>
              <w:rPr>
                <w:kern w:val="10"/>
                <w:sz w:val="24"/>
                <w:szCs w:val="24"/>
              </w:rPr>
              <w:t>。通过对厂区生态环境的</w:t>
            </w:r>
            <w:r>
              <w:rPr>
                <w:rFonts w:hint="eastAsia"/>
                <w:kern w:val="10"/>
                <w:sz w:val="24"/>
                <w:szCs w:val="24"/>
              </w:rPr>
              <w:t>建设</w:t>
            </w:r>
            <w:r>
              <w:rPr>
                <w:kern w:val="10"/>
                <w:sz w:val="24"/>
                <w:szCs w:val="24"/>
              </w:rPr>
              <w:t>，可提高植被覆盖率，净化空气环境，减轻大气环境污染和噪声的危害，同时</w:t>
            </w:r>
            <w:r>
              <w:rPr>
                <w:rFonts w:hint="eastAsia"/>
                <w:kern w:val="10"/>
                <w:sz w:val="24"/>
                <w:szCs w:val="24"/>
              </w:rPr>
              <w:t>达到</w:t>
            </w:r>
            <w:r>
              <w:rPr>
                <w:kern w:val="10"/>
                <w:sz w:val="24"/>
                <w:szCs w:val="24"/>
              </w:rPr>
              <w:t>美化厂区的效果。</w:t>
            </w:r>
            <w:r>
              <w:rPr>
                <w:rFonts w:hint="eastAsia"/>
                <w:sz w:val="24"/>
                <w:szCs w:val="24"/>
              </w:rPr>
              <w:t>在运行期，项目取土区粘土露天开采，地表裸露，</w:t>
            </w:r>
            <w:r>
              <w:rPr>
                <w:sz w:val="24"/>
                <w:szCs w:val="24"/>
              </w:rPr>
              <w:t>逢雨季节将会造成水土流失现象</w:t>
            </w:r>
            <w:r>
              <w:rPr>
                <w:rFonts w:hint="eastAsia"/>
                <w:sz w:val="24"/>
                <w:szCs w:val="24"/>
              </w:rPr>
              <w:t>，应及时进行复耕。</w:t>
            </w:r>
          </w:p>
          <w:p>
            <w:pPr>
              <w:spacing w:line="360" w:lineRule="auto"/>
              <w:ind w:firstLine="480" w:firstLineChars="200"/>
              <w:rPr>
                <w:sz w:val="24"/>
              </w:rPr>
            </w:pPr>
            <w:r>
              <w:rPr>
                <w:rFonts w:hAnsi="宋体"/>
                <w:sz w:val="24"/>
              </w:rPr>
              <w:t>由工程污染分析表明，本项目环境影响因素主要有废气、</w:t>
            </w:r>
            <w:r>
              <w:rPr>
                <w:rFonts w:hint="eastAsia" w:hAnsi="宋体"/>
                <w:sz w:val="24"/>
              </w:rPr>
              <w:t>废水</w:t>
            </w:r>
            <w:r>
              <w:rPr>
                <w:rFonts w:hAnsi="宋体"/>
                <w:sz w:val="24"/>
              </w:rPr>
              <w:t>、噪声</w:t>
            </w:r>
            <w:r>
              <w:rPr>
                <w:rFonts w:hint="eastAsia" w:hAnsi="宋体"/>
                <w:sz w:val="24"/>
              </w:rPr>
              <w:t>、</w:t>
            </w:r>
            <w:r>
              <w:rPr>
                <w:rFonts w:hAnsi="宋体"/>
                <w:sz w:val="24"/>
              </w:rPr>
              <w:t>固体废物</w:t>
            </w:r>
            <w:r>
              <w:rPr>
                <w:rFonts w:hint="eastAsia" w:hAnsi="宋体"/>
                <w:sz w:val="24"/>
              </w:rPr>
              <w:t>以及生态破坏</w:t>
            </w:r>
            <w:r>
              <w:rPr>
                <w:rFonts w:hAnsi="宋体"/>
                <w:sz w:val="24"/>
              </w:rPr>
              <w:t>，通过切实落实本评价报告提出的污染防治对策与措施，确保各类污染物的达标排放，可使项目对周围环境的影响降至最低限度，同时要确保绿化质量，以改善周围区域的环境质量。</w:t>
            </w:r>
          </w:p>
          <w:p>
            <w:pPr>
              <w:spacing w:line="360" w:lineRule="auto"/>
              <w:ind w:right="105" w:rightChars="50" w:firstLine="482" w:firstLineChars="200"/>
              <w:rPr>
                <w:b/>
                <w:sz w:val="24"/>
              </w:rPr>
            </w:pPr>
            <w:r>
              <w:rPr>
                <w:rFonts w:hint="eastAsia"/>
                <w:b/>
                <w:sz w:val="24"/>
              </w:rPr>
              <w:t>4</w:t>
            </w:r>
            <w:r>
              <w:rPr>
                <w:rFonts w:hAnsi="宋体"/>
                <w:b/>
                <w:sz w:val="24"/>
              </w:rPr>
              <w:t>、总结论</w:t>
            </w:r>
          </w:p>
          <w:p>
            <w:pPr>
              <w:pStyle w:val="104"/>
              <w:spacing w:line="360" w:lineRule="auto"/>
              <w:ind w:firstLine="480" w:firstLineChars="200"/>
            </w:pPr>
            <w:r>
              <w:rPr>
                <w:rFonts w:hint="eastAsia" w:hAnsi="宋体"/>
                <w:bCs/>
                <w:color w:val="auto"/>
              </w:rPr>
              <w:t>西安众昊新型环保建材建设</w:t>
            </w:r>
            <w:r>
              <w:rPr>
                <w:rFonts w:ascii="Times New Roman" w:cs="Times New Roman"/>
                <w:color w:val="auto"/>
              </w:rPr>
              <w:t>目符合国家产业政策要求，选址合理，项目的污染治理措施能够满足环保管理要求，废气、废水、噪声和固体废物均能实现达标排放和</w:t>
            </w:r>
            <w:r>
              <w:rPr>
                <w:rFonts w:hint="eastAsia" w:ascii="Times New Roman" w:cs="Times New Roman"/>
                <w:color w:val="auto"/>
              </w:rPr>
              <w:t>合理</w:t>
            </w:r>
            <w:r>
              <w:rPr>
                <w:rFonts w:ascii="Times New Roman" w:cs="Times New Roman"/>
                <w:color w:val="auto"/>
              </w:rPr>
              <w:t>处置，对环境的影响较小。因此，</w:t>
            </w:r>
            <w:r>
              <w:rPr>
                <w:rFonts w:hAnsi="宋体"/>
              </w:rPr>
              <w:t>从环保角度出发，</w:t>
            </w:r>
            <w:r>
              <w:rPr>
                <w:rFonts w:hint="eastAsia" w:hAnsi="宋体"/>
              </w:rPr>
              <w:t>项目</w:t>
            </w:r>
            <w:r>
              <w:rPr>
                <w:rFonts w:hAnsi="宋体"/>
              </w:rPr>
              <w:t>是可行的。</w:t>
            </w:r>
          </w:p>
          <w:p>
            <w:pPr>
              <w:spacing w:line="360" w:lineRule="auto"/>
              <w:ind w:firstLine="482" w:firstLineChars="200"/>
              <w:rPr>
                <w:b/>
                <w:sz w:val="24"/>
              </w:rPr>
            </w:pPr>
            <w:r>
              <w:rPr>
                <w:rFonts w:hAnsi="宋体"/>
                <w:b/>
                <w:sz w:val="24"/>
              </w:rPr>
              <w:t>二、要求与建议</w:t>
            </w:r>
          </w:p>
          <w:p>
            <w:pPr>
              <w:spacing w:line="480" w:lineRule="exact"/>
              <w:ind w:firstLine="480" w:firstLineChars="200"/>
              <w:rPr>
                <w:kern w:val="10"/>
                <w:sz w:val="24"/>
                <w:szCs w:val="24"/>
              </w:rPr>
            </w:pPr>
            <w:r>
              <w:rPr>
                <w:rFonts w:hint="eastAsia"/>
                <w:kern w:val="10"/>
                <w:sz w:val="24"/>
                <w:szCs w:val="24"/>
              </w:rPr>
              <w:t>1</w:t>
            </w:r>
            <w:r>
              <w:rPr>
                <w:kern w:val="10"/>
                <w:sz w:val="24"/>
                <w:szCs w:val="24"/>
              </w:rPr>
              <w:t>、</w:t>
            </w:r>
            <w:r>
              <w:rPr>
                <w:rFonts w:hint="eastAsia"/>
                <w:kern w:val="10"/>
                <w:sz w:val="24"/>
                <w:szCs w:val="24"/>
              </w:rPr>
              <w:t>加强建设期施工管理。认真贯彻环保措施，严格执行建设项目“三同时”制度，</w:t>
            </w:r>
            <w:r>
              <w:rPr>
                <w:sz w:val="24"/>
              </w:rPr>
              <w:t>项目建成后经环保部门验收合格后方可正式投产。</w:t>
            </w:r>
          </w:p>
          <w:p>
            <w:pPr>
              <w:spacing w:line="480" w:lineRule="exact"/>
              <w:ind w:firstLine="480" w:firstLineChars="200"/>
              <w:rPr>
                <w:kern w:val="10"/>
                <w:sz w:val="24"/>
                <w:szCs w:val="24"/>
              </w:rPr>
            </w:pPr>
            <w:r>
              <w:rPr>
                <w:kern w:val="10"/>
                <w:sz w:val="24"/>
                <w:szCs w:val="24"/>
              </w:rPr>
              <w:t>2、</w:t>
            </w:r>
            <w:r>
              <w:rPr>
                <w:rFonts w:hint="eastAsia"/>
                <w:kern w:val="10"/>
                <w:sz w:val="24"/>
                <w:szCs w:val="24"/>
              </w:rPr>
              <w:t>严格管理，</w:t>
            </w:r>
            <w:r>
              <w:rPr>
                <w:kern w:val="10"/>
                <w:sz w:val="24"/>
                <w:szCs w:val="24"/>
              </w:rPr>
              <w:t>确保各项环保设施的建设和正常运行</w:t>
            </w:r>
            <w:r>
              <w:rPr>
                <w:rFonts w:hint="eastAsia"/>
                <w:kern w:val="10"/>
                <w:sz w:val="24"/>
                <w:szCs w:val="24"/>
              </w:rPr>
              <w:t>；</w:t>
            </w:r>
          </w:p>
          <w:p>
            <w:pPr>
              <w:spacing w:line="480" w:lineRule="exact"/>
              <w:ind w:firstLine="480" w:firstLineChars="200"/>
              <w:rPr>
                <w:kern w:val="10"/>
                <w:sz w:val="24"/>
                <w:szCs w:val="24"/>
              </w:rPr>
            </w:pPr>
            <w:r>
              <w:rPr>
                <w:rFonts w:hint="eastAsia"/>
                <w:kern w:val="10"/>
                <w:sz w:val="24"/>
                <w:szCs w:val="24"/>
              </w:rPr>
              <w:t>3</w:t>
            </w:r>
            <w:r>
              <w:rPr>
                <w:kern w:val="10"/>
                <w:sz w:val="24"/>
                <w:szCs w:val="24"/>
              </w:rPr>
              <w:t>、对环保设备、设施进行定期检查维护，达到最佳运行状态。严格执行污染物排放申报制度，建立污染物排放管理和监测制度</w:t>
            </w:r>
            <w:r>
              <w:rPr>
                <w:rFonts w:hint="eastAsia"/>
                <w:kern w:val="10"/>
                <w:sz w:val="24"/>
                <w:szCs w:val="24"/>
              </w:rPr>
              <w:t>；</w:t>
            </w:r>
          </w:p>
          <w:p>
            <w:pPr>
              <w:adjustRightInd w:val="0"/>
              <w:snapToGrid w:val="0"/>
              <w:spacing w:line="480" w:lineRule="exact"/>
              <w:ind w:firstLine="480" w:firstLineChars="200"/>
              <w:rPr>
                <w:sz w:val="24"/>
              </w:rPr>
            </w:pPr>
            <w:r>
              <w:rPr>
                <w:rFonts w:hint="eastAsia"/>
                <w:kern w:val="10"/>
                <w:sz w:val="24"/>
                <w:szCs w:val="24"/>
              </w:rPr>
              <w:t>4</w:t>
            </w:r>
            <w:r>
              <w:rPr>
                <w:kern w:val="10"/>
                <w:sz w:val="24"/>
                <w:szCs w:val="24"/>
              </w:rPr>
              <w:t>、</w:t>
            </w:r>
            <w:r>
              <w:rPr>
                <w:sz w:val="24"/>
              </w:rPr>
              <w:t>对厂区道路进行硬化，同时加强洒水降尘，以减少道路扬尘。</w:t>
            </w:r>
          </w:p>
          <w:p>
            <w:pPr>
              <w:adjustRightInd w:val="0"/>
              <w:snapToGrid w:val="0"/>
              <w:spacing w:line="480" w:lineRule="exact"/>
              <w:ind w:firstLine="480" w:firstLineChars="200"/>
              <w:rPr>
                <w:sz w:val="24"/>
              </w:rPr>
            </w:pPr>
            <w:r>
              <w:rPr>
                <w:rFonts w:hint="eastAsia"/>
                <w:sz w:val="24"/>
              </w:rPr>
              <w:t>5、原料及成品运输尽量安排在昼间进行，并加强运输管理，防止物料洒落。</w:t>
            </w:r>
          </w:p>
          <w:p>
            <w:pPr>
              <w:spacing w:line="360" w:lineRule="auto"/>
              <w:ind w:firstLine="480" w:firstLineChars="200"/>
              <w:rPr>
                <w:rFonts w:hAnsi="宋体"/>
                <w:kern w:val="0"/>
                <w:sz w:val="24"/>
              </w:rPr>
            </w:pPr>
            <w:r>
              <w:rPr>
                <w:rFonts w:hint="eastAsia"/>
                <w:sz w:val="24"/>
              </w:rPr>
              <w:t>6、禁止建设运营中使用国家淘汰落后的生产设备和工艺。</w:t>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959" w:hRule="atLeast"/>
        </w:trPr>
        <w:tc>
          <w:tcPr>
            <w:tcW w:w="9249" w:type="dxa"/>
          </w:tcPr>
          <w:p>
            <w:pPr>
              <w:rPr>
                <w:sz w:val="24"/>
              </w:rPr>
            </w:pPr>
            <w:r>
              <w:rPr>
                <w:rFonts w:hAnsi="宋体"/>
                <w:sz w:val="24"/>
              </w:rPr>
              <w:t>预审意见：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13"/>
              <w:ind w:firstLine="480"/>
              <w:rPr>
                <w:kern w:val="2"/>
                <w:sz w:val="24"/>
                <w:lang w:val="en-US"/>
              </w:rPr>
            </w:pPr>
          </w:p>
          <w:p>
            <w:pPr>
              <w:ind w:left="5280" w:hanging="5280" w:hangingChars="2200"/>
              <w:rPr>
                <w:sz w:val="24"/>
              </w:rPr>
            </w:pPr>
            <w:r>
              <w:rPr>
                <w:sz w:val="24"/>
              </w:rPr>
              <w:t xml:space="preserve">                                                      </w:t>
            </w:r>
            <w:r>
              <w:rPr>
                <w:rFonts w:hAnsi="宋体"/>
                <w:sz w:val="24"/>
              </w:rPr>
              <w:t>公</w:t>
            </w:r>
            <w:r>
              <w:rPr>
                <w:sz w:val="24"/>
              </w:rPr>
              <w:t xml:space="preserve">     </w:t>
            </w:r>
            <w:r>
              <w:rPr>
                <w:rFonts w:hAnsi="宋体"/>
                <w:sz w:val="24"/>
              </w:rPr>
              <w:t>章</w:t>
            </w:r>
          </w:p>
          <w:p>
            <w:pPr>
              <w:rPr>
                <w:sz w:val="24"/>
              </w:rPr>
            </w:pPr>
          </w:p>
          <w:p>
            <w:pPr>
              <w:rPr>
                <w:sz w:val="24"/>
              </w:rPr>
            </w:pPr>
            <w:r>
              <w:rPr>
                <w:sz w:val="24"/>
              </w:rPr>
              <w:t xml:space="preserve">  </w:t>
            </w:r>
            <w:r>
              <w:rPr>
                <w:rFonts w:hAnsi="宋体"/>
                <w:sz w:val="24"/>
              </w:rPr>
              <w:t>经办人：</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p>
            <w:pPr>
              <w:rPr>
                <w:sz w:val="24"/>
              </w:rPr>
            </w:pPr>
          </w:p>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809" w:hRule="atLeast"/>
        </w:trPr>
        <w:tc>
          <w:tcPr>
            <w:tcW w:w="9249" w:type="dxa"/>
          </w:tcPr>
          <w:p>
            <w:pPr>
              <w:rPr>
                <w:sz w:val="24"/>
              </w:rPr>
            </w:pPr>
            <w:r>
              <w:rPr>
                <w:rFonts w:hAnsi="宋体"/>
                <w:sz w:val="24"/>
              </w:rPr>
              <w:t>下一级环境保护行政主管部门审查意见：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 xml:space="preserve">                                                     </w:t>
            </w:r>
          </w:p>
          <w:p>
            <w:pPr>
              <w:ind w:firstLine="6480" w:firstLineChars="2700"/>
              <w:rPr>
                <w:sz w:val="24"/>
              </w:rPr>
            </w:pPr>
            <w:r>
              <w:rPr>
                <w:rFonts w:hAnsi="宋体"/>
                <w:sz w:val="24"/>
              </w:rPr>
              <w:t>公</w:t>
            </w:r>
            <w:r>
              <w:rPr>
                <w:sz w:val="24"/>
              </w:rPr>
              <w:t xml:space="preserve">     </w:t>
            </w:r>
            <w:r>
              <w:rPr>
                <w:rFonts w:hAnsi="宋体"/>
                <w:sz w:val="24"/>
              </w:rPr>
              <w:t>章</w:t>
            </w:r>
          </w:p>
          <w:p>
            <w:pPr>
              <w:rPr>
                <w:sz w:val="24"/>
              </w:rPr>
            </w:pPr>
          </w:p>
          <w:p>
            <w:pPr>
              <w:rPr>
                <w:sz w:val="24"/>
              </w:rPr>
            </w:pPr>
            <w:r>
              <w:rPr>
                <w:sz w:val="24"/>
              </w:rPr>
              <w:t xml:space="preserve">  </w:t>
            </w:r>
            <w:r>
              <w:rPr>
                <w:rFonts w:hAnsi="宋体"/>
                <w:sz w:val="24"/>
              </w:rPr>
              <w:t>经办人：</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p>
            <w:pPr>
              <w:rPr>
                <w:sz w:val="24"/>
              </w:rPr>
            </w:pPr>
          </w:p>
          <w:p>
            <w:pPr>
              <w:rPr>
                <w:sz w:val="24"/>
              </w:rPr>
            </w:pPr>
          </w:p>
          <w:p>
            <w:pPr>
              <w:rPr>
                <w:sz w:val="24"/>
              </w:rPr>
            </w:pPr>
          </w:p>
          <w:p>
            <w:pPr>
              <w:rPr>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363" w:hRule="atLeast"/>
        </w:trPr>
        <w:tc>
          <w:tcPr>
            <w:tcW w:w="9249" w:type="dxa"/>
          </w:tcPr>
          <w:p>
            <w:pPr>
              <w:rPr>
                <w:sz w:val="24"/>
              </w:rPr>
            </w:pPr>
            <w:r>
              <w:rPr>
                <w:rFonts w:hAnsi="宋体"/>
                <w:sz w:val="24"/>
              </w:rPr>
              <w:t>审批意见：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 xml:space="preserve">                                                     </w:t>
            </w:r>
            <w:r>
              <w:rPr>
                <w:rFonts w:hAnsi="宋体"/>
                <w:sz w:val="24"/>
              </w:rPr>
              <w:t>公</w:t>
            </w:r>
            <w:r>
              <w:rPr>
                <w:sz w:val="24"/>
              </w:rPr>
              <w:t xml:space="preserve">     </w:t>
            </w:r>
            <w:r>
              <w:rPr>
                <w:rFonts w:hAnsi="宋体"/>
                <w:sz w:val="24"/>
              </w:rPr>
              <w:t>章</w:t>
            </w:r>
          </w:p>
          <w:p>
            <w:pPr>
              <w:rPr>
                <w:sz w:val="24"/>
              </w:rPr>
            </w:pPr>
          </w:p>
          <w:p>
            <w:pPr>
              <w:ind w:firstLine="360" w:firstLineChars="150"/>
              <w:rPr>
                <w:sz w:val="24"/>
              </w:rPr>
            </w:pPr>
            <w:r>
              <w:rPr>
                <w:rFonts w:hAnsi="宋体"/>
                <w:sz w:val="24"/>
              </w:rPr>
              <w:t>经办人：</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bl>
    <w:p/>
    <w:sectPr>
      <w:pgSz w:w="11906" w:h="16838"/>
      <w:pgMar w:top="1090" w:right="1418" w:bottom="2025"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0000012" w:usb3="00000000" w:csb0="0002009F" w:csb1="0000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separate"/>
    </w:r>
    <w:r>
      <w:rPr>
        <w:rStyle w:val="28"/>
      </w:rPr>
      <w:t>60</w:t>
    </w:r>
    <w:r>
      <w:fldChar w:fldCharType="end"/>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end"/>
    </w: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8CC"/>
    <w:multiLevelType w:val="multilevel"/>
    <w:tmpl w:val="06DC68CC"/>
    <w:lvl w:ilvl="0" w:tentative="0">
      <w:start w:val="1"/>
      <w:numFmt w:val="decimalEnclosedCircle"/>
      <w:lvlText w:val="%1"/>
      <w:lvlJc w:val="left"/>
      <w:pPr>
        <w:ind w:left="840" w:hanging="360"/>
      </w:pPr>
      <w:rPr>
        <w:rFonts w:hint="default" w:ascii="宋体" w:hAnsi="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A256BAD"/>
    <w:multiLevelType w:val="multilevel"/>
    <w:tmpl w:val="0A256BAD"/>
    <w:lvl w:ilvl="0" w:tentative="0">
      <w:start w:val="1"/>
      <w:numFmt w:val="decimalEnclosedCircle"/>
      <w:lvlText w:val="%1"/>
      <w:lvlJc w:val="left"/>
      <w:pPr>
        <w:ind w:left="840" w:hanging="360"/>
      </w:pPr>
      <w:rPr>
        <w:rFonts w:hint="default" w:ascii="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6DF51DAD"/>
    <w:multiLevelType w:val="multilevel"/>
    <w:tmpl w:val="6DF51DAD"/>
    <w:lvl w:ilvl="0" w:tentative="0">
      <w:start w:val="1"/>
      <w:numFmt w:val="decimalEnclosedCircle"/>
      <w:lvlText w:val="%1"/>
      <w:lvlJc w:val="left"/>
      <w:pPr>
        <w:ind w:left="900" w:hanging="420"/>
      </w:pPr>
      <w:rPr>
        <w:rFonts w:hint="default" w:ascii="宋体" w:hAnsi="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25"/>
    <w:rsid w:val="0000051A"/>
    <w:rsid w:val="000005DE"/>
    <w:rsid w:val="00000779"/>
    <w:rsid w:val="000008E0"/>
    <w:rsid w:val="00000AB9"/>
    <w:rsid w:val="00000B94"/>
    <w:rsid w:val="00000C24"/>
    <w:rsid w:val="00000C49"/>
    <w:rsid w:val="00001262"/>
    <w:rsid w:val="0000133C"/>
    <w:rsid w:val="00001977"/>
    <w:rsid w:val="0000198C"/>
    <w:rsid w:val="00002063"/>
    <w:rsid w:val="000027CE"/>
    <w:rsid w:val="00002846"/>
    <w:rsid w:val="00002908"/>
    <w:rsid w:val="00002D99"/>
    <w:rsid w:val="00002E7A"/>
    <w:rsid w:val="00002F86"/>
    <w:rsid w:val="00002FC6"/>
    <w:rsid w:val="00003DE9"/>
    <w:rsid w:val="0000410A"/>
    <w:rsid w:val="000043E0"/>
    <w:rsid w:val="0000455F"/>
    <w:rsid w:val="00004713"/>
    <w:rsid w:val="000048AF"/>
    <w:rsid w:val="000049AE"/>
    <w:rsid w:val="00004A91"/>
    <w:rsid w:val="00004BC4"/>
    <w:rsid w:val="00004CBC"/>
    <w:rsid w:val="00004D5E"/>
    <w:rsid w:val="00004FED"/>
    <w:rsid w:val="000055D4"/>
    <w:rsid w:val="00005917"/>
    <w:rsid w:val="00005AB2"/>
    <w:rsid w:val="00005AE2"/>
    <w:rsid w:val="00005E28"/>
    <w:rsid w:val="000063BB"/>
    <w:rsid w:val="00006668"/>
    <w:rsid w:val="000073A4"/>
    <w:rsid w:val="0000758C"/>
    <w:rsid w:val="000077BF"/>
    <w:rsid w:val="000077F8"/>
    <w:rsid w:val="0001003C"/>
    <w:rsid w:val="00010894"/>
    <w:rsid w:val="000109A2"/>
    <w:rsid w:val="000109EA"/>
    <w:rsid w:val="00010B9D"/>
    <w:rsid w:val="00010C33"/>
    <w:rsid w:val="00011029"/>
    <w:rsid w:val="00011218"/>
    <w:rsid w:val="000113A4"/>
    <w:rsid w:val="0001187A"/>
    <w:rsid w:val="000119A0"/>
    <w:rsid w:val="00011A2C"/>
    <w:rsid w:val="00011B21"/>
    <w:rsid w:val="00011BE4"/>
    <w:rsid w:val="00011CCF"/>
    <w:rsid w:val="00011D9D"/>
    <w:rsid w:val="00011DA7"/>
    <w:rsid w:val="00011DDD"/>
    <w:rsid w:val="00011E21"/>
    <w:rsid w:val="00011F06"/>
    <w:rsid w:val="000122C6"/>
    <w:rsid w:val="000124A2"/>
    <w:rsid w:val="000124EF"/>
    <w:rsid w:val="000128B5"/>
    <w:rsid w:val="00012BB8"/>
    <w:rsid w:val="00012D38"/>
    <w:rsid w:val="00012F08"/>
    <w:rsid w:val="0001302E"/>
    <w:rsid w:val="000139C0"/>
    <w:rsid w:val="000142C2"/>
    <w:rsid w:val="0001486E"/>
    <w:rsid w:val="000148CF"/>
    <w:rsid w:val="00014AAD"/>
    <w:rsid w:val="00014DD8"/>
    <w:rsid w:val="000153A0"/>
    <w:rsid w:val="0001598F"/>
    <w:rsid w:val="00015C18"/>
    <w:rsid w:val="00015E7C"/>
    <w:rsid w:val="00016218"/>
    <w:rsid w:val="000162EB"/>
    <w:rsid w:val="0001632F"/>
    <w:rsid w:val="00016734"/>
    <w:rsid w:val="00016756"/>
    <w:rsid w:val="0001696D"/>
    <w:rsid w:val="00016DB3"/>
    <w:rsid w:val="00016E32"/>
    <w:rsid w:val="00017C89"/>
    <w:rsid w:val="00017E10"/>
    <w:rsid w:val="00017FCD"/>
    <w:rsid w:val="00020957"/>
    <w:rsid w:val="000210F3"/>
    <w:rsid w:val="00021196"/>
    <w:rsid w:val="00021321"/>
    <w:rsid w:val="000219D4"/>
    <w:rsid w:val="00022906"/>
    <w:rsid w:val="00022A97"/>
    <w:rsid w:val="00022BB8"/>
    <w:rsid w:val="00022F63"/>
    <w:rsid w:val="00022FE9"/>
    <w:rsid w:val="00023318"/>
    <w:rsid w:val="00023697"/>
    <w:rsid w:val="0002398C"/>
    <w:rsid w:val="00023AC5"/>
    <w:rsid w:val="00024028"/>
    <w:rsid w:val="000242C1"/>
    <w:rsid w:val="000243B1"/>
    <w:rsid w:val="0002467F"/>
    <w:rsid w:val="00024B69"/>
    <w:rsid w:val="00024B8D"/>
    <w:rsid w:val="0002528C"/>
    <w:rsid w:val="0002533A"/>
    <w:rsid w:val="000255B2"/>
    <w:rsid w:val="000257F1"/>
    <w:rsid w:val="000258C7"/>
    <w:rsid w:val="000258F8"/>
    <w:rsid w:val="00025DE6"/>
    <w:rsid w:val="000262A0"/>
    <w:rsid w:val="000267FB"/>
    <w:rsid w:val="00027471"/>
    <w:rsid w:val="00027478"/>
    <w:rsid w:val="00027708"/>
    <w:rsid w:val="00027AEE"/>
    <w:rsid w:val="00027CD4"/>
    <w:rsid w:val="00027DCA"/>
    <w:rsid w:val="00030003"/>
    <w:rsid w:val="000300A9"/>
    <w:rsid w:val="00030165"/>
    <w:rsid w:val="000302C0"/>
    <w:rsid w:val="00030366"/>
    <w:rsid w:val="00030402"/>
    <w:rsid w:val="0003051E"/>
    <w:rsid w:val="00030527"/>
    <w:rsid w:val="0003077A"/>
    <w:rsid w:val="00030884"/>
    <w:rsid w:val="00030964"/>
    <w:rsid w:val="000309ED"/>
    <w:rsid w:val="00030BEA"/>
    <w:rsid w:val="00030F19"/>
    <w:rsid w:val="000313C8"/>
    <w:rsid w:val="00031531"/>
    <w:rsid w:val="0003166E"/>
    <w:rsid w:val="0003194B"/>
    <w:rsid w:val="00031D30"/>
    <w:rsid w:val="00031D7D"/>
    <w:rsid w:val="00031EA3"/>
    <w:rsid w:val="00032089"/>
    <w:rsid w:val="00032EB1"/>
    <w:rsid w:val="00032F6A"/>
    <w:rsid w:val="000331BB"/>
    <w:rsid w:val="00034715"/>
    <w:rsid w:val="00034ADA"/>
    <w:rsid w:val="000355CE"/>
    <w:rsid w:val="00035786"/>
    <w:rsid w:val="0003591B"/>
    <w:rsid w:val="00035C9A"/>
    <w:rsid w:val="00035F02"/>
    <w:rsid w:val="0003609B"/>
    <w:rsid w:val="000366C1"/>
    <w:rsid w:val="00036EAD"/>
    <w:rsid w:val="000379F9"/>
    <w:rsid w:val="00037D18"/>
    <w:rsid w:val="00037D88"/>
    <w:rsid w:val="0004003A"/>
    <w:rsid w:val="000403C7"/>
    <w:rsid w:val="000409B7"/>
    <w:rsid w:val="00041015"/>
    <w:rsid w:val="00041786"/>
    <w:rsid w:val="00041B96"/>
    <w:rsid w:val="00041EDA"/>
    <w:rsid w:val="00042030"/>
    <w:rsid w:val="000420AA"/>
    <w:rsid w:val="000422A0"/>
    <w:rsid w:val="00042385"/>
    <w:rsid w:val="00042AA1"/>
    <w:rsid w:val="00042B3E"/>
    <w:rsid w:val="00042E9A"/>
    <w:rsid w:val="000432DD"/>
    <w:rsid w:val="00043752"/>
    <w:rsid w:val="00043921"/>
    <w:rsid w:val="00043945"/>
    <w:rsid w:val="0004413A"/>
    <w:rsid w:val="00044676"/>
    <w:rsid w:val="00044712"/>
    <w:rsid w:val="00044A4F"/>
    <w:rsid w:val="00044BB4"/>
    <w:rsid w:val="00044F3A"/>
    <w:rsid w:val="000450A7"/>
    <w:rsid w:val="000450CB"/>
    <w:rsid w:val="0004575B"/>
    <w:rsid w:val="000457D6"/>
    <w:rsid w:val="0004597C"/>
    <w:rsid w:val="00045E70"/>
    <w:rsid w:val="00045FAC"/>
    <w:rsid w:val="000467C1"/>
    <w:rsid w:val="00046875"/>
    <w:rsid w:val="00046889"/>
    <w:rsid w:val="000468EE"/>
    <w:rsid w:val="00046A3D"/>
    <w:rsid w:val="00046A91"/>
    <w:rsid w:val="00046DF2"/>
    <w:rsid w:val="00047159"/>
    <w:rsid w:val="000476D6"/>
    <w:rsid w:val="00047B4E"/>
    <w:rsid w:val="00050319"/>
    <w:rsid w:val="0005035C"/>
    <w:rsid w:val="00050441"/>
    <w:rsid w:val="0005057E"/>
    <w:rsid w:val="000515CC"/>
    <w:rsid w:val="0005184F"/>
    <w:rsid w:val="00051D73"/>
    <w:rsid w:val="00051E53"/>
    <w:rsid w:val="00052112"/>
    <w:rsid w:val="0005248B"/>
    <w:rsid w:val="000526EC"/>
    <w:rsid w:val="000527AA"/>
    <w:rsid w:val="00052801"/>
    <w:rsid w:val="00052BAD"/>
    <w:rsid w:val="0005365D"/>
    <w:rsid w:val="00053DC8"/>
    <w:rsid w:val="00053F69"/>
    <w:rsid w:val="00053FD0"/>
    <w:rsid w:val="00054283"/>
    <w:rsid w:val="00054325"/>
    <w:rsid w:val="000548CE"/>
    <w:rsid w:val="00054AC0"/>
    <w:rsid w:val="00054FD6"/>
    <w:rsid w:val="000555EB"/>
    <w:rsid w:val="00055712"/>
    <w:rsid w:val="00055A56"/>
    <w:rsid w:val="00055A99"/>
    <w:rsid w:val="00055C34"/>
    <w:rsid w:val="00055C66"/>
    <w:rsid w:val="00055CE8"/>
    <w:rsid w:val="000561D7"/>
    <w:rsid w:val="000566B6"/>
    <w:rsid w:val="00056B7B"/>
    <w:rsid w:val="00056B8B"/>
    <w:rsid w:val="00056C21"/>
    <w:rsid w:val="00056C9C"/>
    <w:rsid w:val="00056ED2"/>
    <w:rsid w:val="000571ED"/>
    <w:rsid w:val="00057921"/>
    <w:rsid w:val="00057F11"/>
    <w:rsid w:val="0006010E"/>
    <w:rsid w:val="00060391"/>
    <w:rsid w:val="0006043C"/>
    <w:rsid w:val="00060512"/>
    <w:rsid w:val="00060ABA"/>
    <w:rsid w:val="00060CE7"/>
    <w:rsid w:val="00061104"/>
    <w:rsid w:val="000611F3"/>
    <w:rsid w:val="000616E6"/>
    <w:rsid w:val="000619D0"/>
    <w:rsid w:val="00061B82"/>
    <w:rsid w:val="000625EF"/>
    <w:rsid w:val="00062799"/>
    <w:rsid w:val="0006296A"/>
    <w:rsid w:val="00062B0B"/>
    <w:rsid w:val="00062B70"/>
    <w:rsid w:val="00062B80"/>
    <w:rsid w:val="00062BBA"/>
    <w:rsid w:val="00062D38"/>
    <w:rsid w:val="000639F4"/>
    <w:rsid w:val="00063F91"/>
    <w:rsid w:val="00063FDF"/>
    <w:rsid w:val="00064331"/>
    <w:rsid w:val="000643FC"/>
    <w:rsid w:val="00064527"/>
    <w:rsid w:val="0006452B"/>
    <w:rsid w:val="000645FF"/>
    <w:rsid w:val="000648DF"/>
    <w:rsid w:val="000649AB"/>
    <w:rsid w:val="00064AD6"/>
    <w:rsid w:val="00064BFA"/>
    <w:rsid w:val="00064FEC"/>
    <w:rsid w:val="00065418"/>
    <w:rsid w:val="000656A9"/>
    <w:rsid w:val="00065701"/>
    <w:rsid w:val="000659F4"/>
    <w:rsid w:val="000663A9"/>
    <w:rsid w:val="000667A8"/>
    <w:rsid w:val="00066ADE"/>
    <w:rsid w:val="00066C05"/>
    <w:rsid w:val="00066CD3"/>
    <w:rsid w:val="00066EEB"/>
    <w:rsid w:val="00066F3F"/>
    <w:rsid w:val="000674B5"/>
    <w:rsid w:val="0006751F"/>
    <w:rsid w:val="00067555"/>
    <w:rsid w:val="00067BB3"/>
    <w:rsid w:val="00067DAB"/>
    <w:rsid w:val="00070128"/>
    <w:rsid w:val="0007026B"/>
    <w:rsid w:val="000707AF"/>
    <w:rsid w:val="00070853"/>
    <w:rsid w:val="000708B6"/>
    <w:rsid w:val="000708E0"/>
    <w:rsid w:val="00070ABB"/>
    <w:rsid w:val="00070B31"/>
    <w:rsid w:val="00070B99"/>
    <w:rsid w:val="00070BBA"/>
    <w:rsid w:val="00070EC3"/>
    <w:rsid w:val="000712BF"/>
    <w:rsid w:val="00071373"/>
    <w:rsid w:val="00071665"/>
    <w:rsid w:val="0007170F"/>
    <w:rsid w:val="00071F2D"/>
    <w:rsid w:val="00071F46"/>
    <w:rsid w:val="00072076"/>
    <w:rsid w:val="00072613"/>
    <w:rsid w:val="000727F0"/>
    <w:rsid w:val="00072C01"/>
    <w:rsid w:val="00072D82"/>
    <w:rsid w:val="000730FC"/>
    <w:rsid w:val="000731B5"/>
    <w:rsid w:val="000737FB"/>
    <w:rsid w:val="00073999"/>
    <w:rsid w:val="00073BF7"/>
    <w:rsid w:val="00073CE4"/>
    <w:rsid w:val="0007412C"/>
    <w:rsid w:val="0007422C"/>
    <w:rsid w:val="00074404"/>
    <w:rsid w:val="00074578"/>
    <w:rsid w:val="00074745"/>
    <w:rsid w:val="00074EA6"/>
    <w:rsid w:val="00074EC5"/>
    <w:rsid w:val="000756F8"/>
    <w:rsid w:val="000759E6"/>
    <w:rsid w:val="00075B72"/>
    <w:rsid w:val="00075C2B"/>
    <w:rsid w:val="00075EE4"/>
    <w:rsid w:val="000761A0"/>
    <w:rsid w:val="00076412"/>
    <w:rsid w:val="000767BF"/>
    <w:rsid w:val="00076841"/>
    <w:rsid w:val="00076906"/>
    <w:rsid w:val="00076AA1"/>
    <w:rsid w:val="00076BD3"/>
    <w:rsid w:val="00076C6B"/>
    <w:rsid w:val="000770C0"/>
    <w:rsid w:val="0007710B"/>
    <w:rsid w:val="000774B1"/>
    <w:rsid w:val="000775EF"/>
    <w:rsid w:val="00077DDB"/>
    <w:rsid w:val="000808BF"/>
    <w:rsid w:val="00080B83"/>
    <w:rsid w:val="00081237"/>
    <w:rsid w:val="00081586"/>
    <w:rsid w:val="00081794"/>
    <w:rsid w:val="000818DE"/>
    <w:rsid w:val="00082412"/>
    <w:rsid w:val="000828D9"/>
    <w:rsid w:val="00082903"/>
    <w:rsid w:val="0008348E"/>
    <w:rsid w:val="00083577"/>
    <w:rsid w:val="00083A6E"/>
    <w:rsid w:val="000845D6"/>
    <w:rsid w:val="00084698"/>
    <w:rsid w:val="000847FE"/>
    <w:rsid w:val="0008496A"/>
    <w:rsid w:val="00084EC7"/>
    <w:rsid w:val="00084F84"/>
    <w:rsid w:val="000853F9"/>
    <w:rsid w:val="000856C7"/>
    <w:rsid w:val="00085B08"/>
    <w:rsid w:val="00085B37"/>
    <w:rsid w:val="00085EE4"/>
    <w:rsid w:val="00086DFB"/>
    <w:rsid w:val="00086EE8"/>
    <w:rsid w:val="00087131"/>
    <w:rsid w:val="0008740A"/>
    <w:rsid w:val="0008795F"/>
    <w:rsid w:val="00087AF4"/>
    <w:rsid w:val="00087D38"/>
    <w:rsid w:val="00087E56"/>
    <w:rsid w:val="00087F8E"/>
    <w:rsid w:val="00090035"/>
    <w:rsid w:val="00090156"/>
    <w:rsid w:val="00090A52"/>
    <w:rsid w:val="0009141B"/>
    <w:rsid w:val="00091446"/>
    <w:rsid w:val="000916F8"/>
    <w:rsid w:val="00091BF3"/>
    <w:rsid w:val="00092340"/>
    <w:rsid w:val="00092538"/>
    <w:rsid w:val="00092E0B"/>
    <w:rsid w:val="00092F4C"/>
    <w:rsid w:val="00093855"/>
    <w:rsid w:val="00093BA5"/>
    <w:rsid w:val="00093DFF"/>
    <w:rsid w:val="00093E64"/>
    <w:rsid w:val="000941EC"/>
    <w:rsid w:val="00094375"/>
    <w:rsid w:val="00094486"/>
    <w:rsid w:val="00094AAF"/>
    <w:rsid w:val="00094FD5"/>
    <w:rsid w:val="00095050"/>
    <w:rsid w:val="00095093"/>
    <w:rsid w:val="00095438"/>
    <w:rsid w:val="00095440"/>
    <w:rsid w:val="00095469"/>
    <w:rsid w:val="000955CD"/>
    <w:rsid w:val="00095695"/>
    <w:rsid w:val="00095AF7"/>
    <w:rsid w:val="000960C2"/>
    <w:rsid w:val="000965DF"/>
    <w:rsid w:val="000969A3"/>
    <w:rsid w:val="00096C18"/>
    <w:rsid w:val="00097020"/>
    <w:rsid w:val="000974D4"/>
    <w:rsid w:val="00097B87"/>
    <w:rsid w:val="000A024C"/>
    <w:rsid w:val="000A0AEC"/>
    <w:rsid w:val="000A0CD9"/>
    <w:rsid w:val="000A0F80"/>
    <w:rsid w:val="000A151A"/>
    <w:rsid w:val="000A155A"/>
    <w:rsid w:val="000A17D0"/>
    <w:rsid w:val="000A2E1A"/>
    <w:rsid w:val="000A2EDB"/>
    <w:rsid w:val="000A2F71"/>
    <w:rsid w:val="000A3381"/>
    <w:rsid w:val="000A39ED"/>
    <w:rsid w:val="000A3CD2"/>
    <w:rsid w:val="000A45AE"/>
    <w:rsid w:val="000A4671"/>
    <w:rsid w:val="000A4DA0"/>
    <w:rsid w:val="000A4DBF"/>
    <w:rsid w:val="000A513F"/>
    <w:rsid w:val="000A545C"/>
    <w:rsid w:val="000A55BA"/>
    <w:rsid w:val="000A56DD"/>
    <w:rsid w:val="000A5E9D"/>
    <w:rsid w:val="000A610B"/>
    <w:rsid w:val="000A624C"/>
    <w:rsid w:val="000A6549"/>
    <w:rsid w:val="000A69A2"/>
    <w:rsid w:val="000A75A5"/>
    <w:rsid w:val="000A7D20"/>
    <w:rsid w:val="000A7ECA"/>
    <w:rsid w:val="000B0866"/>
    <w:rsid w:val="000B0AF9"/>
    <w:rsid w:val="000B128B"/>
    <w:rsid w:val="000B158A"/>
    <w:rsid w:val="000B164E"/>
    <w:rsid w:val="000B1BD9"/>
    <w:rsid w:val="000B1D78"/>
    <w:rsid w:val="000B2014"/>
    <w:rsid w:val="000B212E"/>
    <w:rsid w:val="000B2536"/>
    <w:rsid w:val="000B260C"/>
    <w:rsid w:val="000B28A3"/>
    <w:rsid w:val="000B293C"/>
    <w:rsid w:val="000B2A6F"/>
    <w:rsid w:val="000B2C87"/>
    <w:rsid w:val="000B2EC1"/>
    <w:rsid w:val="000B30EC"/>
    <w:rsid w:val="000B313F"/>
    <w:rsid w:val="000B3597"/>
    <w:rsid w:val="000B3AEC"/>
    <w:rsid w:val="000B3F34"/>
    <w:rsid w:val="000B4472"/>
    <w:rsid w:val="000B4483"/>
    <w:rsid w:val="000B4764"/>
    <w:rsid w:val="000B4D48"/>
    <w:rsid w:val="000B4E70"/>
    <w:rsid w:val="000B4F32"/>
    <w:rsid w:val="000B5688"/>
    <w:rsid w:val="000B577E"/>
    <w:rsid w:val="000B5A53"/>
    <w:rsid w:val="000B5BE1"/>
    <w:rsid w:val="000B6666"/>
    <w:rsid w:val="000B671C"/>
    <w:rsid w:val="000B6A0F"/>
    <w:rsid w:val="000B6B66"/>
    <w:rsid w:val="000B6C56"/>
    <w:rsid w:val="000B70E8"/>
    <w:rsid w:val="000B7465"/>
    <w:rsid w:val="000B7655"/>
    <w:rsid w:val="000B78E9"/>
    <w:rsid w:val="000B78FE"/>
    <w:rsid w:val="000B79C4"/>
    <w:rsid w:val="000B7A62"/>
    <w:rsid w:val="000B7E6B"/>
    <w:rsid w:val="000C0440"/>
    <w:rsid w:val="000C06AE"/>
    <w:rsid w:val="000C08C0"/>
    <w:rsid w:val="000C0BB5"/>
    <w:rsid w:val="000C120D"/>
    <w:rsid w:val="000C1470"/>
    <w:rsid w:val="000C1ADA"/>
    <w:rsid w:val="000C1B39"/>
    <w:rsid w:val="000C200E"/>
    <w:rsid w:val="000C2158"/>
    <w:rsid w:val="000C238A"/>
    <w:rsid w:val="000C2475"/>
    <w:rsid w:val="000C24B3"/>
    <w:rsid w:val="000C261C"/>
    <w:rsid w:val="000C2804"/>
    <w:rsid w:val="000C288F"/>
    <w:rsid w:val="000C28DC"/>
    <w:rsid w:val="000C32FA"/>
    <w:rsid w:val="000C332D"/>
    <w:rsid w:val="000C3C8F"/>
    <w:rsid w:val="000C42A4"/>
    <w:rsid w:val="000C4ADE"/>
    <w:rsid w:val="000C5009"/>
    <w:rsid w:val="000C5246"/>
    <w:rsid w:val="000C5626"/>
    <w:rsid w:val="000C56D3"/>
    <w:rsid w:val="000C58EB"/>
    <w:rsid w:val="000C5A33"/>
    <w:rsid w:val="000C5A50"/>
    <w:rsid w:val="000C5B84"/>
    <w:rsid w:val="000C6151"/>
    <w:rsid w:val="000C6257"/>
    <w:rsid w:val="000C6407"/>
    <w:rsid w:val="000C64F1"/>
    <w:rsid w:val="000C6979"/>
    <w:rsid w:val="000C69DD"/>
    <w:rsid w:val="000C6B56"/>
    <w:rsid w:val="000C7C7C"/>
    <w:rsid w:val="000C7DAF"/>
    <w:rsid w:val="000D010F"/>
    <w:rsid w:val="000D0197"/>
    <w:rsid w:val="000D02FB"/>
    <w:rsid w:val="000D0885"/>
    <w:rsid w:val="000D120F"/>
    <w:rsid w:val="000D148A"/>
    <w:rsid w:val="000D16F8"/>
    <w:rsid w:val="000D1A67"/>
    <w:rsid w:val="000D1B45"/>
    <w:rsid w:val="000D20A5"/>
    <w:rsid w:val="000D2669"/>
    <w:rsid w:val="000D26C3"/>
    <w:rsid w:val="000D2713"/>
    <w:rsid w:val="000D2DE8"/>
    <w:rsid w:val="000D2F5E"/>
    <w:rsid w:val="000D2FDD"/>
    <w:rsid w:val="000D3124"/>
    <w:rsid w:val="000D3444"/>
    <w:rsid w:val="000D3B37"/>
    <w:rsid w:val="000D414F"/>
    <w:rsid w:val="000D4175"/>
    <w:rsid w:val="000D4D8B"/>
    <w:rsid w:val="000D5118"/>
    <w:rsid w:val="000D518B"/>
    <w:rsid w:val="000D53A7"/>
    <w:rsid w:val="000D54C8"/>
    <w:rsid w:val="000D5546"/>
    <w:rsid w:val="000D5AFA"/>
    <w:rsid w:val="000D5CE4"/>
    <w:rsid w:val="000D5FF7"/>
    <w:rsid w:val="000D6016"/>
    <w:rsid w:val="000D64F2"/>
    <w:rsid w:val="000D660A"/>
    <w:rsid w:val="000D6D54"/>
    <w:rsid w:val="000D6DBA"/>
    <w:rsid w:val="000D6ECA"/>
    <w:rsid w:val="000D6F00"/>
    <w:rsid w:val="000D7077"/>
    <w:rsid w:val="000D7505"/>
    <w:rsid w:val="000D768B"/>
    <w:rsid w:val="000D775E"/>
    <w:rsid w:val="000D78B6"/>
    <w:rsid w:val="000E03F9"/>
    <w:rsid w:val="000E04A6"/>
    <w:rsid w:val="000E0B12"/>
    <w:rsid w:val="000E0E23"/>
    <w:rsid w:val="000E1213"/>
    <w:rsid w:val="000E12B7"/>
    <w:rsid w:val="000E147E"/>
    <w:rsid w:val="000E18D1"/>
    <w:rsid w:val="000E1FC2"/>
    <w:rsid w:val="000E2B7A"/>
    <w:rsid w:val="000E2C19"/>
    <w:rsid w:val="000E2C91"/>
    <w:rsid w:val="000E2EE8"/>
    <w:rsid w:val="000E3126"/>
    <w:rsid w:val="000E32B9"/>
    <w:rsid w:val="000E392D"/>
    <w:rsid w:val="000E3AC5"/>
    <w:rsid w:val="000E3AEF"/>
    <w:rsid w:val="000E3BF7"/>
    <w:rsid w:val="000E3C31"/>
    <w:rsid w:val="000E3D3A"/>
    <w:rsid w:val="000E3E0B"/>
    <w:rsid w:val="000E3E58"/>
    <w:rsid w:val="000E40ED"/>
    <w:rsid w:val="000E40FA"/>
    <w:rsid w:val="000E417D"/>
    <w:rsid w:val="000E428A"/>
    <w:rsid w:val="000E467B"/>
    <w:rsid w:val="000E4E51"/>
    <w:rsid w:val="000E55E5"/>
    <w:rsid w:val="000E55FB"/>
    <w:rsid w:val="000E5B65"/>
    <w:rsid w:val="000E5E76"/>
    <w:rsid w:val="000E5EA8"/>
    <w:rsid w:val="000E6306"/>
    <w:rsid w:val="000E64E6"/>
    <w:rsid w:val="000E66E6"/>
    <w:rsid w:val="000E6809"/>
    <w:rsid w:val="000E695A"/>
    <w:rsid w:val="000E6964"/>
    <w:rsid w:val="000E6A5C"/>
    <w:rsid w:val="000E72C9"/>
    <w:rsid w:val="000E73CB"/>
    <w:rsid w:val="000E7A2C"/>
    <w:rsid w:val="000E7AAA"/>
    <w:rsid w:val="000E7D08"/>
    <w:rsid w:val="000F0804"/>
    <w:rsid w:val="000F0F8F"/>
    <w:rsid w:val="000F111F"/>
    <w:rsid w:val="000F125A"/>
    <w:rsid w:val="000F1372"/>
    <w:rsid w:val="000F13BB"/>
    <w:rsid w:val="000F1670"/>
    <w:rsid w:val="000F1958"/>
    <w:rsid w:val="000F1BF6"/>
    <w:rsid w:val="000F1CCA"/>
    <w:rsid w:val="000F1D4A"/>
    <w:rsid w:val="000F1F9B"/>
    <w:rsid w:val="000F226A"/>
    <w:rsid w:val="000F23AB"/>
    <w:rsid w:val="000F2416"/>
    <w:rsid w:val="000F25C2"/>
    <w:rsid w:val="000F25E0"/>
    <w:rsid w:val="000F2876"/>
    <w:rsid w:val="000F2D5C"/>
    <w:rsid w:val="000F3634"/>
    <w:rsid w:val="000F3CDA"/>
    <w:rsid w:val="000F3D70"/>
    <w:rsid w:val="000F3F31"/>
    <w:rsid w:val="000F43F4"/>
    <w:rsid w:val="000F47F0"/>
    <w:rsid w:val="000F49EC"/>
    <w:rsid w:val="000F4B46"/>
    <w:rsid w:val="000F4F2F"/>
    <w:rsid w:val="000F556D"/>
    <w:rsid w:val="000F58B7"/>
    <w:rsid w:val="000F5E4E"/>
    <w:rsid w:val="000F5E77"/>
    <w:rsid w:val="000F6CCD"/>
    <w:rsid w:val="000F7423"/>
    <w:rsid w:val="000F774A"/>
    <w:rsid w:val="000F78B5"/>
    <w:rsid w:val="000F7975"/>
    <w:rsid w:val="000F7BA6"/>
    <w:rsid w:val="00100000"/>
    <w:rsid w:val="00100031"/>
    <w:rsid w:val="0010030B"/>
    <w:rsid w:val="00100A16"/>
    <w:rsid w:val="001011DA"/>
    <w:rsid w:val="001011E0"/>
    <w:rsid w:val="001013BB"/>
    <w:rsid w:val="001014EF"/>
    <w:rsid w:val="00101DE0"/>
    <w:rsid w:val="00102380"/>
    <w:rsid w:val="00102633"/>
    <w:rsid w:val="00102672"/>
    <w:rsid w:val="00102684"/>
    <w:rsid w:val="00103142"/>
    <w:rsid w:val="001034FE"/>
    <w:rsid w:val="0010372E"/>
    <w:rsid w:val="00103F89"/>
    <w:rsid w:val="00104043"/>
    <w:rsid w:val="00104425"/>
    <w:rsid w:val="00104516"/>
    <w:rsid w:val="0010473A"/>
    <w:rsid w:val="00104793"/>
    <w:rsid w:val="00104A62"/>
    <w:rsid w:val="00104B96"/>
    <w:rsid w:val="00104DAA"/>
    <w:rsid w:val="00104EE5"/>
    <w:rsid w:val="001051A6"/>
    <w:rsid w:val="00105304"/>
    <w:rsid w:val="00105672"/>
    <w:rsid w:val="0010593D"/>
    <w:rsid w:val="00105C16"/>
    <w:rsid w:val="001060A6"/>
    <w:rsid w:val="001061FA"/>
    <w:rsid w:val="001072CE"/>
    <w:rsid w:val="001076AE"/>
    <w:rsid w:val="0011070B"/>
    <w:rsid w:val="0011077B"/>
    <w:rsid w:val="001107AA"/>
    <w:rsid w:val="00110883"/>
    <w:rsid w:val="00110D17"/>
    <w:rsid w:val="00110F1A"/>
    <w:rsid w:val="00110F7A"/>
    <w:rsid w:val="00111009"/>
    <w:rsid w:val="00111194"/>
    <w:rsid w:val="001112FA"/>
    <w:rsid w:val="001113E9"/>
    <w:rsid w:val="00111630"/>
    <w:rsid w:val="0011185B"/>
    <w:rsid w:val="00111C16"/>
    <w:rsid w:val="00111D63"/>
    <w:rsid w:val="0011244C"/>
    <w:rsid w:val="00112499"/>
    <w:rsid w:val="00112698"/>
    <w:rsid w:val="0011269B"/>
    <w:rsid w:val="001135BC"/>
    <w:rsid w:val="00113659"/>
    <w:rsid w:val="00113A2E"/>
    <w:rsid w:val="001142F7"/>
    <w:rsid w:val="00114908"/>
    <w:rsid w:val="00114E3D"/>
    <w:rsid w:val="001158C9"/>
    <w:rsid w:val="00115B21"/>
    <w:rsid w:val="00115D45"/>
    <w:rsid w:val="00115FFA"/>
    <w:rsid w:val="001160CA"/>
    <w:rsid w:val="001165C9"/>
    <w:rsid w:val="00116D5D"/>
    <w:rsid w:val="00116FC9"/>
    <w:rsid w:val="00117202"/>
    <w:rsid w:val="001175D8"/>
    <w:rsid w:val="00117672"/>
    <w:rsid w:val="001178EC"/>
    <w:rsid w:val="00117D6F"/>
    <w:rsid w:val="00120D39"/>
    <w:rsid w:val="0012108E"/>
    <w:rsid w:val="00121699"/>
    <w:rsid w:val="00121A36"/>
    <w:rsid w:val="00121AFA"/>
    <w:rsid w:val="00122C68"/>
    <w:rsid w:val="0012341F"/>
    <w:rsid w:val="00123E12"/>
    <w:rsid w:val="001240E1"/>
    <w:rsid w:val="001245E7"/>
    <w:rsid w:val="00124B81"/>
    <w:rsid w:val="00124FF7"/>
    <w:rsid w:val="001252BF"/>
    <w:rsid w:val="00125486"/>
    <w:rsid w:val="001256A5"/>
    <w:rsid w:val="001256CC"/>
    <w:rsid w:val="00125CD2"/>
    <w:rsid w:val="00125D2C"/>
    <w:rsid w:val="00125E85"/>
    <w:rsid w:val="0012619F"/>
    <w:rsid w:val="00126293"/>
    <w:rsid w:val="001262CA"/>
    <w:rsid w:val="0012698F"/>
    <w:rsid w:val="00126EE7"/>
    <w:rsid w:val="0012720B"/>
    <w:rsid w:val="001276E7"/>
    <w:rsid w:val="00127721"/>
    <w:rsid w:val="00130242"/>
    <w:rsid w:val="00130348"/>
    <w:rsid w:val="00130C40"/>
    <w:rsid w:val="00130C87"/>
    <w:rsid w:val="00130C9B"/>
    <w:rsid w:val="00131A0C"/>
    <w:rsid w:val="001321DA"/>
    <w:rsid w:val="001321EA"/>
    <w:rsid w:val="00132E1C"/>
    <w:rsid w:val="001332EC"/>
    <w:rsid w:val="001333AD"/>
    <w:rsid w:val="001335D6"/>
    <w:rsid w:val="00133B2A"/>
    <w:rsid w:val="00133B33"/>
    <w:rsid w:val="00133DE0"/>
    <w:rsid w:val="001345AB"/>
    <w:rsid w:val="001347BD"/>
    <w:rsid w:val="00134E99"/>
    <w:rsid w:val="0013575F"/>
    <w:rsid w:val="001361F1"/>
    <w:rsid w:val="001361F7"/>
    <w:rsid w:val="0013641E"/>
    <w:rsid w:val="001367B3"/>
    <w:rsid w:val="0013694E"/>
    <w:rsid w:val="00136A40"/>
    <w:rsid w:val="00136A6F"/>
    <w:rsid w:val="00136BE5"/>
    <w:rsid w:val="00136EA3"/>
    <w:rsid w:val="0013726C"/>
    <w:rsid w:val="00137729"/>
    <w:rsid w:val="0013797E"/>
    <w:rsid w:val="001403BB"/>
    <w:rsid w:val="0014047A"/>
    <w:rsid w:val="001408B9"/>
    <w:rsid w:val="001414A0"/>
    <w:rsid w:val="001415F1"/>
    <w:rsid w:val="001416A7"/>
    <w:rsid w:val="00141B61"/>
    <w:rsid w:val="00141BA5"/>
    <w:rsid w:val="00141DD6"/>
    <w:rsid w:val="0014269B"/>
    <w:rsid w:val="001426EE"/>
    <w:rsid w:val="0014298B"/>
    <w:rsid w:val="00143050"/>
    <w:rsid w:val="001430E2"/>
    <w:rsid w:val="00143184"/>
    <w:rsid w:val="001437BA"/>
    <w:rsid w:val="00143C4D"/>
    <w:rsid w:val="00143CA7"/>
    <w:rsid w:val="001444E1"/>
    <w:rsid w:val="00144550"/>
    <w:rsid w:val="001445CC"/>
    <w:rsid w:val="00144660"/>
    <w:rsid w:val="00144715"/>
    <w:rsid w:val="00144997"/>
    <w:rsid w:val="00144A0F"/>
    <w:rsid w:val="00144CF8"/>
    <w:rsid w:val="00144DFB"/>
    <w:rsid w:val="00144F60"/>
    <w:rsid w:val="00144F7A"/>
    <w:rsid w:val="0014523D"/>
    <w:rsid w:val="00145870"/>
    <w:rsid w:val="00145F7B"/>
    <w:rsid w:val="00146474"/>
    <w:rsid w:val="00146486"/>
    <w:rsid w:val="00146564"/>
    <w:rsid w:val="001468B5"/>
    <w:rsid w:val="00146EC9"/>
    <w:rsid w:val="0014766A"/>
    <w:rsid w:val="00147BAF"/>
    <w:rsid w:val="00150171"/>
    <w:rsid w:val="001505BF"/>
    <w:rsid w:val="0015067B"/>
    <w:rsid w:val="0015073E"/>
    <w:rsid w:val="00150A8F"/>
    <w:rsid w:val="00150E8D"/>
    <w:rsid w:val="00150FD6"/>
    <w:rsid w:val="00150FEF"/>
    <w:rsid w:val="00151156"/>
    <w:rsid w:val="001512BC"/>
    <w:rsid w:val="00151674"/>
    <w:rsid w:val="001516DD"/>
    <w:rsid w:val="001521AA"/>
    <w:rsid w:val="00153364"/>
    <w:rsid w:val="0015388F"/>
    <w:rsid w:val="001538AE"/>
    <w:rsid w:val="00153CED"/>
    <w:rsid w:val="001540B6"/>
    <w:rsid w:val="0015413E"/>
    <w:rsid w:val="001541D0"/>
    <w:rsid w:val="001542C9"/>
    <w:rsid w:val="001545F5"/>
    <w:rsid w:val="001546FE"/>
    <w:rsid w:val="00154BB1"/>
    <w:rsid w:val="00154C44"/>
    <w:rsid w:val="001556D8"/>
    <w:rsid w:val="00155BA4"/>
    <w:rsid w:val="0015603D"/>
    <w:rsid w:val="001564CC"/>
    <w:rsid w:val="001564F7"/>
    <w:rsid w:val="00156659"/>
    <w:rsid w:val="001569AF"/>
    <w:rsid w:val="0015747F"/>
    <w:rsid w:val="00157AF1"/>
    <w:rsid w:val="00157B0D"/>
    <w:rsid w:val="00160198"/>
    <w:rsid w:val="001602F7"/>
    <w:rsid w:val="001603BD"/>
    <w:rsid w:val="001605B0"/>
    <w:rsid w:val="001609C7"/>
    <w:rsid w:val="00160C82"/>
    <w:rsid w:val="00160E3D"/>
    <w:rsid w:val="00160FA5"/>
    <w:rsid w:val="001611E6"/>
    <w:rsid w:val="00161651"/>
    <w:rsid w:val="00161BB6"/>
    <w:rsid w:val="00161F2B"/>
    <w:rsid w:val="0016215F"/>
    <w:rsid w:val="001622A8"/>
    <w:rsid w:val="001629E2"/>
    <w:rsid w:val="00162C2C"/>
    <w:rsid w:val="001631B9"/>
    <w:rsid w:val="0016339C"/>
    <w:rsid w:val="00163D70"/>
    <w:rsid w:val="00164021"/>
    <w:rsid w:val="001641B0"/>
    <w:rsid w:val="00164222"/>
    <w:rsid w:val="001647EB"/>
    <w:rsid w:val="00164A99"/>
    <w:rsid w:val="00164AEC"/>
    <w:rsid w:val="00164E73"/>
    <w:rsid w:val="001650DE"/>
    <w:rsid w:val="001653E3"/>
    <w:rsid w:val="00165710"/>
    <w:rsid w:val="00165DC4"/>
    <w:rsid w:val="00165E7B"/>
    <w:rsid w:val="00166529"/>
    <w:rsid w:val="001666AC"/>
    <w:rsid w:val="00166A73"/>
    <w:rsid w:val="00167197"/>
    <w:rsid w:val="00167226"/>
    <w:rsid w:val="00167235"/>
    <w:rsid w:val="001673D3"/>
    <w:rsid w:val="001674F6"/>
    <w:rsid w:val="001678E4"/>
    <w:rsid w:val="00170BD4"/>
    <w:rsid w:val="00170FCE"/>
    <w:rsid w:val="00171283"/>
    <w:rsid w:val="001712C9"/>
    <w:rsid w:val="0017161A"/>
    <w:rsid w:val="001717AD"/>
    <w:rsid w:val="00172285"/>
    <w:rsid w:val="001723A0"/>
    <w:rsid w:val="00172A27"/>
    <w:rsid w:val="00172CEF"/>
    <w:rsid w:val="00172D6A"/>
    <w:rsid w:val="00173243"/>
    <w:rsid w:val="00173453"/>
    <w:rsid w:val="001743A1"/>
    <w:rsid w:val="0017498F"/>
    <w:rsid w:val="00174E9A"/>
    <w:rsid w:val="0017568B"/>
    <w:rsid w:val="0017629F"/>
    <w:rsid w:val="0017651A"/>
    <w:rsid w:val="00176843"/>
    <w:rsid w:val="00176912"/>
    <w:rsid w:val="00176985"/>
    <w:rsid w:val="00176A8C"/>
    <w:rsid w:val="00176B62"/>
    <w:rsid w:val="00176BC4"/>
    <w:rsid w:val="00176D0E"/>
    <w:rsid w:val="00177005"/>
    <w:rsid w:val="0017703A"/>
    <w:rsid w:val="0017755B"/>
    <w:rsid w:val="00177662"/>
    <w:rsid w:val="0017789F"/>
    <w:rsid w:val="00177EAB"/>
    <w:rsid w:val="00177FC8"/>
    <w:rsid w:val="00180114"/>
    <w:rsid w:val="00180E97"/>
    <w:rsid w:val="00181069"/>
    <w:rsid w:val="00181080"/>
    <w:rsid w:val="00181147"/>
    <w:rsid w:val="00181B9E"/>
    <w:rsid w:val="00181CCA"/>
    <w:rsid w:val="001824E7"/>
    <w:rsid w:val="00182717"/>
    <w:rsid w:val="001828E4"/>
    <w:rsid w:val="00182C3A"/>
    <w:rsid w:val="00182FF7"/>
    <w:rsid w:val="001835FC"/>
    <w:rsid w:val="001839FF"/>
    <w:rsid w:val="00183C80"/>
    <w:rsid w:val="00183DAB"/>
    <w:rsid w:val="00184366"/>
    <w:rsid w:val="001846BD"/>
    <w:rsid w:val="00184BD0"/>
    <w:rsid w:val="00184E95"/>
    <w:rsid w:val="00184EC5"/>
    <w:rsid w:val="00185232"/>
    <w:rsid w:val="00185240"/>
    <w:rsid w:val="001859CD"/>
    <w:rsid w:val="00185CA9"/>
    <w:rsid w:val="00185EEB"/>
    <w:rsid w:val="00185FA7"/>
    <w:rsid w:val="0018618E"/>
    <w:rsid w:val="001869B6"/>
    <w:rsid w:val="00186A73"/>
    <w:rsid w:val="001870EE"/>
    <w:rsid w:val="001875CA"/>
    <w:rsid w:val="001875D5"/>
    <w:rsid w:val="001876F1"/>
    <w:rsid w:val="00187817"/>
    <w:rsid w:val="00187841"/>
    <w:rsid w:val="001878E9"/>
    <w:rsid w:val="00187B59"/>
    <w:rsid w:val="001907AF"/>
    <w:rsid w:val="00190EB8"/>
    <w:rsid w:val="00190FDD"/>
    <w:rsid w:val="00191028"/>
    <w:rsid w:val="0019106B"/>
    <w:rsid w:val="00191281"/>
    <w:rsid w:val="001916FE"/>
    <w:rsid w:val="001917BB"/>
    <w:rsid w:val="00191D6B"/>
    <w:rsid w:val="00191E8B"/>
    <w:rsid w:val="00191EF5"/>
    <w:rsid w:val="001920E1"/>
    <w:rsid w:val="00192146"/>
    <w:rsid w:val="001921D4"/>
    <w:rsid w:val="00192577"/>
    <w:rsid w:val="00192842"/>
    <w:rsid w:val="001928A4"/>
    <w:rsid w:val="00192E45"/>
    <w:rsid w:val="001932ED"/>
    <w:rsid w:val="001935D9"/>
    <w:rsid w:val="001936DF"/>
    <w:rsid w:val="001938C3"/>
    <w:rsid w:val="001940CA"/>
    <w:rsid w:val="0019461A"/>
    <w:rsid w:val="00194636"/>
    <w:rsid w:val="001946FE"/>
    <w:rsid w:val="0019471D"/>
    <w:rsid w:val="00195082"/>
    <w:rsid w:val="001955DE"/>
    <w:rsid w:val="00195773"/>
    <w:rsid w:val="00195CDA"/>
    <w:rsid w:val="00195D5F"/>
    <w:rsid w:val="00195FDA"/>
    <w:rsid w:val="00196274"/>
    <w:rsid w:val="001967CF"/>
    <w:rsid w:val="00196A24"/>
    <w:rsid w:val="00196B1A"/>
    <w:rsid w:val="00196C85"/>
    <w:rsid w:val="00196EFB"/>
    <w:rsid w:val="001971A0"/>
    <w:rsid w:val="0019724A"/>
    <w:rsid w:val="0019744A"/>
    <w:rsid w:val="001974C0"/>
    <w:rsid w:val="00197530"/>
    <w:rsid w:val="001976B4"/>
    <w:rsid w:val="001977F5"/>
    <w:rsid w:val="00197966"/>
    <w:rsid w:val="00197FBC"/>
    <w:rsid w:val="001A0405"/>
    <w:rsid w:val="001A0674"/>
    <w:rsid w:val="001A0868"/>
    <w:rsid w:val="001A0D94"/>
    <w:rsid w:val="001A0E6C"/>
    <w:rsid w:val="001A118D"/>
    <w:rsid w:val="001A129D"/>
    <w:rsid w:val="001A12FF"/>
    <w:rsid w:val="001A131C"/>
    <w:rsid w:val="001A18D1"/>
    <w:rsid w:val="001A19A7"/>
    <w:rsid w:val="001A1D60"/>
    <w:rsid w:val="001A1E57"/>
    <w:rsid w:val="001A20B5"/>
    <w:rsid w:val="001A28BE"/>
    <w:rsid w:val="001A2AF3"/>
    <w:rsid w:val="001A2B11"/>
    <w:rsid w:val="001A2EEB"/>
    <w:rsid w:val="001A31C4"/>
    <w:rsid w:val="001A385F"/>
    <w:rsid w:val="001A38AE"/>
    <w:rsid w:val="001A3989"/>
    <w:rsid w:val="001A4306"/>
    <w:rsid w:val="001A44EE"/>
    <w:rsid w:val="001A45A9"/>
    <w:rsid w:val="001A45B7"/>
    <w:rsid w:val="001A46FC"/>
    <w:rsid w:val="001A4E67"/>
    <w:rsid w:val="001A4E81"/>
    <w:rsid w:val="001A4F7F"/>
    <w:rsid w:val="001A514A"/>
    <w:rsid w:val="001A5464"/>
    <w:rsid w:val="001A589D"/>
    <w:rsid w:val="001A5A7D"/>
    <w:rsid w:val="001A5A8B"/>
    <w:rsid w:val="001A5C2F"/>
    <w:rsid w:val="001A5D49"/>
    <w:rsid w:val="001A5DA4"/>
    <w:rsid w:val="001A5DAA"/>
    <w:rsid w:val="001A649E"/>
    <w:rsid w:val="001A6B85"/>
    <w:rsid w:val="001A72B6"/>
    <w:rsid w:val="001A77AB"/>
    <w:rsid w:val="001A7FBB"/>
    <w:rsid w:val="001B0398"/>
    <w:rsid w:val="001B090B"/>
    <w:rsid w:val="001B096E"/>
    <w:rsid w:val="001B0A5D"/>
    <w:rsid w:val="001B0AC8"/>
    <w:rsid w:val="001B0CDD"/>
    <w:rsid w:val="001B0D7A"/>
    <w:rsid w:val="001B10F7"/>
    <w:rsid w:val="001B1891"/>
    <w:rsid w:val="001B1991"/>
    <w:rsid w:val="001B1FD8"/>
    <w:rsid w:val="001B2202"/>
    <w:rsid w:val="001B2952"/>
    <w:rsid w:val="001B29E9"/>
    <w:rsid w:val="001B2C14"/>
    <w:rsid w:val="001B2D73"/>
    <w:rsid w:val="001B2FD1"/>
    <w:rsid w:val="001B306C"/>
    <w:rsid w:val="001B3269"/>
    <w:rsid w:val="001B3305"/>
    <w:rsid w:val="001B342A"/>
    <w:rsid w:val="001B34F7"/>
    <w:rsid w:val="001B35AE"/>
    <w:rsid w:val="001B36F9"/>
    <w:rsid w:val="001B3701"/>
    <w:rsid w:val="001B3950"/>
    <w:rsid w:val="001B3A0E"/>
    <w:rsid w:val="001B3A1E"/>
    <w:rsid w:val="001B4170"/>
    <w:rsid w:val="001B431D"/>
    <w:rsid w:val="001B46FC"/>
    <w:rsid w:val="001B4770"/>
    <w:rsid w:val="001B4984"/>
    <w:rsid w:val="001B49FF"/>
    <w:rsid w:val="001B4B38"/>
    <w:rsid w:val="001B4F8D"/>
    <w:rsid w:val="001B51FE"/>
    <w:rsid w:val="001B584A"/>
    <w:rsid w:val="001B58A9"/>
    <w:rsid w:val="001B5A5A"/>
    <w:rsid w:val="001B5BD0"/>
    <w:rsid w:val="001B6702"/>
    <w:rsid w:val="001B6757"/>
    <w:rsid w:val="001B6A2D"/>
    <w:rsid w:val="001B6B19"/>
    <w:rsid w:val="001B6CAF"/>
    <w:rsid w:val="001B75D1"/>
    <w:rsid w:val="001B775E"/>
    <w:rsid w:val="001C0043"/>
    <w:rsid w:val="001C00C3"/>
    <w:rsid w:val="001C01B2"/>
    <w:rsid w:val="001C037B"/>
    <w:rsid w:val="001C0439"/>
    <w:rsid w:val="001C0446"/>
    <w:rsid w:val="001C0BCA"/>
    <w:rsid w:val="001C0CA3"/>
    <w:rsid w:val="001C11E5"/>
    <w:rsid w:val="001C1512"/>
    <w:rsid w:val="001C18E7"/>
    <w:rsid w:val="001C18F2"/>
    <w:rsid w:val="001C1C49"/>
    <w:rsid w:val="001C1D48"/>
    <w:rsid w:val="001C2093"/>
    <w:rsid w:val="001C2DA5"/>
    <w:rsid w:val="001C3C29"/>
    <w:rsid w:val="001C3D4F"/>
    <w:rsid w:val="001C3EE4"/>
    <w:rsid w:val="001C43A9"/>
    <w:rsid w:val="001C4D80"/>
    <w:rsid w:val="001C4EA2"/>
    <w:rsid w:val="001C4F01"/>
    <w:rsid w:val="001C5068"/>
    <w:rsid w:val="001C5234"/>
    <w:rsid w:val="001C5DA3"/>
    <w:rsid w:val="001C5E4C"/>
    <w:rsid w:val="001C5EFA"/>
    <w:rsid w:val="001C6155"/>
    <w:rsid w:val="001C6440"/>
    <w:rsid w:val="001C6592"/>
    <w:rsid w:val="001C6E71"/>
    <w:rsid w:val="001C6F0E"/>
    <w:rsid w:val="001C6F22"/>
    <w:rsid w:val="001C748A"/>
    <w:rsid w:val="001C7575"/>
    <w:rsid w:val="001C763E"/>
    <w:rsid w:val="001C780C"/>
    <w:rsid w:val="001C7817"/>
    <w:rsid w:val="001D008D"/>
    <w:rsid w:val="001D024B"/>
    <w:rsid w:val="001D0C00"/>
    <w:rsid w:val="001D10A9"/>
    <w:rsid w:val="001D150A"/>
    <w:rsid w:val="001D1583"/>
    <w:rsid w:val="001D1C6A"/>
    <w:rsid w:val="001D1C83"/>
    <w:rsid w:val="001D1FD8"/>
    <w:rsid w:val="001D238B"/>
    <w:rsid w:val="001D2B22"/>
    <w:rsid w:val="001D2B5F"/>
    <w:rsid w:val="001D32D0"/>
    <w:rsid w:val="001D3864"/>
    <w:rsid w:val="001D3CEF"/>
    <w:rsid w:val="001D3F84"/>
    <w:rsid w:val="001D407C"/>
    <w:rsid w:val="001D4250"/>
    <w:rsid w:val="001D42A0"/>
    <w:rsid w:val="001D491C"/>
    <w:rsid w:val="001D4CE9"/>
    <w:rsid w:val="001D58BA"/>
    <w:rsid w:val="001D59B1"/>
    <w:rsid w:val="001D5DA8"/>
    <w:rsid w:val="001D60DE"/>
    <w:rsid w:val="001D630E"/>
    <w:rsid w:val="001D652D"/>
    <w:rsid w:val="001D6625"/>
    <w:rsid w:val="001D6689"/>
    <w:rsid w:val="001D6805"/>
    <w:rsid w:val="001D68A1"/>
    <w:rsid w:val="001D68B2"/>
    <w:rsid w:val="001D68DA"/>
    <w:rsid w:val="001D7039"/>
    <w:rsid w:val="001D7CCE"/>
    <w:rsid w:val="001E055D"/>
    <w:rsid w:val="001E0A24"/>
    <w:rsid w:val="001E0C18"/>
    <w:rsid w:val="001E0D94"/>
    <w:rsid w:val="001E0F4A"/>
    <w:rsid w:val="001E1010"/>
    <w:rsid w:val="001E119B"/>
    <w:rsid w:val="001E11B2"/>
    <w:rsid w:val="001E197E"/>
    <w:rsid w:val="001E1B4C"/>
    <w:rsid w:val="001E1B79"/>
    <w:rsid w:val="001E2651"/>
    <w:rsid w:val="001E2EBE"/>
    <w:rsid w:val="001E2EFE"/>
    <w:rsid w:val="001E31F8"/>
    <w:rsid w:val="001E321F"/>
    <w:rsid w:val="001E338F"/>
    <w:rsid w:val="001E3684"/>
    <w:rsid w:val="001E36B5"/>
    <w:rsid w:val="001E372C"/>
    <w:rsid w:val="001E39C0"/>
    <w:rsid w:val="001E3A01"/>
    <w:rsid w:val="001E4456"/>
    <w:rsid w:val="001E4DAF"/>
    <w:rsid w:val="001E4E6C"/>
    <w:rsid w:val="001E4FC6"/>
    <w:rsid w:val="001E514A"/>
    <w:rsid w:val="001E529B"/>
    <w:rsid w:val="001E56D0"/>
    <w:rsid w:val="001E56E2"/>
    <w:rsid w:val="001E5B1A"/>
    <w:rsid w:val="001E5C3A"/>
    <w:rsid w:val="001E6A31"/>
    <w:rsid w:val="001E6E09"/>
    <w:rsid w:val="001E6EF1"/>
    <w:rsid w:val="001E6FA9"/>
    <w:rsid w:val="001E7114"/>
    <w:rsid w:val="001E7711"/>
    <w:rsid w:val="001E7AD6"/>
    <w:rsid w:val="001E7B40"/>
    <w:rsid w:val="001E7BC4"/>
    <w:rsid w:val="001E7DEA"/>
    <w:rsid w:val="001E7F5B"/>
    <w:rsid w:val="001F012C"/>
    <w:rsid w:val="001F0697"/>
    <w:rsid w:val="001F06B0"/>
    <w:rsid w:val="001F084C"/>
    <w:rsid w:val="001F086D"/>
    <w:rsid w:val="001F0E4E"/>
    <w:rsid w:val="001F14CB"/>
    <w:rsid w:val="001F178F"/>
    <w:rsid w:val="001F1FBC"/>
    <w:rsid w:val="001F20C9"/>
    <w:rsid w:val="001F2CEB"/>
    <w:rsid w:val="001F3CC5"/>
    <w:rsid w:val="001F427E"/>
    <w:rsid w:val="001F4DEA"/>
    <w:rsid w:val="001F4FB6"/>
    <w:rsid w:val="001F557F"/>
    <w:rsid w:val="001F5926"/>
    <w:rsid w:val="001F5B03"/>
    <w:rsid w:val="001F5E7A"/>
    <w:rsid w:val="001F5ECE"/>
    <w:rsid w:val="001F63A3"/>
    <w:rsid w:val="001F6D52"/>
    <w:rsid w:val="001F7144"/>
    <w:rsid w:val="001F7402"/>
    <w:rsid w:val="001F75DA"/>
    <w:rsid w:val="001F7DF6"/>
    <w:rsid w:val="001F7FBE"/>
    <w:rsid w:val="002001FE"/>
    <w:rsid w:val="00200217"/>
    <w:rsid w:val="00200362"/>
    <w:rsid w:val="00200482"/>
    <w:rsid w:val="00200E3D"/>
    <w:rsid w:val="00200F16"/>
    <w:rsid w:val="002012B3"/>
    <w:rsid w:val="00201313"/>
    <w:rsid w:val="002017D4"/>
    <w:rsid w:val="002018CD"/>
    <w:rsid w:val="00201A6D"/>
    <w:rsid w:val="00201B09"/>
    <w:rsid w:val="00202094"/>
    <w:rsid w:val="002022DD"/>
    <w:rsid w:val="00202938"/>
    <w:rsid w:val="00202949"/>
    <w:rsid w:val="00202AAB"/>
    <w:rsid w:val="0020313D"/>
    <w:rsid w:val="002034E1"/>
    <w:rsid w:val="00204079"/>
    <w:rsid w:val="002043FC"/>
    <w:rsid w:val="00204D1C"/>
    <w:rsid w:val="00205775"/>
    <w:rsid w:val="0020585C"/>
    <w:rsid w:val="00206069"/>
    <w:rsid w:val="0020643F"/>
    <w:rsid w:val="00206508"/>
    <w:rsid w:val="00206565"/>
    <w:rsid w:val="002071C6"/>
    <w:rsid w:val="0020756A"/>
    <w:rsid w:val="0020773E"/>
    <w:rsid w:val="00207ACA"/>
    <w:rsid w:val="00207AFB"/>
    <w:rsid w:val="002100F3"/>
    <w:rsid w:val="0021060B"/>
    <w:rsid w:val="002106FC"/>
    <w:rsid w:val="00210BD9"/>
    <w:rsid w:val="00210D97"/>
    <w:rsid w:val="00210E32"/>
    <w:rsid w:val="002116D8"/>
    <w:rsid w:val="00211723"/>
    <w:rsid w:val="00211EF0"/>
    <w:rsid w:val="00211F09"/>
    <w:rsid w:val="002121B2"/>
    <w:rsid w:val="0021243A"/>
    <w:rsid w:val="002128AE"/>
    <w:rsid w:val="002129D3"/>
    <w:rsid w:val="00212A34"/>
    <w:rsid w:val="002131DE"/>
    <w:rsid w:val="00213311"/>
    <w:rsid w:val="002133B0"/>
    <w:rsid w:val="00213D8C"/>
    <w:rsid w:val="002141E9"/>
    <w:rsid w:val="0021427E"/>
    <w:rsid w:val="0021447D"/>
    <w:rsid w:val="002144E5"/>
    <w:rsid w:val="00214889"/>
    <w:rsid w:val="002148EF"/>
    <w:rsid w:val="00214975"/>
    <w:rsid w:val="00214E92"/>
    <w:rsid w:val="00215173"/>
    <w:rsid w:val="00215307"/>
    <w:rsid w:val="002154F6"/>
    <w:rsid w:val="00215DFC"/>
    <w:rsid w:val="00215F0F"/>
    <w:rsid w:val="00216303"/>
    <w:rsid w:val="002163BA"/>
    <w:rsid w:val="00216980"/>
    <w:rsid w:val="00216999"/>
    <w:rsid w:val="00216CD9"/>
    <w:rsid w:val="00216D56"/>
    <w:rsid w:val="00217175"/>
    <w:rsid w:val="00220296"/>
    <w:rsid w:val="00220665"/>
    <w:rsid w:val="00220843"/>
    <w:rsid w:val="002208A2"/>
    <w:rsid w:val="00220B01"/>
    <w:rsid w:val="00221039"/>
    <w:rsid w:val="0022134C"/>
    <w:rsid w:val="0022135B"/>
    <w:rsid w:val="00221653"/>
    <w:rsid w:val="00221B5E"/>
    <w:rsid w:val="0022236A"/>
    <w:rsid w:val="0022249C"/>
    <w:rsid w:val="00222D52"/>
    <w:rsid w:val="00222E23"/>
    <w:rsid w:val="002232BA"/>
    <w:rsid w:val="002237B9"/>
    <w:rsid w:val="0022383A"/>
    <w:rsid w:val="0022426E"/>
    <w:rsid w:val="0022427A"/>
    <w:rsid w:val="002246DF"/>
    <w:rsid w:val="00224A5C"/>
    <w:rsid w:val="00224E32"/>
    <w:rsid w:val="002251AA"/>
    <w:rsid w:val="002252C7"/>
    <w:rsid w:val="0022580B"/>
    <w:rsid w:val="00225A0D"/>
    <w:rsid w:val="00225E6F"/>
    <w:rsid w:val="00225FE5"/>
    <w:rsid w:val="00226181"/>
    <w:rsid w:val="002263C4"/>
    <w:rsid w:val="0022675C"/>
    <w:rsid w:val="002273B3"/>
    <w:rsid w:val="00227602"/>
    <w:rsid w:val="002304F9"/>
    <w:rsid w:val="00230A85"/>
    <w:rsid w:val="002313A2"/>
    <w:rsid w:val="00231841"/>
    <w:rsid w:val="00231C2B"/>
    <w:rsid w:val="00231CD4"/>
    <w:rsid w:val="00231FED"/>
    <w:rsid w:val="00232072"/>
    <w:rsid w:val="002322CD"/>
    <w:rsid w:val="00232474"/>
    <w:rsid w:val="002324A3"/>
    <w:rsid w:val="00232AC9"/>
    <w:rsid w:val="00232D27"/>
    <w:rsid w:val="00232EA5"/>
    <w:rsid w:val="0023309D"/>
    <w:rsid w:val="0023318C"/>
    <w:rsid w:val="002332D3"/>
    <w:rsid w:val="002335AD"/>
    <w:rsid w:val="002338C6"/>
    <w:rsid w:val="00233B48"/>
    <w:rsid w:val="00233BCB"/>
    <w:rsid w:val="00233DA9"/>
    <w:rsid w:val="00234101"/>
    <w:rsid w:val="00234625"/>
    <w:rsid w:val="0023480F"/>
    <w:rsid w:val="00234BFD"/>
    <w:rsid w:val="00234E45"/>
    <w:rsid w:val="0023559A"/>
    <w:rsid w:val="00235887"/>
    <w:rsid w:val="002359A5"/>
    <w:rsid w:val="00235C5C"/>
    <w:rsid w:val="00235D51"/>
    <w:rsid w:val="00235E4C"/>
    <w:rsid w:val="00236197"/>
    <w:rsid w:val="00236753"/>
    <w:rsid w:val="0023691E"/>
    <w:rsid w:val="00236AD2"/>
    <w:rsid w:val="00236B98"/>
    <w:rsid w:val="00236F62"/>
    <w:rsid w:val="002371DA"/>
    <w:rsid w:val="002372BB"/>
    <w:rsid w:val="0023732E"/>
    <w:rsid w:val="0023751A"/>
    <w:rsid w:val="00237B38"/>
    <w:rsid w:val="00237D8D"/>
    <w:rsid w:val="00237DEC"/>
    <w:rsid w:val="00237F51"/>
    <w:rsid w:val="00240263"/>
    <w:rsid w:val="002402E5"/>
    <w:rsid w:val="00240884"/>
    <w:rsid w:val="00240AA4"/>
    <w:rsid w:val="00241230"/>
    <w:rsid w:val="00241323"/>
    <w:rsid w:val="00241407"/>
    <w:rsid w:val="00241571"/>
    <w:rsid w:val="0024175C"/>
    <w:rsid w:val="00241FBE"/>
    <w:rsid w:val="002420FE"/>
    <w:rsid w:val="0024296E"/>
    <w:rsid w:val="002429BE"/>
    <w:rsid w:val="00242BC6"/>
    <w:rsid w:val="00242EA8"/>
    <w:rsid w:val="00243811"/>
    <w:rsid w:val="0024384A"/>
    <w:rsid w:val="002439BF"/>
    <w:rsid w:val="0024406F"/>
    <w:rsid w:val="002440BD"/>
    <w:rsid w:val="002443E3"/>
    <w:rsid w:val="002444E9"/>
    <w:rsid w:val="0024463C"/>
    <w:rsid w:val="0024538F"/>
    <w:rsid w:val="002453F1"/>
    <w:rsid w:val="002453F9"/>
    <w:rsid w:val="00245443"/>
    <w:rsid w:val="002459D5"/>
    <w:rsid w:val="00245A38"/>
    <w:rsid w:val="00245E9F"/>
    <w:rsid w:val="00245F4E"/>
    <w:rsid w:val="0024610A"/>
    <w:rsid w:val="002469A9"/>
    <w:rsid w:val="002472CD"/>
    <w:rsid w:val="0024746E"/>
    <w:rsid w:val="0024760B"/>
    <w:rsid w:val="00247A1A"/>
    <w:rsid w:val="00247F67"/>
    <w:rsid w:val="002505C3"/>
    <w:rsid w:val="0025068A"/>
    <w:rsid w:val="00250D7D"/>
    <w:rsid w:val="00250E66"/>
    <w:rsid w:val="0025104D"/>
    <w:rsid w:val="00251D6E"/>
    <w:rsid w:val="00251DA8"/>
    <w:rsid w:val="00251FF3"/>
    <w:rsid w:val="002522A2"/>
    <w:rsid w:val="002523ED"/>
    <w:rsid w:val="00252B3A"/>
    <w:rsid w:val="00252E43"/>
    <w:rsid w:val="0025332F"/>
    <w:rsid w:val="00253518"/>
    <w:rsid w:val="002537FE"/>
    <w:rsid w:val="00253F22"/>
    <w:rsid w:val="00253F63"/>
    <w:rsid w:val="00254B5C"/>
    <w:rsid w:val="00254E42"/>
    <w:rsid w:val="00254FD1"/>
    <w:rsid w:val="0025590E"/>
    <w:rsid w:val="00255E06"/>
    <w:rsid w:val="0025607A"/>
    <w:rsid w:val="00256258"/>
    <w:rsid w:val="00256416"/>
    <w:rsid w:val="00256929"/>
    <w:rsid w:val="002569E5"/>
    <w:rsid w:val="00256E3E"/>
    <w:rsid w:val="002571CE"/>
    <w:rsid w:val="00257291"/>
    <w:rsid w:val="0025734D"/>
    <w:rsid w:val="00257655"/>
    <w:rsid w:val="00257976"/>
    <w:rsid w:val="00257D27"/>
    <w:rsid w:val="002600F7"/>
    <w:rsid w:val="0026021B"/>
    <w:rsid w:val="00260295"/>
    <w:rsid w:val="00260A28"/>
    <w:rsid w:val="0026145C"/>
    <w:rsid w:val="00261E64"/>
    <w:rsid w:val="002621CA"/>
    <w:rsid w:val="0026272F"/>
    <w:rsid w:val="00262976"/>
    <w:rsid w:val="00262C32"/>
    <w:rsid w:val="00262FC9"/>
    <w:rsid w:val="0026308F"/>
    <w:rsid w:val="002630E8"/>
    <w:rsid w:val="002634C9"/>
    <w:rsid w:val="00263876"/>
    <w:rsid w:val="00263A26"/>
    <w:rsid w:val="00263A6D"/>
    <w:rsid w:val="00263E98"/>
    <w:rsid w:val="00263FD5"/>
    <w:rsid w:val="00264170"/>
    <w:rsid w:val="002644D3"/>
    <w:rsid w:val="00264D0B"/>
    <w:rsid w:val="00265298"/>
    <w:rsid w:val="002658B2"/>
    <w:rsid w:val="00265E02"/>
    <w:rsid w:val="00265FEB"/>
    <w:rsid w:val="00266094"/>
    <w:rsid w:val="00266970"/>
    <w:rsid w:val="00266AC6"/>
    <w:rsid w:val="00266FA9"/>
    <w:rsid w:val="002672D0"/>
    <w:rsid w:val="0026733B"/>
    <w:rsid w:val="002674C4"/>
    <w:rsid w:val="00267B14"/>
    <w:rsid w:val="00267F53"/>
    <w:rsid w:val="002700B4"/>
    <w:rsid w:val="00270C4D"/>
    <w:rsid w:val="00270FFA"/>
    <w:rsid w:val="00271BDE"/>
    <w:rsid w:val="00271E6E"/>
    <w:rsid w:val="002720A9"/>
    <w:rsid w:val="002721D9"/>
    <w:rsid w:val="002723E1"/>
    <w:rsid w:val="002725AD"/>
    <w:rsid w:val="002726A7"/>
    <w:rsid w:val="0027299A"/>
    <w:rsid w:val="00272A64"/>
    <w:rsid w:val="00272EE7"/>
    <w:rsid w:val="00273758"/>
    <w:rsid w:val="00273AEE"/>
    <w:rsid w:val="00273D97"/>
    <w:rsid w:val="00274130"/>
    <w:rsid w:val="002744AB"/>
    <w:rsid w:val="00274975"/>
    <w:rsid w:val="00274C40"/>
    <w:rsid w:val="002753D5"/>
    <w:rsid w:val="0027551B"/>
    <w:rsid w:val="0027595B"/>
    <w:rsid w:val="00275B15"/>
    <w:rsid w:val="00275EAB"/>
    <w:rsid w:val="00275F6F"/>
    <w:rsid w:val="002764FA"/>
    <w:rsid w:val="00276905"/>
    <w:rsid w:val="00276B22"/>
    <w:rsid w:val="00276CA4"/>
    <w:rsid w:val="00276DAB"/>
    <w:rsid w:val="002771F1"/>
    <w:rsid w:val="00277527"/>
    <w:rsid w:val="00277A7A"/>
    <w:rsid w:val="00277AD2"/>
    <w:rsid w:val="00277DC4"/>
    <w:rsid w:val="00277FA5"/>
    <w:rsid w:val="0028079B"/>
    <w:rsid w:val="00280E6A"/>
    <w:rsid w:val="00280ED8"/>
    <w:rsid w:val="00280F06"/>
    <w:rsid w:val="00281B3C"/>
    <w:rsid w:val="00281F1D"/>
    <w:rsid w:val="00282021"/>
    <w:rsid w:val="002822A4"/>
    <w:rsid w:val="00282B44"/>
    <w:rsid w:val="00282BB8"/>
    <w:rsid w:val="00282BE0"/>
    <w:rsid w:val="00282CE9"/>
    <w:rsid w:val="002830E8"/>
    <w:rsid w:val="00283155"/>
    <w:rsid w:val="0028374F"/>
    <w:rsid w:val="00283936"/>
    <w:rsid w:val="00283B48"/>
    <w:rsid w:val="00283BDD"/>
    <w:rsid w:val="00283CA2"/>
    <w:rsid w:val="00283EF8"/>
    <w:rsid w:val="0028409D"/>
    <w:rsid w:val="002840CD"/>
    <w:rsid w:val="002846B6"/>
    <w:rsid w:val="002847E9"/>
    <w:rsid w:val="00285029"/>
    <w:rsid w:val="00285313"/>
    <w:rsid w:val="00285497"/>
    <w:rsid w:val="0028549A"/>
    <w:rsid w:val="00285629"/>
    <w:rsid w:val="002859BD"/>
    <w:rsid w:val="00285C80"/>
    <w:rsid w:val="0028618B"/>
    <w:rsid w:val="00286224"/>
    <w:rsid w:val="002868F3"/>
    <w:rsid w:val="00286C63"/>
    <w:rsid w:val="00286F52"/>
    <w:rsid w:val="002870FD"/>
    <w:rsid w:val="002872AC"/>
    <w:rsid w:val="00287E40"/>
    <w:rsid w:val="00287E64"/>
    <w:rsid w:val="00287FED"/>
    <w:rsid w:val="002900F0"/>
    <w:rsid w:val="0029073C"/>
    <w:rsid w:val="002907D9"/>
    <w:rsid w:val="002907E2"/>
    <w:rsid w:val="002909AD"/>
    <w:rsid w:val="00290ACB"/>
    <w:rsid w:val="00290E25"/>
    <w:rsid w:val="0029115B"/>
    <w:rsid w:val="002911AE"/>
    <w:rsid w:val="0029153E"/>
    <w:rsid w:val="002919F0"/>
    <w:rsid w:val="00291B05"/>
    <w:rsid w:val="002921FC"/>
    <w:rsid w:val="002922E7"/>
    <w:rsid w:val="0029239E"/>
    <w:rsid w:val="00292F24"/>
    <w:rsid w:val="00293132"/>
    <w:rsid w:val="00293565"/>
    <w:rsid w:val="002935EA"/>
    <w:rsid w:val="00293696"/>
    <w:rsid w:val="00293E60"/>
    <w:rsid w:val="00293FE0"/>
    <w:rsid w:val="002940FC"/>
    <w:rsid w:val="00294332"/>
    <w:rsid w:val="00294666"/>
    <w:rsid w:val="00294D25"/>
    <w:rsid w:val="0029511C"/>
    <w:rsid w:val="002954BC"/>
    <w:rsid w:val="0029550A"/>
    <w:rsid w:val="0029566B"/>
    <w:rsid w:val="00295E86"/>
    <w:rsid w:val="00295F3C"/>
    <w:rsid w:val="00295F9C"/>
    <w:rsid w:val="00296026"/>
    <w:rsid w:val="00296052"/>
    <w:rsid w:val="002961BE"/>
    <w:rsid w:val="00296BF5"/>
    <w:rsid w:val="00296C76"/>
    <w:rsid w:val="00296D0C"/>
    <w:rsid w:val="00296D4D"/>
    <w:rsid w:val="00296D58"/>
    <w:rsid w:val="00296DA6"/>
    <w:rsid w:val="00296F61"/>
    <w:rsid w:val="002971B2"/>
    <w:rsid w:val="00297666"/>
    <w:rsid w:val="00297A01"/>
    <w:rsid w:val="00297A76"/>
    <w:rsid w:val="00297C58"/>
    <w:rsid w:val="00297CCA"/>
    <w:rsid w:val="002A01E1"/>
    <w:rsid w:val="002A060D"/>
    <w:rsid w:val="002A0F2D"/>
    <w:rsid w:val="002A1480"/>
    <w:rsid w:val="002A14E2"/>
    <w:rsid w:val="002A1A0D"/>
    <w:rsid w:val="002A1ACB"/>
    <w:rsid w:val="002A1BFA"/>
    <w:rsid w:val="002A1C59"/>
    <w:rsid w:val="002A1D94"/>
    <w:rsid w:val="002A2320"/>
    <w:rsid w:val="002A25FF"/>
    <w:rsid w:val="002A2662"/>
    <w:rsid w:val="002A266D"/>
    <w:rsid w:val="002A29A0"/>
    <w:rsid w:val="002A2B50"/>
    <w:rsid w:val="002A2BE7"/>
    <w:rsid w:val="002A2D0A"/>
    <w:rsid w:val="002A2DD5"/>
    <w:rsid w:val="002A32A7"/>
    <w:rsid w:val="002A33FE"/>
    <w:rsid w:val="002A3509"/>
    <w:rsid w:val="002A3875"/>
    <w:rsid w:val="002A3A1F"/>
    <w:rsid w:val="002A3A7A"/>
    <w:rsid w:val="002A3BD3"/>
    <w:rsid w:val="002A3C3E"/>
    <w:rsid w:val="002A3E86"/>
    <w:rsid w:val="002A3F1D"/>
    <w:rsid w:val="002A40F3"/>
    <w:rsid w:val="002A462B"/>
    <w:rsid w:val="002A4D5B"/>
    <w:rsid w:val="002A5C92"/>
    <w:rsid w:val="002A6277"/>
    <w:rsid w:val="002A62CA"/>
    <w:rsid w:val="002A635A"/>
    <w:rsid w:val="002A649A"/>
    <w:rsid w:val="002A67B8"/>
    <w:rsid w:val="002A6CA2"/>
    <w:rsid w:val="002A7170"/>
    <w:rsid w:val="002A71BC"/>
    <w:rsid w:val="002A7277"/>
    <w:rsid w:val="002A7623"/>
    <w:rsid w:val="002A794A"/>
    <w:rsid w:val="002A7980"/>
    <w:rsid w:val="002A7D6D"/>
    <w:rsid w:val="002A7EF1"/>
    <w:rsid w:val="002A7EF3"/>
    <w:rsid w:val="002A7F27"/>
    <w:rsid w:val="002B0168"/>
    <w:rsid w:val="002B0205"/>
    <w:rsid w:val="002B028F"/>
    <w:rsid w:val="002B036F"/>
    <w:rsid w:val="002B0884"/>
    <w:rsid w:val="002B0AC1"/>
    <w:rsid w:val="002B0BF8"/>
    <w:rsid w:val="002B0FEA"/>
    <w:rsid w:val="002B10B5"/>
    <w:rsid w:val="002B185E"/>
    <w:rsid w:val="002B1CF7"/>
    <w:rsid w:val="002B1F33"/>
    <w:rsid w:val="002B29E1"/>
    <w:rsid w:val="002B3099"/>
    <w:rsid w:val="002B3149"/>
    <w:rsid w:val="002B31C2"/>
    <w:rsid w:val="002B389D"/>
    <w:rsid w:val="002B3975"/>
    <w:rsid w:val="002B4707"/>
    <w:rsid w:val="002B4B2A"/>
    <w:rsid w:val="002B547C"/>
    <w:rsid w:val="002B5842"/>
    <w:rsid w:val="002B5A7B"/>
    <w:rsid w:val="002B5C48"/>
    <w:rsid w:val="002B5DAE"/>
    <w:rsid w:val="002B5E1B"/>
    <w:rsid w:val="002B5E3F"/>
    <w:rsid w:val="002B6009"/>
    <w:rsid w:val="002B645E"/>
    <w:rsid w:val="002B65E6"/>
    <w:rsid w:val="002B663C"/>
    <w:rsid w:val="002B6C26"/>
    <w:rsid w:val="002B6C70"/>
    <w:rsid w:val="002B6C8F"/>
    <w:rsid w:val="002C041B"/>
    <w:rsid w:val="002C0ABE"/>
    <w:rsid w:val="002C0B8A"/>
    <w:rsid w:val="002C10CE"/>
    <w:rsid w:val="002C13C4"/>
    <w:rsid w:val="002C13CD"/>
    <w:rsid w:val="002C19DD"/>
    <w:rsid w:val="002C1D1C"/>
    <w:rsid w:val="002C1F9B"/>
    <w:rsid w:val="002C2348"/>
    <w:rsid w:val="002C2581"/>
    <w:rsid w:val="002C2777"/>
    <w:rsid w:val="002C299C"/>
    <w:rsid w:val="002C2A65"/>
    <w:rsid w:val="002C2C74"/>
    <w:rsid w:val="002C4F0E"/>
    <w:rsid w:val="002C53BC"/>
    <w:rsid w:val="002C54AD"/>
    <w:rsid w:val="002C5823"/>
    <w:rsid w:val="002C5BB2"/>
    <w:rsid w:val="002C5CE6"/>
    <w:rsid w:val="002C5EB1"/>
    <w:rsid w:val="002C5F20"/>
    <w:rsid w:val="002C62A9"/>
    <w:rsid w:val="002C64D8"/>
    <w:rsid w:val="002C6811"/>
    <w:rsid w:val="002C6F2F"/>
    <w:rsid w:val="002C707B"/>
    <w:rsid w:val="002C70BF"/>
    <w:rsid w:val="002C71F4"/>
    <w:rsid w:val="002C76B4"/>
    <w:rsid w:val="002C7872"/>
    <w:rsid w:val="002D00C5"/>
    <w:rsid w:val="002D0992"/>
    <w:rsid w:val="002D1056"/>
    <w:rsid w:val="002D10D9"/>
    <w:rsid w:val="002D17ED"/>
    <w:rsid w:val="002D1A22"/>
    <w:rsid w:val="002D1AF4"/>
    <w:rsid w:val="002D1B18"/>
    <w:rsid w:val="002D1DA6"/>
    <w:rsid w:val="002D20A6"/>
    <w:rsid w:val="002D26A4"/>
    <w:rsid w:val="002D28F6"/>
    <w:rsid w:val="002D2B42"/>
    <w:rsid w:val="002D2DA3"/>
    <w:rsid w:val="002D30DC"/>
    <w:rsid w:val="002D30FC"/>
    <w:rsid w:val="002D31AF"/>
    <w:rsid w:val="002D3D31"/>
    <w:rsid w:val="002D42B1"/>
    <w:rsid w:val="002D4871"/>
    <w:rsid w:val="002D489F"/>
    <w:rsid w:val="002D4CD4"/>
    <w:rsid w:val="002D4DF8"/>
    <w:rsid w:val="002D52C5"/>
    <w:rsid w:val="002D56A7"/>
    <w:rsid w:val="002D5722"/>
    <w:rsid w:val="002D5B7F"/>
    <w:rsid w:val="002D5CC9"/>
    <w:rsid w:val="002D66A9"/>
    <w:rsid w:val="002D72DD"/>
    <w:rsid w:val="002D74E9"/>
    <w:rsid w:val="002D7798"/>
    <w:rsid w:val="002D7BB1"/>
    <w:rsid w:val="002E0075"/>
    <w:rsid w:val="002E02FC"/>
    <w:rsid w:val="002E03EA"/>
    <w:rsid w:val="002E07A7"/>
    <w:rsid w:val="002E07D5"/>
    <w:rsid w:val="002E0AA6"/>
    <w:rsid w:val="002E0D36"/>
    <w:rsid w:val="002E102E"/>
    <w:rsid w:val="002E1CBB"/>
    <w:rsid w:val="002E200F"/>
    <w:rsid w:val="002E22CF"/>
    <w:rsid w:val="002E24AE"/>
    <w:rsid w:val="002E2565"/>
    <w:rsid w:val="002E26B8"/>
    <w:rsid w:val="002E27F7"/>
    <w:rsid w:val="002E3A4F"/>
    <w:rsid w:val="002E3D3C"/>
    <w:rsid w:val="002E4061"/>
    <w:rsid w:val="002E410F"/>
    <w:rsid w:val="002E4157"/>
    <w:rsid w:val="002E4644"/>
    <w:rsid w:val="002E474D"/>
    <w:rsid w:val="002E491D"/>
    <w:rsid w:val="002E49C2"/>
    <w:rsid w:val="002E588D"/>
    <w:rsid w:val="002E599E"/>
    <w:rsid w:val="002E5CD9"/>
    <w:rsid w:val="002E5DFA"/>
    <w:rsid w:val="002E616E"/>
    <w:rsid w:val="002E61CF"/>
    <w:rsid w:val="002E6290"/>
    <w:rsid w:val="002E6B99"/>
    <w:rsid w:val="002E6EB9"/>
    <w:rsid w:val="002E7722"/>
    <w:rsid w:val="002F018C"/>
    <w:rsid w:val="002F03B4"/>
    <w:rsid w:val="002F0476"/>
    <w:rsid w:val="002F04E2"/>
    <w:rsid w:val="002F0763"/>
    <w:rsid w:val="002F079A"/>
    <w:rsid w:val="002F08CD"/>
    <w:rsid w:val="002F0A17"/>
    <w:rsid w:val="002F0D71"/>
    <w:rsid w:val="002F0E90"/>
    <w:rsid w:val="002F138E"/>
    <w:rsid w:val="002F1C0A"/>
    <w:rsid w:val="002F1C96"/>
    <w:rsid w:val="002F2111"/>
    <w:rsid w:val="002F296B"/>
    <w:rsid w:val="002F35DB"/>
    <w:rsid w:val="002F365B"/>
    <w:rsid w:val="002F3A95"/>
    <w:rsid w:val="002F3BC7"/>
    <w:rsid w:val="002F3CBD"/>
    <w:rsid w:val="002F3E43"/>
    <w:rsid w:val="002F3EA0"/>
    <w:rsid w:val="002F415C"/>
    <w:rsid w:val="002F421B"/>
    <w:rsid w:val="002F4A45"/>
    <w:rsid w:val="002F4EDB"/>
    <w:rsid w:val="002F4F65"/>
    <w:rsid w:val="002F536A"/>
    <w:rsid w:val="002F5544"/>
    <w:rsid w:val="002F5744"/>
    <w:rsid w:val="002F5848"/>
    <w:rsid w:val="002F59EB"/>
    <w:rsid w:val="002F5A50"/>
    <w:rsid w:val="002F5F4E"/>
    <w:rsid w:val="002F5FF8"/>
    <w:rsid w:val="002F6230"/>
    <w:rsid w:val="002F74E2"/>
    <w:rsid w:val="002F76AD"/>
    <w:rsid w:val="002F7717"/>
    <w:rsid w:val="0030007E"/>
    <w:rsid w:val="003002FC"/>
    <w:rsid w:val="003004AC"/>
    <w:rsid w:val="00300700"/>
    <w:rsid w:val="00300F5E"/>
    <w:rsid w:val="00301367"/>
    <w:rsid w:val="00301960"/>
    <w:rsid w:val="0030209B"/>
    <w:rsid w:val="003020C9"/>
    <w:rsid w:val="00302D6E"/>
    <w:rsid w:val="00302E7F"/>
    <w:rsid w:val="003033A7"/>
    <w:rsid w:val="003033C3"/>
    <w:rsid w:val="0030386F"/>
    <w:rsid w:val="00303AAE"/>
    <w:rsid w:val="00304182"/>
    <w:rsid w:val="00304990"/>
    <w:rsid w:val="00304C4B"/>
    <w:rsid w:val="00304DC5"/>
    <w:rsid w:val="0030527D"/>
    <w:rsid w:val="00305354"/>
    <w:rsid w:val="003054D6"/>
    <w:rsid w:val="003059B0"/>
    <w:rsid w:val="00305BFA"/>
    <w:rsid w:val="00305C3A"/>
    <w:rsid w:val="00305ED3"/>
    <w:rsid w:val="00306233"/>
    <w:rsid w:val="00306967"/>
    <w:rsid w:val="00307017"/>
    <w:rsid w:val="00307668"/>
    <w:rsid w:val="0030769E"/>
    <w:rsid w:val="00307933"/>
    <w:rsid w:val="00310025"/>
    <w:rsid w:val="003102F5"/>
    <w:rsid w:val="003103B0"/>
    <w:rsid w:val="00310B67"/>
    <w:rsid w:val="00310BE9"/>
    <w:rsid w:val="00310D98"/>
    <w:rsid w:val="00310DD9"/>
    <w:rsid w:val="00310E6E"/>
    <w:rsid w:val="00310EE7"/>
    <w:rsid w:val="0031124F"/>
    <w:rsid w:val="003118FC"/>
    <w:rsid w:val="00311A32"/>
    <w:rsid w:val="00311AD9"/>
    <w:rsid w:val="00311C49"/>
    <w:rsid w:val="00312B15"/>
    <w:rsid w:val="003134B0"/>
    <w:rsid w:val="00313623"/>
    <w:rsid w:val="00313959"/>
    <w:rsid w:val="00313B6B"/>
    <w:rsid w:val="00313C2F"/>
    <w:rsid w:val="00313CDD"/>
    <w:rsid w:val="00313EB4"/>
    <w:rsid w:val="0031449A"/>
    <w:rsid w:val="003145BE"/>
    <w:rsid w:val="00314625"/>
    <w:rsid w:val="00314829"/>
    <w:rsid w:val="00314936"/>
    <w:rsid w:val="0031535C"/>
    <w:rsid w:val="00315502"/>
    <w:rsid w:val="00315732"/>
    <w:rsid w:val="00315AE3"/>
    <w:rsid w:val="00315E80"/>
    <w:rsid w:val="00315F39"/>
    <w:rsid w:val="003160F4"/>
    <w:rsid w:val="003165C1"/>
    <w:rsid w:val="0031696F"/>
    <w:rsid w:val="00316AB7"/>
    <w:rsid w:val="00316D18"/>
    <w:rsid w:val="00317097"/>
    <w:rsid w:val="00317638"/>
    <w:rsid w:val="00317919"/>
    <w:rsid w:val="00317B6A"/>
    <w:rsid w:val="00317B86"/>
    <w:rsid w:val="00317EA1"/>
    <w:rsid w:val="00320354"/>
    <w:rsid w:val="003204B3"/>
    <w:rsid w:val="00320706"/>
    <w:rsid w:val="0032090A"/>
    <w:rsid w:val="003209B4"/>
    <w:rsid w:val="00320CDC"/>
    <w:rsid w:val="00320EAC"/>
    <w:rsid w:val="00321A5C"/>
    <w:rsid w:val="00321B42"/>
    <w:rsid w:val="0032203A"/>
    <w:rsid w:val="0032210F"/>
    <w:rsid w:val="003227BE"/>
    <w:rsid w:val="0032281B"/>
    <w:rsid w:val="003228F4"/>
    <w:rsid w:val="00322EEE"/>
    <w:rsid w:val="00323269"/>
    <w:rsid w:val="0032333C"/>
    <w:rsid w:val="00323475"/>
    <w:rsid w:val="003235F0"/>
    <w:rsid w:val="00323F3D"/>
    <w:rsid w:val="00323FA3"/>
    <w:rsid w:val="00324115"/>
    <w:rsid w:val="003242BC"/>
    <w:rsid w:val="0032444B"/>
    <w:rsid w:val="0032452B"/>
    <w:rsid w:val="00324B18"/>
    <w:rsid w:val="003254DD"/>
    <w:rsid w:val="00325693"/>
    <w:rsid w:val="00325BFD"/>
    <w:rsid w:val="00326015"/>
    <w:rsid w:val="0032683F"/>
    <w:rsid w:val="00326A5D"/>
    <w:rsid w:val="00326AC4"/>
    <w:rsid w:val="003276A3"/>
    <w:rsid w:val="00327B16"/>
    <w:rsid w:val="00327BDE"/>
    <w:rsid w:val="00327EBE"/>
    <w:rsid w:val="00330083"/>
    <w:rsid w:val="003303F6"/>
    <w:rsid w:val="00330624"/>
    <w:rsid w:val="00330756"/>
    <w:rsid w:val="00330BD2"/>
    <w:rsid w:val="00330C88"/>
    <w:rsid w:val="00330F71"/>
    <w:rsid w:val="003310BD"/>
    <w:rsid w:val="00331193"/>
    <w:rsid w:val="00331443"/>
    <w:rsid w:val="00331510"/>
    <w:rsid w:val="00331959"/>
    <w:rsid w:val="0033196F"/>
    <w:rsid w:val="00331D61"/>
    <w:rsid w:val="0033229B"/>
    <w:rsid w:val="00332450"/>
    <w:rsid w:val="003325D1"/>
    <w:rsid w:val="003329C1"/>
    <w:rsid w:val="0033310E"/>
    <w:rsid w:val="00333351"/>
    <w:rsid w:val="0033344D"/>
    <w:rsid w:val="00333A40"/>
    <w:rsid w:val="003341C4"/>
    <w:rsid w:val="003341C8"/>
    <w:rsid w:val="003346B9"/>
    <w:rsid w:val="00334B4E"/>
    <w:rsid w:val="00334E3A"/>
    <w:rsid w:val="003350EF"/>
    <w:rsid w:val="003350F1"/>
    <w:rsid w:val="00335276"/>
    <w:rsid w:val="00335A3F"/>
    <w:rsid w:val="00335C34"/>
    <w:rsid w:val="00335DB5"/>
    <w:rsid w:val="00335EC3"/>
    <w:rsid w:val="003367D6"/>
    <w:rsid w:val="00336FD1"/>
    <w:rsid w:val="00337048"/>
    <w:rsid w:val="0033728A"/>
    <w:rsid w:val="00337539"/>
    <w:rsid w:val="00337928"/>
    <w:rsid w:val="00340B0C"/>
    <w:rsid w:val="00340BFA"/>
    <w:rsid w:val="00340F5A"/>
    <w:rsid w:val="003416C6"/>
    <w:rsid w:val="003417A2"/>
    <w:rsid w:val="0034189D"/>
    <w:rsid w:val="00341C25"/>
    <w:rsid w:val="00342467"/>
    <w:rsid w:val="0034256C"/>
    <w:rsid w:val="00342ACE"/>
    <w:rsid w:val="00342B2B"/>
    <w:rsid w:val="00343264"/>
    <w:rsid w:val="00343425"/>
    <w:rsid w:val="00343759"/>
    <w:rsid w:val="00343864"/>
    <w:rsid w:val="00343995"/>
    <w:rsid w:val="003439FE"/>
    <w:rsid w:val="00343AED"/>
    <w:rsid w:val="00343BB9"/>
    <w:rsid w:val="00343BE5"/>
    <w:rsid w:val="00343D25"/>
    <w:rsid w:val="003441EA"/>
    <w:rsid w:val="00345147"/>
    <w:rsid w:val="003451BE"/>
    <w:rsid w:val="0034521B"/>
    <w:rsid w:val="00345476"/>
    <w:rsid w:val="00345481"/>
    <w:rsid w:val="0034574B"/>
    <w:rsid w:val="003459C5"/>
    <w:rsid w:val="00345E0B"/>
    <w:rsid w:val="0034630F"/>
    <w:rsid w:val="00346799"/>
    <w:rsid w:val="003467D1"/>
    <w:rsid w:val="00346AFF"/>
    <w:rsid w:val="00346DE2"/>
    <w:rsid w:val="00346EA5"/>
    <w:rsid w:val="00346F39"/>
    <w:rsid w:val="0034710F"/>
    <w:rsid w:val="00347CE6"/>
    <w:rsid w:val="00350363"/>
    <w:rsid w:val="00350781"/>
    <w:rsid w:val="00350A42"/>
    <w:rsid w:val="00350B0A"/>
    <w:rsid w:val="00351026"/>
    <w:rsid w:val="0035122C"/>
    <w:rsid w:val="00351989"/>
    <w:rsid w:val="00351A70"/>
    <w:rsid w:val="00351D04"/>
    <w:rsid w:val="0035215C"/>
    <w:rsid w:val="003521E6"/>
    <w:rsid w:val="0035230F"/>
    <w:rsid w:val="003525C7"/>
    <w:rsid w:val="003527A8"/>
    <w:rsid w:val="003528BA"/>
    <w:rsid w:val="003530DE"/>
    <w:rsid w:val="00353137"/>
    <w:rsid w:val="0035332A"/>
    <w:rsid w:val="0035334C"/>
    <w:rsid w:val="00353689"/>
    <w:rsid w:val="00353EB7"/>
    <w:rsid w:val="0035404E"/>
    <w:rsid w:val="003548F7"/>
    <w:rsid w:val="00355737"/>
    <w:rsid w:val="003557A5"/>
    <w:rsid w:val="003558CE"/>
    <w:rsid w:val="00355941"/>
    <w:rsid w:val="003559FC"/>
    <w:rsid w:val="00355B78"/>
    <w:rsid w:val="00355CD2"/>
    <w:rsid w:val="00355E0C"/>
    <w:rsid w:val="00356C6A"/>
    <w:rsid w:val="00356CDF"/>
    <w:rsid w:val="003577A0"/>
    <w:rsid w:val="003577A3"/>
    <w:rsid w:val="00357806"/>
    <w:rsid w:val="003578C1"/>
    <w:rsid w:val="00357C71"/>
    <w:rsid w:val="00357C72"/>
    <w:rsid w:val="003600CF"/>
    <w:rsid w:val="00360254"/>
    <w:rsid w:val="003606E3"/>
    <w:rsid w:val="00360D8D"/>
    <w:rsid w:val="003611E4"/>
    <w:rsid w:val="00361B18"/>
    <w:rsid w:val="00361FD3"/>
    <w:rsid w:val="00362056"/>
    <w:rsid w:val="003620B7"/>
    <w:rsid w:val="00362915"/>
    <w:rsid w:val="00362BA7"/>
    <w:rsid w:val="00363940"/>
    <w:rsid w:val="00363A27"/>
    <w:rsid w:val="00363E0A"/>
    <w:rsid w:val="003640CF"/>
    <w:rsid w:val="00364162"/>
    <w:rsid w:val="0036481D"/>
    <w:rsid w:val="00365065"/>
    <w:rsid w:val="003650EF"/>
    <w:rsid w:val="003653EC"/>
    <w:rsid w:val="00365551"/>
    <w:rsid w:val="003656DC"/>
    <w:rsid w:val="0036595D"/>
    <w:rsid w:val="00365C6C"/>
    <w:rsid w:val="00365D22"/>
    <w:rsid w:val="003660D3"/>
    <w:rsid w:val="003662FE"/>
    <w:rsid w:val="003665CF"/>
    <w:rsid w:val="003667CC"/>
    <w:rsid w:val="003667F0"/>
    <w:rsid w:val="00366902"/>
    <w:rsid w:val="00366EDE"/>
    <w:rsid w:val="00366EF8"/>
    <w:rsid w:val="0036725A"/>
    <w:rsid w:val="003673A3"/>
    <w:rsid w:val="0036747C"/>
    <w:rsid w:val="0036769A"/>
    <w:rsid w:val="00367CD1"/>
    <w:rsid w:val="00367D88"/>
    <w:rsid w:val="0037012E"/>
    <w:rsid w:val="0037013D"/>
    <w:rsid w:val="003702A6"/>
    <w:rsid w:val="003705BA"/>
    <w:rsid w:val="0037084C"/>
    <w:rsid w:val="00370AB0"/>
    <w:rsid w:val="00370CCE"/>
    <w:rsid w:val="00371127"/>
    <w:rsid w:val="0037182A"/>
    <w:rsid w:val="0037191B"/>
    <w:rsid w:val="003719EC"/>
    <w:rsid w:val="00372362"/>
    <w:rsid w:val="0037267E"/>
    <w:rsid w:val="0037272E"/>
    <w:rsid w:val="003729DB"/>
    <w:rsid w:val="00372F6F"/>
    <w:rsid w:val="00373004"/>
    <w:rsid w:val="003732C6"/>
    <w:rsid w:val="003733B3"/>
    <w:rsid w:val="003733D6"/>
    <w:rsid w:val="003737E8"/>
    <w:rsid w:val="00373CB7"/>
    <w:rsid w:val="00373F40"/>
    <w:rsid w:val="003740B8"/>
    <w:rsid w:val="00374454"/>
    <w:rsid w:val="003748A9"/>
    <w:rsid w:val="003749FE"/>
    <w:rsid w:val="00374A98"/>
    <w:rsid w:val="00374BB9"/>
    <w:rsid w:val="00374E18"/>
    <w:rsid w:val="00374E2B"/>
    <w:rsid w:val="003751E1"/>
    <w:rsid w:val="00375363"/>
    <w:rsid w:val="00375418"/>
    <w:rsid w:val="003754B5"/>
    <w:rsid w:val="0037586C"/>
    <w:rsid w:val="0037597B"/>
    <w:rsid w:val="003759C3"/>
    <w:rsid w:val="00375AF9"/>
    <w:rsid w:val="00376730"/>
    <w:rsid w:val="00376870"/>
    <w:rsid w:val="00376947"/>
    <w:rsid w:val="00376BDC"/>
    <w:rsid w:val="00377026"/>
    <w:rsid w:val="00377757"/>
    <w:rsid w:val="0037791C"/>
    <w:rsid w:val="00377B58"/>
    <w:rsid w:val="00377E54"/>
    <w:rsid w:val="00377F5F"/>
    <w:rsid w:val="00380048"/>
    <w:rsid w:val="003801D6"/>
    <w:rsid w:val="00380C0C"/>
    <w:rsid w:val="00380C2D"/>
    <w:rsid w:val="00380EF4"/>
    <w:rsid w:val="003810E9"/>
    <w:rsid w:val="003811EA"/>
    <w:rsid w:val="003815E3"/>
    <w:rsid w:val="003817A5"/>
    <w:rsid w:val="00381812"/>
    <w:rsid w:val="00381868"/>
    <w:rsid w:val="00382068"/>
    <w:rsid w:val="003822E2"/>
    <w:rsid w:val="003824B7"/>
    <w:rsid w:val="003825C1"/>
    <w:rsid w:val="0038264B"/>
    <w:rsid w:val="0038343B"/>
    <w:rsid w:val="003838CE"/>
    <w:rsid w:val="0038391D"/>
    <w:rsid w:val="003841BF"/>
    <w:rsid w:val="003843CB"/>
    <w:rsid w:val="0038490F"/>
    <w:rsid w:val="0038500F"/>
    <w:rsid w:val="003852ED"/>
    <w:rsid w:val="00385706"/>
    <w:rsid w:val="00385955"/>
    <w:rsid w:val="00385C48"/>
    <w:rsid w:val="0038601C"/>
    <w:rsid w:val="003860F3"/>
    <w:rsid w:val="00386169"/>
    <w:rsid w:val="003866F6"/>
    <w:rsid w:val="003869C7"/>
    <w:rsid w:val="00386EB4"/>
    <w:rsid w:val="0038701F"/>
    <w:rsid w:val="0038706D"/>
    <w:rsid w:val="0038741F"/>
    <w:rsid w:val="00387B99"/>
    <w:rsid w:val="00387CE8"/>
    <w:rsid w:val="00387D1F"/>
    <w:rsid w:val="00390039"/>
    <w:rsid w:val="003900EF"/>
    <w:rsid w:val="003900FF"/>
    <w:rsid w:val="0039044A"/>
    <w:rsid w:val="0039061B"/>
    <w:rsid w:val="00390636"/>
    <w:rsid w:val="00390BE0"/>
    <w:rsid w:val="00390FC3"/>
    <w:rsid w:val="0039103F"/>
    <w:rsid w:val="00391217"/>
    <w:rsid w:val="00391645"/>
    <w:rsid w:val="00391728"/>
    <w:rsid w:val="0039182A"/>
    <w:rsid w:val="0039186F"/>
    <w:rsid w:val="00391BA3"/>
    <w:rsid w:val="00391E7F"/>
    <w:rsid w:val="0039291A"/>
    <w:rsid w:val="00392CE4"/>
    <w:rsid w:val="003931E6"/>
    <w:rsid w:val="00393FCF"/>
    <w:rsid w:val="003944EA"/>
    <w:rsid w:val="0039457B"/>
    <w:rsid w:val="003945B7"/>
    <w:rsid w:val="003947C2"/>
    <w:rsid w:val="00394DA6"/>
    <w:rsid w:val="00395145"/>
    <w:rsid w:val="0039521A"/>
    <w:rsid w:val="0039549A"/>
    <w:rsid w:val="00395676"/>
    <w:rsid w:val="00395885"/>
    <w:rsid w:val="00395EFD"/>
    <w:rsid w:val="00396856"/>
    <w:rsid w:val="00396D18"/>
    <w:rsid w:val="00396E37"/>
    <w:rsid w:val="00396E43"/>
    <w:rsid w:val="0039723D"/>
    <w:rsid w:val="003974A4"/>
    <w:rsid w:val="00397CE3"/>
    <w:rsid w:val="00397E5C"/>
    <w:rsid w:val="003A02B1"/>
    <w:rsid w:val="003A030A"/>
    <w:rsid w:val="003A032B"/>
    <w:rsid w:val="003A0A99"/>
    <w:rsid w:val="003A0B08"/>
    <w:rsid w:val="003A0CB0"/>
    <w:rsid w:val="003A0CFF"/>
    <w:rsid w:val="003A0E8B"/>
    <w:rsid w:val="003A1542"/>
    <w:rsid w:val="003A181A"/>
    <w:rsid w:val="003A2366"/>
    <w:rsid w:val="003A2BFD"/>
    <w:rsid w:val="003A2E8A"/>
    <w:rsid w:val="003A2F54"/>
    <w:rsid w:val="003A30CB"/>
    <w:rsid w:val="003A3624"/>
    <w:rsid w:val="003A3F38"/>
    <w:rsid w:val="003A40E6"/>
    <w:rsid w:val="003A423B"/>
    <w:rsid w:val="003A43FE"/>
    <w:rsid w:val="003A4462"/>
    <w:rsid w:val="003A4E2A"/>
    <w:rsid w:val="003A4F73"/>
    <w:rsid w:val="003A527D"/>
    <w:rsid w:val="003A5387"/>
    <w:rsid w:val="003A55AA"/>
    <w:rsid w:val="003A5C22"/>
    <w:rsid w:val="003A5FB2"/>
    <w:rsid w:val="003A5FF6"/>
    <w:rsid w:val="003A6C7B"/>
    <w:rsid w:val="003A6ED2"/>
    <w:rsid w:val="003A7267"/>
    <w:rsid w:val="003B0348"/>
    <w:rsid w:val="003B071C"/>
    <w:rsid w:val="003B08C0"/>
    <w:rsid w:val="003B08CC"/>
    <w:rsid w:val="003B0918"/>
    <w:rsid w:val="003B0964"/>
    <w:rsid w:val="003B0CA9"/>
    <w:rsid w:val="003B12BC"/>
    <w:rsid w:val="003B135A"/>
    <w:rsid w:val="003B17DF"/>
    <w:rsid w:val="003B1B02"/>
    <w:rsid w:val="003B1DDD"/>
    <w:rsid w:val="003B210C"/>
    <w:rsid w:val="003B27B4"/>
    <w:rsid w:val="003B2D94"/>
    <w:rsid w:val="003B3057"/>
    <w:rsid w:val="003B3154"/>
    <w:rsid w:val="003B31C3"/>
    <w:rsid w:val="003B328F"/>
    <w:rsid w:val="003B33CC"/>
    <w:rsid w:val="003B3490"/>
    <w:rsid w:val="003B3D1A"/>
    <w:rsid w:val="003B3FC6"/>
    <w:rsid w:val="003B4051"/>
    <w:rsid w:val="003B408C"/>
    <w:rsid w:val="003B4109"/>
    <w:rsid w:val="003B4124"/>
    <w:rsid w:val="003B45B2"/>
    <w:rsid w:val="003B4C10"/>
    <w:rsid w:val="003B4CD0"/>
    <w:rsid w:val="003B5274"/>
    <w:rsid w:val="003B5538"/>
    <w:rsid w:val="003B618D"/>
    <w:rsid w:val="003B62C5"/>
    <w:rsid w:val="003B639C"/>
    <w:rsid w:val="003B6DC4"/>
    <w:rsid w:val="003B6E1F"/>
    <w:rsid w:val="003B712F"/>
    <w:rsid w:val="003B7374"/>
    <w:rsid w:val="003B778F"/>
    <w:rsid w:val="003C0620"/>
    <w:rsid w:val="003C0EF8"/>
    <w:rsid w:val="003C1C98"/>
    <w:rsid w:val="003C1F06"/>
    <w:rsid w:val="003C1FDA"/>
    <w:rsid w:val="003C201F"/>
    <w:rsid w:val="003C2066"/>
    <w:rsid w:val="003C23E6"/>
    <w:rsid w:val="003C24F0"/>
    <w:rsid w:val="003C2915"/>
    <w:rsid w:val="003C2F34"/>
    <w:rsid w:val="003C3298"/>
    <w:rsid w:val="003C330B"/>
    <w:rsid w:val="003C34D7"/>
    <w:rsid w:val="003C3561"/>
    <w:rsid w:val="003C36E9"/>
    <w:rsid w:val="003C39C3"/>
    <w:rsid w:val="003C3B80"/>
    <w:rsid w:val="003C3EB0"/>
    <w:rsid w:val="003C3FDE"/>
    <w:rsid w:val="003C40BE"/>
    <w:rsid w:val="003C433A"/>
    <w:rsid w:val="003C44C4"/>
    <w:rsid w:val="003C44E2"/>
    <w:rsid w:val="003C4629"/>
    <w:rsid w:val="003C48FC"/>
    <w:rsid w:val="003C4BB5"/>
    <w:rsid w:val="003C5139"/>
    <w:rsid w:val="003C527D"/>
    <w:rsid w:val="003C537F"/>
    <w:rsid w:val="003C64CE"/>
    <w:rsid w:val="003C66EA"/>
    <w:rsid w:val="003C675A"/>
    <w:rsid w:val="003C68DD"/>
    <w:rsid w:val="003C6968"/>
    <w:rsid w:val="003C6D52"/>
    <w:rsid w:val="003C6E50"/>
    <w:rsid w:val="003C7171"/>
    <w:rsid w:val="003C71E7"/>
    <w:rsid w:val="003C7909"/>
    <w:rsid w:val="003D0240"/>
    <w:rsid w:val="003D0370"/>
    <w:rsid w:val="003D0495"/>
    <w:rsid w:val="003D0A0D"/>
    <w:rsid w:val="003D121C"/>
    <w:rsid w:val="003D1699"/>
    <w:rsid w:val="003D1F03"/>
    <w:rsid w:val="003D21D4"/>
    <w:rsid w:val="003D2298"/>
    <w:rsid w:val="003D2357"/>
    <w:rsid w:val="003D2D35"/>
    <w:rsid w:val="003D2E2A"/>
    <w:rsid w:val="003D31DE"/>
    <w:rsid w:val="003D3EC8"/>
    <w:rsid w:val="003D4247"/>
    <w:rsid w:val="003D435C"/>
    <w:rsid w:val="003D4547"/>
    <w:rsid w:val="003D4674"/>
    <w:rsid w:val="003D48BC"/>
    <w:rsid w:val="003D4970"/>
    <w:rsid w:val="003D4C2D"/>
    <w:rsid w:val="003D4CAB"/>
    <w:rsid w:val="003D56CA"/>
    <w:rsid w:val="003D5A1B"/>
    <w:rsid w:val="003D6153"/>
    <w:rsid w:val="003D626E"/>
    <w:rsid w:val="003D6308"/>
    <w:rsid w:val="003D6DB6"/>
    <w:rsid w:val="003D76F2"/>
    <w:rsid w:val="003E0193"/>
    <w:rsid w:val="003E02A9"/>
    <w:rsid w:val="003E0635"/>
    <w:rsid w:val="003E087B"/>
    <w:rsid w:val="003E12C4"/>
    <w:rsid w:val="003E1303"/>
    <w:rsid w:val="003E1399"/>
    <w:rsid w:val="003E13C5"/>
    <w:rsid w:val="003E1E2E"/>
    <w:rsid w:val="003E2384"/>
    <w:rsid w:val="003E2463"/>
    <w:rsid w:val="003E24C0"/>
    <w:rsid w:val="003E25EE"/>
    <w:rsid w:val="003E28AA"/>
    <w:rsid w:val="003E2A69"/>
    <w:rsid w:val="003E3341"/>
    <w:rsid w:val="003E355D"/>
    <w:rsid w:val="003E3835"/>
    <w:rsid w:val="003E3B41"/>
    <w:rsid w:val="003E3BA9"/>
    <w:rsid w:val="003E3BC4"/>
    <w:rsid w:val="003E3DD1"/>
    <w:rsid w:val="003E3FD5"/>
    <w:rsid w:val="003E4329"/>
    <w:rsid w:val="003E4976"/>
    <w:rsid w:val="003E4C7C"/>
    <w:rsid w:val="003E5099"/>
    <w:rsid w:val="003E5986"/>
    <w:rsid w:val="003E5C41"/>
    <w:rsid w:val="003E5D14"/>
    <w:rsid w:val="003E646A"/>
    <w:rsid w:val="003E6ADE"/>
    <w:rsid w:val="003E7A0D"/>
    <w:rsid w:val="003E7BA0"/>
    <w:rsid w:val="003E7DB6"/>
    <w:rsid w:val="003F051B"/>
    <w:rsid w:val="003F0598"/>
    <w:rsid w:val="003F08AF"/>
    <w:rsid w:val="003F0D94"/>
    <w:rsid w:val="003F0E92"/>
    <w:rsid w:val="003F1127"/>
    <w:rsid w:val="003F113F"/>
    <w:rsid w:val="003F1326"/>
    <w:rsid w:val="003F1B71"/>
    <w:rsid w:val="003F1DFA"/>
    <w:rsid w:val="003F1F89"/>
    <w:rsid w:val="003F2494"/>
    <w:rsid w:val="003F29CE"/>
    <w:rsid w:val="003F2D54"/>
    <w:rsid w:val="003F2FA3"/>
    <w:rsid w:val="003F302A"/>
    <w:rsid w:val="003F3587"/>
    <w:rsid w:val="003F3D03"/>
    <w:rsid w:val="003F3FAD"/>
    <w:rsid w:val="003F4427"/>
    <w:rsid w:val="003F4519"/>
    <w:rsid w:val="003F459D"/>
    <w:rsid w:val="003F48CD"/>
    <w:rsid w:val="003F4D0D"/>
    <w:rsid w:val="003F4D37"/>
    <w:rsid w:val="003F5334"/>
    <w:rsid w:val="003F54AF"/>
    <w:rsid w:val="003F5641"/>
    <w:rsid w:val="003F5B9B"/>
    <w:rsid w:val="003F671E"/>
    <w:rsid w:val="003F68E8"/>
    <w:rsid w:val="003F70BF"/>
    <w:rsid w:val="003F7BF2"/>
    <w:rsid w:val="003F7D18"/>
    <w:rsid w:val="00400025"/>
    <w:rsid w:val="0040020F"/>
    <w:rsid w:val="0040022D"/>
    <w:rsid w:val="00400322"/>
    <w:rsid w:val="00400425"/>
    <w:rsid w:val="004007BD"/>
    <w:rsid w:val="00400839"/>
    <w:rsid w:val="004008AC"/>
    <w:rsid w:val="0040098A"/>
    <w:rsid w:val="00401D02"/>
    <w:rsid w:val="00401E84"/>
    <w:rsid w:val="0040208F"/>
    <w:rsid w:val="004029E0"/>
    <w:rsid w:val="00402F72"/>
    <w:rsid w:val="004030C8"/>
    <w:rsid w:val="00403240"/>
    <w:rsid w:val="004033F7"/>
    <w:rsid w:val="00403B7A"/>
    <w:rsid w:val="00403CC1"/>
    <w:rsid w:val="00403F38"/>
    <w:rsid w:val="004040B9"/>
    <w:rsid w:val="0040496B"/>
    <w:rsid w:val="004051C0"/>
    <w:rsid w:val="004053DE"/>
    <w:rsid w:val="00405663"/>
    <w:rsid w:val="00405919"/>
    <w:rsid w:val="00405BE6"/>
    <w:rsid w:val="004067AC"/>
    <w:rsid w:val="004068CD"/>
    <w:rsid w:val="00406C21"/>
    <w:rsid w:val="00406F1D"/>
    <w:rsid w:val="00407245"/>
    <w:rsid w:val="004072A0"/>
    <w:rsid w:val="00407DBD"/>
    <w:rsid w:val="004102CF"/>
    <w:rsid w:val="004106F9"/>
    <w:rsid w:val="00410944"/>
    <w:rsid w:val="004109F0"/>
    <w:rsid w:val="00410A51"/>
    <w:rsid w:val="00410C95"/>
    <w:rsid w:val="004111AB"/>
    <w:rsid w:val="0041134D"/>
    <w:rsid w:val="0041161C"/>
    <w:rsid w:val="00411675"/>
    <w:rsid w:val="004118EB"/>
    <w:rsid w:val="00411C18"/>
    <w:rsid w:val="00412457"/>
    <w:rsid w:val="00412514"/>
    <w:rsid w:val="0041264D"/>
    <w:rsid w:val="004127F3"/>
    <w:rsid w:val="00413671"/>
    <w:rsid w:val="00413813"/>
    <w:rsid w:val="00413BBC"/>
    <w:rsid w:val="00413E81"/>
    <w:rsid w:val="00413FCF"/>
    <w:rsid w:val="0041422F"/>
    <w:rsid w:val="0041447F"/>
    <w:rsid w:val="00414824"/>
    <w:rsid w:val="00415195"/>
    <w:rsid w:val="00415325"/>
    <w:rsid w:val="00415719"/>
    <w:rsid w:val="004157CA"/>
    <w:rsid w:val="00415E5F"/>
    <w:rsid w:val="004161B9"/>
    <w:rsid w:val="004164C9"/>
    <w:rsid w:val="00416782"/>
    <w:rsid w:val="004169D3"/>
    <w:rsid w:val="00416BE5"/>
    <w:rsid w:val="00417044"/>
    <w:rsid w:val="00417600"/>
    <w:rsid w:val="00417745"/>
    <w:rsid w:val="00417862"/>
    <w:rsid w:val="0041795D"/>
    <w:rsid w:val="00417A1B"/>
    <w:rsid w:val="00417E74"/>
    <w:rsid w:val="0042030F"/>
    <w:rsid w:val="004209FD"/>
    <w:rsid w:val="00420A6A"/>
    <w:rsid w:val="0042109E"/>
    <w:rsid w:val="00421150"/>
    <w:rsid w:val="00421269"/>
    <w:rsid w:val="00421465"/>
    <w:rsid w:val="004216FC"/>
    <w:rsid w:val="00421708"/>
    <w:rsid w:val="004217CB"/>
    <w:rsid w:val="0042249A"/>
    <w:rsid w:val="0042259C"/>
    <w:rsid w:val="0042275B"/>
    <w:rsid w:val="00422CE3"/>
    <w:rsid w:val="0042305B"/>
    <w:rsid w:val="004230FE"/>
    <w:rsid w:val="00423696"/>
    <w:rsid w:val="00423F05"/>
    <w:rsid w:val="004244FA"/>
    <w:rsid w:val="00424A42"/>
    <w:rsid w:val="00424DD9"/>
    <w:rsid w:val="00425121"/>
    <w:rsid w:val="00425715"/>
    <w:rsid w:val="00425806"/>
    <w:rsid w:val="00425BEB"/>
    <w:rsid w:val="00425BFE"/>
    <w:rsid w:val="00425C98"/>
    <w:rsid w:val="004260B4"/>
    <w:rsid w:val="004268A0"/>
    <w:rsid w:val="00426B14"/>
    <w:rsid w:val="00426D65"/>
    <w:rsid w:val="00426DB7"/>
    <w:rsid w:val="00426DEE"/>
    <w:rsid w:val="004272F5"/>
    <w:rsid w:val="00427340"/>
    <w:rsid w:val="00427512"/>
    <w:rsid w:val="0042772F"/>
    <w:rsid w:val="00427C66"/>
    <w:rsid w:val="00427DEB"/>
    <w:rsid w:val="00427F3B"/>
    <w:rsid w:val="00427FAF"/>
    <w:rsid w:val="00427FE8"/>
    <w:rsid w:val="00430197"/>
    <w:rsid w:val="00430281"/>
    <w:rsid w:val="0043060E"/>
    <w:rsid w:val="00430997"/>
    <w:rsid w:val="00430D62"/>
    <w:rsid w:val="0043133A"/>
    <w:rsid w:val="00431EA0"/>
    <w:rsid w:val="004331B0"/>
    <w:rsid w:val="00433378"/>
    <w:rsid w:val="004334AF"/>
    <w:rsid w:val="004337F9"/>
    <w:rsid w:val="00433C21"/>
    <w:rsid w:val="00433D3A"/>
    <w:rsid w:val="00434155"/>
    <w:rsid w:val="00434EE7"/>
    <w:rsid w:val="0043593B"/>
    <w:rsid w:val="004361CA"/>
    <w:rsid w:val="00436537"/>
    <w:rsid w:val="00436590"/>
    <w:rsid w:val="00436A14"/>
    <w:rsid w:val="00436A47"/>
    <w:rsid w:val="00436A5C"/>
    <w:rsid w:val="00436AE3"/>
    <w:rsid w:val="00436F09"/>
    <w:rsid w:val="004374AF"/>
    <w:rsid w:val="00437643"/>
    <w:rsid w:val="004377BD"/>
    <w:rsid w:val="00437A86"/>
    <w:rsid w:val="00437F7A"/>
    <w:rsid w:val="00440830"/>
    <w:rsid w:val="004408F9"/>
    <w:rsid w:val="00440DF3"/>
    <w:rsid w:val="00440FF9"/>
    <w:rsid w:val="004410F7"/>
    <w:rsid w:val="00441353"/>
    <w:rsid w:val="00441563"/>
    <w:rsid w:val="004418C3"/>
    <w:rsid w:val="0044193A"/>
    <w:rsid w:val="0044199B"/>
    <w:rsid w:val="00441D92"/>
    <w:rsid w:val="00441FA2"/>
    <w:rsid w:val="00442F57"/>
    <w:rsid w:val="00442F86"/>
    <w:rsid w:val="00442F9E"/>
    <w:rsid w:val="004433C7"/>
    <w:rsid w:val="004434C7"/>
    <w:rsid w:val="004436A2"/>
    <w:rsid w:val="00443CB9"/>
    <w:rsid w:val="00443DAE"/>
    <w:rsid w:val="00443F27"/>
    <w:rsid w:val="00444131"/>
    <w:rsid w:val="00444231"/>
    <w:rsid w:val="0044544F"/>
    <w:rsid w:val="00445BBA"/>
    <w:rsid w:val="0044609C"/>
    <w:rsid w:val="004460A0"/>
    <w:rsid w:val="004467D6"/>
    <w:rsid w:val="00446BF8"/>
    <w:rsid w:val="00446D4E"/>
    <w:rsid w:val="00446DBF"/>
    <w:rsid w:val="00446F9D"/>
    <w:rsid w:val="004474A6"/>
    <w:rsid w:val="0044765A"/>
    <w:rsid w:val="00447696"/>
    <w:rsid w:val="00447ACC"/>
    <w:rsid w:val="00447E8A"/>
    <w:rsid w:val="004504B7"/>
    <w:rsid w:val="004507B8"/>
    <w:rsid w:val="00450972"/>
    <w:rsid w:val="00450B4C"/>
    <w:rsid w:val="004512E4"/>
    <w:rsid w:val="004512F4"/>
    <w:rsid w:val="00451329"/>
    <w:rsid w:val="0045134D"/>
    <w:rsid w:val="004517FD"/>
    <w:rsid w:val="00451829"/>
    <w:rsid w:val="00451899"/>
    <w:rsid w:val="0045291B"/>
    <w:rsid w:val="00452CE9"/>
    <w:rsid w:val="00452EEE"/>
    <w:rsid w:val="004533DA"/>
    <w:rsid w:val="00453B14"/>
    <w:rsid w:val="00453B88"/>
    <w:rsid w:val="00453C27"/>
    <w:rsid w:val="00453FEF"/>
    <w:rsid w:val="004541E5"/>
    <w:rsid w:val="00454A1F"/>
    <w:rsid w:val="00455A62"/>
    <w:rsid w:val="00456176"/>
    <w:rsid w:val="0045620B"/>
    <w:rsid w:val="00456669"/>
    <w:rsid w:val="00456A0C"/>
    <w:rsid w:val="00456E69"/>
    <w:rsid w:val="004575E6"/>
    <w:rsid w:val="004576A1"/>
    <w:rsid w:val="00457925"/>
    <w:rsid w:val="004604CB"/>
    <w:rsid w:val="0046068F"/>
    <w:rsid w:val="00460D93"/>
    <w:rsid w:val="00460DF9"/>
    <w:rsid w:val="00460E7F"/>
    <w:rsid w:val="00460FAC"/>
    <w:rsid w:val="0046122A"/>
    <w:rsid w:val="0046129C"/>
    <w:rsid w:val="004615B6"/>
    <w:rsid w:val="00461744"/>
    <w:rsid w:val="00461C22"/>
    <w:rsid w:val="00461E1C"/>
    <w:rsid w:val="0046231F"/>
    <w:rsid w:val="00462FAE"/>
    <w:rsid w:val="00463041"/>
    <w:rsid w:val="0046330B"/>
    <w:rsid w:val="0046334B"/>
    <w:rsid w:val="004633A7"/>
    <w:rsid w:val="00463A33"/>
    <w:rsid w:val="00463A48"/>
    <w:rsid w:val="00463B0F"/>
    <w:rsid w:val="00463BB9"/>
    <w:rsid w:val="004647E9"/>
    <w:rsid w:val="00464806"/>
    <w:rsid w:val="0046509A"/>
    <w:rsid w:val="00465769"/>
    <w:rsid w:val="00465BBA"/>
    <w:rsid w:val="00465C7E"/>
    <w:rsid w:val="00465D12"/>
    <w:rsid w:val="004661F0"/>
    <w:rsid w:val="00466375"/>
    <w:rsid w:val="0046655C"/>
    <w:rsid w:val="004667BF"/>
    <w:rsid w:val="00466ACB"/>
    <w:rsid w:val="00466FD4"/>
    <w:rsid w:val="0046797A"/>
    <w:rsid w:val="00467CAB"/>
    <w:rsid w:val="00467F5D"/>
    <w:rsid w:val="004700A8"/>
    <w:rsid w:val="00470695"/>
    <w:rsid w:val="004706B4"/>
    <w:rsid w:val="0047074D"/>
    <w:rsid w:val="00470A92"/>
    <w:rsid w:val="00470C7F"/>
    <w:rsid w:val="004714E7"/>
    <w:rsid w:val="004717B0"/>
    <w:rsid w:val="00471C20"/>
    <w:rsid w:val="00471DDA"/>
    <w:rsid w:val="00471EE8"/>
    <w:rsid w:val="00471EFB"/>
    <w:rsid w:val="0047211B"/>
    <w:rsid w:val="004722D5"/>
    <w:rsid w:val="00472660"/>
    <w:rsid w:val="00472741"/>
    <w:rsid w:val="00472ABB"/>
    <w:rsid w:val="0047311A"/>
    <w:rsid w:val="0047321A"/>
    <w:rsid w:val="004734D2"/>
    <w:rsid w:val="004735FC"/>
    <w:rsid w:val="00473764"/>
    <w:rsid w:val="00473BEB"/>
    <w:rsid w:val="0047412A"/>
    <w:rsid w:val="00474671"/>
    <w:rsid w:val="004748DA"/>
    <w:rsid w:val="0047497F"/>
    <w:rsid w:val="00474FEC"/>
    <w:rsid w:val="0047534E"/>
    <w:rsid w:val="00475358"/>
    <w:rsid w:val="004758C4"/>
    <w:rsid w:val="004758E0"/>
    <w:rsid w:val="004758E9"/>
    <w:rsid w:val="00475EFE"/>
    <w:rsid w:val="004765EF"/>
    <w:rsid w:val="00476970"/>
    <w:rsid w:val="004769A1"/>
    <w:rsid w:val="00476E99"/>
    <w:rsid w:val="004770BF"/>
    <w:rsid w:val="0047730A"/>
    <w:rsid w:val="004776D4"/>
    <w:rsid w:val="004776FE"/>
    <w:rsid w:val="00477884"/>
    <w:rsid w:val="0047796B"/>
    <w:rsid w:val="00477B5B"/>
    <w:rsid w:val="0048019C"/>
    <w:rsid w:val="00480275"/>
    <w:rsid w:val="00480399"/>
    <w:rsid w:val="00480544"/>
    <w:rsid w:val="00480603"/>
    <w:rsid w:val="0048089E"/>
    <w:rsid w:val="004809C4"/>
    <w:rsid w:val="00480DE7"/>
    <w:rsid w:val="004811D0"/>
    <w:rsid w:val="00481401"/>
    <w:rsid w:val="00481A3E"/>
    <w:rsid w:val="004826AD"/>
    <w:rsid w:val="00482E9D"/>
    <w:rsid w:val="00482F84"/>
    <w:rsid w:val="0048312C"/>
    <w:rsid w:val="0048356D"/>
    <w:rsid w:val="00483741"/>
    <w:rsid w:val="004838FC"/>
    <w:rsid w:val="00483B77"/>
    <w:rsid w:val="00483EDC"/>
    <w:rsid w:val="00484097"/>
    <w:rsid w:val="00484B90"/>
    <w:rsid w:val="00484DA9"/>
    <w:rsid w:val="0048615A"/>
    <w:rsid w:val="004861D9"/>
    <w:rsid w:val="00486872"/>
    <w:rsid w:val="0048688E"/>
    <w:rsid w:val="00486B06"/>
    <w:rsid w:val="00486DF1"/>
    <w:rsid w:val="00486EFD"/>
    <w:rsid w:val="00487080"/>
    <w:rsid w:val="004879ED"/>
    <w:rsid w:val="00487B4D"/>
    <w:rsid w:val="00487EF5"/>
    <w:rsid w:val="0049016E"/>
    <w:rsid w:val="0049025C"/>
    <w:rsid w:val="00490626"/>
    <w:rsid w:val="00490919"/>
    <w:rsid w:val="00490A38"/>
    <w:rsid w:val="00490F81"/>
    <w:rsid w:val="00491057"/>
    <w:rsid w:val="0049129E"/>
    <w:rsid w:val="004912F0"/>
    <w:rsid w:val="00491857"/>
    <w:rsid w:val="00491AEB"/>
    <w:rsid w:val="00491DD7"/>
    <w:rsid w:val="00491E8E"/>
    <w:rsid w:val="004922A3"/>
    <w:rsid w:val="00492776"/>
    <w:rsid w:val="004927D2"/>
    <w:rsid w:val="0049294A"/>
    <w:rsid w:val="00492A2C"/>
    <w:rsid w:val="00492BEA"/>
    <w:rsid w:val="00492CF9"/>
    <w:rsid w:val="00492DF8"/>
    <w:rsid w:val="00492E33"/>
    <w:rsid w:val="00492F54"/>
    <w:rsid w:val="004930CA"/>
    <w:rsid w:val="0049346D"/>
    <w:rsid w:val="004934BE"/>
    <w:rsid w:val="00493519"/>
    <w:rsid w:val="00493728"/>
    <w:rsid w:val="00493AA2"/>
    <w:rsid w:val="00493DC4"/>
    <w:rsid w:val="00493DDF"/>
    <w:rsid w:val="004941C0"/>
    <w:rsid w:val="004949E4"/>
    <w:rsid w:val="00494F2F"/>
    <w:rsid w:val="00494F80"/>
    <w:rsid w:val="00494FFF"/>
    <w:rsid w:val="004950F8"/>
    <w:rsid w:val="00495280"/>
    <w:rsid w:val="004958D2"/>
    <w:rsid w:val="004958E7"/>
    <w:rsid w:val="004959E2"/>
    <w:rsid w:val="00495A00"/>
    <w:rsid w:val="00495A9D"/>
    <w:rsid w:val="00495CEA"/>
    <w:rsid w:val="00496360"/>
    <w:rsid w:val="00496B1F"/>
    <w:rsid w:val="004975E8"/>
    <w:rsid w:val="0049765A"/>
    <w:rsid w:val="00497F38"/>
    <w:rsid w:val="00497FC4"/>
    <w:rsid w:val="004A0259"/>
    <w:rsid w:val="004A0488"/>
    <w:rsid w:val="004A083B"/>
    <w:rsid w:val="004A0BF1"/>
    <w:rsid w:val="004A144A"/>
    <w:rsid w:val="004A1631"/>
    <w:rsid w:val="004A18C1"/>
    <w:rsid w:val="004A207F"/>
    <w:rsid w:val="004A21EA"/>
    <w:rsid w:val="004A2448"/>
    <w:rsid w:val="004A25D5"/>
    <w:rsid w:val="004A28FD"/>
    <w:rsid w:val="004A2F5F"/>
    <w:rsid w:val="004A3257"/>
    <w:rsid w:val="004A35EE"/>
    <w:rsid w:val="004A3DCE"/>
    <w:rsid w:val="004A4993"/>
    <w:rsid w:val="004A4ABB"/>
    <w:rsid w:val="004A4C50"/>
    <w:rsid w:val="004A4D76"/>
    <w:rsid w:val="004A4ED9"/>
    <w:rsid w:val="004A5B91"/>
    <w:rsid w:val="004A5C2D"/>
    <w:rsid w:val="004A5CAC"/>
    <w:rsid w:val="004A617B"/>
    <w:rsid w:val="004A6577"/>
    <w:rsid w:val="004A6849"/>
    <w:rsid w:val="004A6DAF"/>
    <w:rsid w:val="004A6F85"/>
    <w:rsid w:val="004A782F"/>
    <w:rsid w:val="004A7D8D"/>
    <w:rsid w:val="004A7F3D"/>
    <w:rsid w:val="004B0BD1"/>
    <w:rsid w:val="004B0C1D"/>
    <w:rsid w:val="004B0DF7"/>
    <w:rsid w:val="004B10CE"/>
    <w:rsid w:val="004B12FA"/>
    <w:rsid w:val="004B13D0"/>
    <w:rsid w:val="004B15CB"/>
    <w:rsid w:val="004B1B86"/>
    <w:rsid w:val="004B1BCC"/>
    <w:rsid w:val="004B1E09"/>
    <w:rsid w:val="004B1E9A"/>
    <w:rsid w:val="004B1E9B"/>
    <w:rsid w:val="004B2003"/>
    <w:rsid w:val="004B2315"/>
    <w:rsid w:val="004B2460"/>
    <w:rsid w:val="004B298A"/>
    <w:rsid w:val="004B29E4"/>
    <w:rsid w:val="004B2BD9"/>
    <w:rsid w:val="004B2CE8"/>
    <w:rsid w:val="004B31EE"/>
    <w:rsid w:val="004B3302"/>
    <w:rsid w:val="004B3405"/>
    <w:rsid w:val="004B3C9D"/>
    <w:rsid w:val="004B3DA1"/>
    <w:rsid w:val="004B4294"/>
    <w:rsid w:val="004B450B"/>
    <w:rsid w:val="004B4C4D"/>
    <w:rsid w:val="004B502E"/>
    <w:rsid w:val="004B5275"/>
    <w:rsid w:val="004B54EC"/>
    <w:rsid w:val="004B5643"/>
    <w:rsid w:val="004B5940"/>
    <w:rsid w:val="004B5BCE"/>
    <w:rsid w:val="004B5E35"/>
    <w:rsid w:val="004B5F92"/>
    <w:rsid w:val="004B614D"/>
    <w:rsid w:val="004B63F2"/>
    <w:rsid w:val="004B6502"/>
    <w:rsid w:val="004B65D4"/>
    <w:rsid w:val="004B68B4"/>
    <w:rsid w:val="004B6F52"/>
    <w:rsid w:val="004B738D"/>
    <w:rsid w:val="004B75F3"/>
    <w:rsid w:val="004B79F3"/>
    <w:rsid w:val="004C0048"/>
    <w:rsid w:val="004C0334"/>
    <w:rsid w:val="004C03E8"/>
    <w:rsid w:val="004C0840"/>
    <w:rsid w:val="004C0D51"/>
    <w:rsid w:val="004C0F25"/>
    <w:rsid w:val="004C0FE6"/>
    <w:rsid w:val="004C159D"/>
    <w:rsid w:val="004C1ED3"/>
    <w:rsid w:val="004C20D0"/>
    <w:rsid w:val="004C2183"/>
    <w:rsid w:val="004C2278"/>
    <w:rsid w:val="004C256C"/>
    <w:rsid w:val="004C257B"/>
    <w:rsid w:val="004C25C9"/>
    <w:rsid w:val="004C25F7"/>
    <w:rsid w:val="004C2871"/>
    <w:rsid w:val="004C28FA"/>
    <w:rsid w:val="004C2B85"/>
    <w:rsid w:val="004C3103"/>
    <w:rsid w:val="004C31FE"/>
    <w:rsid w:val="004C37F3"/>
    <w:rsid w:val="004C3A35"/>
    <w:rsid w:val="004C3A5F"/>
    <w:rsid w:val="004C40A2"/>
    <w:rsid w:val="004C41A6"/>
    <w:rsid w:val="004C4523"/>
    <w:rsid w:val="004C468F"/>
    <w:rsid w:val="004C4F1B"/>
    <w:rsid w:val="004C5389"/>
    <w:rsid w:val="004C6100"/>
    <w:rsid w:val="004C66D9"/>
    <w:rsid w:val="004C66E6"/>
    <w:rsid w:val="004C709D"/>
    <w:rsid w:val="004C7214"/>
    <w:rsid w:val="004C75E4"/>
    <w:rsid w:val="004C7BCC"/>
    <w:rsid w:val="004C7CD6"/>
    <w:rsid w:val="004D0C73"/>
    <w:rsid w:val="004D17FC"/>
    <w:rsid w:val="004D1830"/>
    <w:rsid w:val="004D1B1E"/>
    <w:rsid w:val="004D1C68"/>
    <w:rsid w:val="004D2039"/>
    <w:rsid w:val="004D2397"/>
    <w:rsid w:val="004D2D35"/>
    <w:rsid w:val="004D2FE4"/>
    <w:rsid w:val="004D3758"/>
    <w:rsid w:val="004D376D"/>
    <w:rsid w:val="004D381A"/>
    <w:rsid w:val="004D3C19"/>
    <w:rsid w:val="004D404B"/>
    <w:rsid w:val="004D40DB"/>
    <w:rsid w:val="004D41FF"/>
    <w:rsid w:val="004D4285"/>
    <w:rsid w:val="004D4AFC"/>
    <w:rsid w:val="004D5722"/>
    <w:rsid w:val="004D5E9E"/>
    <w:rsid w:val="004D5F2F"/>
    <w:rsid w:val="004D611E"/>
    <w:rsid w:val="004D64CE"/>
    <w:rsid w:val="004D64D9"/>
    <w:rsid w:val="004D6506"/>
    <w:rsid w:val="004D68DB"/>
    <w:rsid w:val="004D692C"/>
    <w:rsid w:val="004D6AC2"/>
    <w:rsid w:val="004D762C"/>
    <w:rsid w:val="004D79A5"/>
    <w:rsid w:val="004D7CB6"/>
    <w:rsid w:val="004D7E3A"/>
    <w:rsid w:val="004D7F98"/>
    <w:rsid w:val="004E0564"/>
    <w:rsid w:val="004E08DC"/>
    <w:rsid w:val="004E162B"/>
    <w:rsid w:val="004E1671"/>
    <w:rsid w:val="004E1786"/>
    <w:rsid w:val="004E1997"/>
    <w:rsid w:val="004E1BC9"/>
    <w:rsid w:val="004E20D6"/>
    <w:rsid w:val="004E2184"/>
    <w:rsid w:val="004E2498"/>
    <w:rsid w:val="004E25D9"/>
    <w:rsid w:val="004E28CD"/>
    <w:rsid w:val="004E2ADC"/>
    <w:rsid w:val="004E316C"/>
    <w:rsid w:val="004E31BB"/>
    <w:rsid w:val="004E33A9"/>
    <w:rsid w:val="004E34ED"/>
    <w:rsid w:val="004E34FF"/>
    <w:rsid w:val="004E353E"/>
    <w:rsid w:val="004E3734"/>
    <w:rsid w:val="004E382F"/>
    <w:rsid w:val="004E39B2"/>
    <w:rsid w:val="004E3A4B"/>
    <w:rsid w:val="004E3B9F"/>
    <w:rsid w:val="004E4329"/>
    <w:rsid w:val="004E460B"/>
    <w:rsid w:val="004E46C4"/>
    <w:rsid w:val="004E4A3A"/>
    <w:rsid w:val="004E4DFA"/>
    <w:rsid w:val="004E505D"/>
    <w:rsid w:val="004E5D3C"/>
    <w:rsid w:val="004E5E40"/>
    <w:rsid w:val="004E5F9F"/>
    <w:rsid w:val="004E6158"/>
    <w:rsid w:val="004E62AC"/>
    <w:rsid w:val="004E64DB"/>
    <w:rsid w:val="004E6507"/>
    <w:rsid w:val="004E66BA"/>
    <w:rsid w:val="004E6C60"/>
    <w:rsid w:val="004E6D17"/>
    <w:rsid w:val="004E6EEB"/>
    <w:rsid w:val="004E7187"/>
    <w:rsid w:val="004E7A19"/>
    <w:rsid w:val="004E7BC7"/>
    <w:rsid w:val="004F0090"/>
    <w:rsid w:val="004F00BF"/>
    <w:rsid w:val="004F053B"/>
    <w:rsid w:val="004F066B"/>
    <w:rsid w:val="004F089F"/>
    <w:rsid w:val="004F08D8"/>
    <w:rsid w:val="004F0AD2"/>
    <w:rsid w:val="004F0B8E"/>
    <w:rsid w:val="004F0D71"/>
    <w:rsid w:val="004F0D88"/>
    <w:rsid w:val="004F1258"/>
    <w:rsid w:val="004F127D"/>
    <w:rsid w:val="004F1D0D"/>
    <w:rsid w:val="004F1E11"/>
    <w:rsid w:val="004F1EE3"/>
    <w:rsid w:val="004F2505"/>
    <w:rsid w:val="004F2DF4"/>
    <w:rsid w:val="004F2F80"/>
    <w:rsid w:val="004F31A7"/>
    <w:rsid w:val="004F331C"/>
    <w:rsid w:val="004F366B"/>
    <w:rsid w:val="004F3F5F"/>
    <w:rsid w:val="004F44F7"/>
    <w:rsid w:val="004F4BEF"/>
    <w:rsid w:val="004F4C96"/>
    <w:rsid w:val="004F5162"/>
    <w:rsid w:val="004F5282"/>
    <w:rsid w:val="004F56E7"/>
    <w:rsid w:val="004F5F1C"/>
    <w:rsid w:val="004F5F69"/>
    <w:rsid w:val="004F6136"/>
    <w:rsid w:val="004F61BA"/>
    <w:rsid w:val="004F645D"/>
    <w:rsid w:val="004F6698"/>
    <w:rsid w:val="004F7717"/>
    <w:rsid w:val="004F7C19"/>
    <w:rsid w:val="004F7EEE"/>
    <w:rsid w:val="0050057D"/>
    <w:rsid w:val="00500A4A"/>
    <w:rsid w:val="00501046"/>
    <w:rsid w:val="00501471"/>
    <w:rsid w:val="0050161E"/>
    <w:rsid w:val="00501629"/>
    <w:rsid w:val="00501AC2"/>
    <w:rsid w:val="00501BE2"/>
    <w:rsid w:val="00501D72"/>
    <w:rsid w:val="005020AB"/>
    <w:rsid w:val="00502358"/>
    <w:rsid w:val="0050240B"/>
    <w:rsid w:val="005024F5"/>
    <w:rsid w:val="005024F8"/>
    <w:rsid w:val="00502551"/>
    <w:rsid w:val="005026CD"/>
    <w:rsid w:val="00502932"/>
    <w:rsid w:val="0050300F"/>
    <w:rsid w:val="00503299"/>
    <w:rsid w:val="005034C5"/>
    <w:rsid w:val="0050374E"/>
    <w:rsid w:val="0050386F"/>
    <w:rsid w:val="00503B39"/>
    <w:rsid w:val="00503CB4"/>
    <w:rsid w:val="00504338"/>
    <w:rsid w:val="005045E0"/>
    <w:rsid w:val="0050466E"/>
    <w:rsid w:val="0050474F"/>
    <w:rsid w:val="00504AF7"/>
    <w:rsid w:val="00504BB4"/>
    <w:rsid w:val="005052D0"/>
    <w:rsid w:val="00505509"/>
    <w:rsid w:val="0050563F"/>
    <w:rsid w:val="0050572A"/>
    <w:rsid w:val="0050647A"/>
    <w:rsid w:val="00506932"/>
    <w:rsid w:val="00506A29"/>
    <w:rsid w:val="00506B95"/>
    <w:rsid w:val="00506C92"/>
    <w:rsid w:val="00506CEF"/>
    <w:rsid w:val="00506E42"/>
    <w:rsid w:val="00507496"/>
    <w:rsid w:val="0050769F"/>
    <w:rsid w:val="00507D84"/>
    <w:rsid w:val="00507F07"/>
    <w:rsid w:val="0051001D"/>
    <w:rsid w:val="00510074"/>
    <w:rsid w:val="00510527"/>
    <w:rsid w:val="0051098F"/>
    <w:rsid w:val="00510F42"/>
    <w:rsid w:val="005112B3"/>
    <w:rsid w:val="00511347"/>
    <w:rsid w:val="0051146B"/>
    <w:rsid w:val="0051160E"/>
    <w:rsid w:val="0051165C"/>
    <w:rsid w:val="005117E5"/>
    <w:rsid w:val="00511F18"/>
    <w:rsid w:val="00512216"/>
    <w:rsid w:val="0051253F"/>
    <w:rsid w:val="005128A5"/>
    <w:rsid w:val="00512B97"/>
    <w:rsid w:val="00512DEA"/>
    <w:rsid w:val="0051318A"/>
    <w:rsid w:val="005131AE"/>
    <w:rsid w:val="00513C3E"/>
    <w:rsid w:val="00513D3C"/>
    <w:rsid w:val="0051489A"/>
    <w:rsid w:val="00514C5A"/>
    <w:rsid w:val="00514CE3"/>
    <w:rsid w:val="00514D95"/>
    <w:rsid w:val="00514E54"/>
    <w:rsid w:val="005151F8"/>
    <w:rsid w:val="00515584"/>
    <w:rsid w:val="00515E46"/>
    <w:rsid w:val="005161DE"/>
    <w:rsid w:val="00517040"/>
    <w:rsid w:val="005173FD"/>
    <w:rsid w:val="0051772D"/>
    <w:rsid w:val="0051791E"/>
    <w:rsid w:val="00517DFE"/>
    <w:rsid w:val="005207D2"/>
    <w:rsid w:val="00520EBA"/>
    <w:rsid w:val="0052157B"/>
    <w:rsid w:val="00521E2F"/>
    <w:rsid w:val="00522368"/>
    <w:rsid w:val="00522787"/>
    <w:rsid w:val="00522A67"/>
    <w:rsid w:val="00522B38"/>
    <w:rsid w:val="00522EB7"/>
    <w:rsid w:val="00522F64"/>
    <w:rsid w:val="0052308A"/>
    <w:rsid w:val="0052364E"/>
    <w:rsid w:val="005240B7"/>
    <w:rsid w:val="005240DB"/>
    <w:rsid w:val="00524232"/>
    <w:rsid w:val="00524412"/>
    <w:rsid w:val="00524B45"/>
    <w:rsid w:val="00524CA7"/>
    <w:rsid w:val="00524E33"/>
    <w:rsid w:val="00524E52"/>
    <w:rsid w:val="00524EA2"/>
    <w:rsid w:val="0052518C"/>
    <w:rsid w:val="00525394"/>
    <w:rsid w:val="005256BE"/>
    <w:rsid w:val="00525711"/>
    <w:rsid w:val="00525D1F"/>
    <w:rsid w:val="00525F82"/>
    <w:rsid w:val="005260C1"/>
    <w:rsid w:val="00526225"/>
    <w:rsid w:val="00526431"/>
    <w:rsid w:val="005264F5"/>
    <w:rsid w:val="00526939"/>
    <w:rsid w:val="005269B1"/>
    <w:rsid w:val="00526BED"/>
    <w:rsid w:val="00527004"/>
    <w:rsid w:val="0052724D"/>
    <w:rsid w:val="0053014B"/>
    <w:rsid w:val="00530645"/>
    <w:rsid w:val="00530B7F"/>
    <w:rsid w:val="00530D14"/>
    <w:rsid w:val="005310FA"/>
    <w:rsid w:val="005313EF"/>
    <w:rsid w:val="005314C1"/>
    <w:rsid w:val="00531700"/>
    <w:rsid w:val="00531B29"/>
    <w:rsid w:val="00532F40"/>
    <w:rsid w:val="005330B9"/>
    <w:rsid w:val="005333F4"/>
    <w:rsid w:val="005334C5"/>
    <w:rsid w:val="00533698"/>
    <w:rsid w:val="005336C2"/>
    <w:rsid w:val="00533DC6"/>
    <w:rsid w:val="00534699"/>
    <w:rsid w:val="005349D8"/>
    <w:rsid w:val="00534D91"/>
    <w:rsid w:val="00534D93"/>
    <w:rsid w:val="00534E8F"/>
    <w:rsid w:val="00535501"/>
    <w:rsid w:val="00535F7A"/>
    <w:rsid w:val="0053605E"/>
    <w:rsid w:val="005360D8"/>
    <w:rsid w:val="0053612D"/>
    <w:rsid w:val="00536E84"/>
    <w:rsid w:val="00536EEC"/>
    <w:rsid w:val="00537035"/>
    <w:rsid w:val="00537447"/>
    <w:rsid w:val="00537755"/>
    <w:rsid w:val="00537AA6"/>
    <w:rsid w:val="00537CEC"/>
    <w:rsid w:val="00537F3D"/>
    <w:rsid w:val="00540001"/>
    <w:rsid w:val="0054018C"/>
    <w:rsid w:val="0054021F"/>
    <w:rsid w:val="005404FA"/>
    <w:rsid w:val="00540BC1"/>
    <w:rsid w:val="0054112E"/>
    <w:rsid w:val="0054144A"/>
    <w:rsid w:val="005419A1"/>
    <w:rsid w:val="00541B34"/>
    <w:rsid w:val="00541E75"/>
    <w:rsid w:val="00542042"/>
    <w:rsid w:val="005420F7"/>
    <w:rsid w:val="005422B2"/>
    <w:rsid w:val="00542312"/>
    <w:rsid w:val="0054265F"/>
    <w:rsid w:val="00542CE8"/>
    <w:rsid w:val="00542E85"/>
    <w:rsid w:val="005431F7"/>
    <w:rsid w:val="005431FA"/>
    <w:rsid w:val="005433DD"/>
    <w:rsid w:val="00544164"/>
    <w:rsid w:val="0054489D"/>
    <w:rsid w:val="00544991"/>
    <w:rsid w:val="005449B0"/>
    <w:rsid w:val="00544A80"/>
    <w:rsid w:val="00544ACD"/>
    <w:rsid w:val="00544E40"/>
    <w:rsid w:val="005450B0"/>
    <w:rsid w:val="00545130"/>
    <w:rsid w:val="00545221"/>
    <w:rsid w:val="00545333"/>
    <w:rsid w:val="00545565"/>
    <w:rsid w:val="00545BAC"/>
    <w:rsid w:val="00545DAC"/>
    <w:rsid w:val="0054648E"/>
    <w:rsid w:val="00546B52"/>
    <w:rsid w:val="00546BFD"/>
    <w:rsid w:val="00546D03"/>
    <w:rsid w:val="0054707D"/>
    <w:rsid w:val="005472FA"/>
    <w:rsid w:val="0054797D"/>
    <w:rsid w:val="00547BEB"/>
    <w:rsid w:val="00547C45"/>
    <w:rsid w:val="00547CB5"/>
    <w:rsid w:val="00547F90"/>
    <w:rsid w:val="00547F97"/>
    <w:rsid w:val="0055071E"/>
    <w:rsid w:val="0055086F"/>
    <w:rsid w:val="005508F8"/>
    <w:rsid w:val="00550CE2"/>
    <w:rsid w:val="005514A3"/>
    <w:rsid w:val="00551634"/>
    <w:rsid w:val="005519FC"/>
    <w:rsid w:val="00551E01"/>
    <w:rsid w:val="0055293F"/>
    <w:rsid w:val="00552EFA"/>
    <w:rsid w:val="00552FAA"/>
    <w:rsid w:val="00553289"/>
    <w:rsid w:val="00553508"/>
    <w:rsid w:val="005535BB"/>
    <w:rsid w:val="00553B82"/>
    <w:rsid w:val="00553E43"/>
    <w:rsid w:val="005545EF"/>
    <w:rsid w:val="00554619"/>
    <w:rsid w:val="00554E5A"/>
    <w:rsid w:val="00554F9E"/>
    <w:rsid w:val="0055521F"/>
    <w:rsid w:val="00555578"/>
    <w:rsid w:val="005558B7"/>
    <w:rsid w:val="00555C51"/>
    <w:rsid w:val="00555D41"/>
    <w:rsid w:val="00555E36"/>
    <w:rsid w:val="00555F22"/>
    <w:rsid w:val="0055620D"/>
    <w:rsid w:val="00556602"/>
    <w:rsid w:val="00557442"/>
    <w:rsid w:val="00557869"/>
    <w:rsid w:val="00560D54"/>
    <w:rsid w:val="00561606"/>
    <w:rsid w:val="00561A1D"/>
    <w:rsid w:val="00561C80"/>
    <w:rsid w:val="00561E94"/>
    <w:rsid w:val="00561EDF"/>
    <w:rsid w:val="00561EEA"/>
    <w:rsid w:val="00562114"/>
    <w:rsid w:val="00562166"/>
    <w:rsid w:val="0056229B"/>
    <w:rsid w:val="005622DF"/>
    <w:rsid w:val="0056262C"/>
    <w:rsid w:val="00562BF5"/>
    <w:rsid w:val="00564117"/>
    <w:rsid w:val="00564372"/>
    <w:rsid w:val="005644F9"/>
    <w:rsid w:val="00564CF6"/>
    <w:rsid w:val="0056576E"/>
    <w:rsid w:val="00565CD0"/>
    <w:rsid w:val="00565E87"/>
    <w:rsid w:val="00565F2C"/>
    <w:rsid w:val="005663F4"/>
    <w:rsid w:val="00566997"/>
    <w:rsid w:val="00566FB3"/>
    <w:rsid w:val="005677ED"/>
    <w:rsid w:val="00567C9F"/>
    <w:rsid w:val="005701CC"/>
    <w:rsid w:val="005706F1"/>
    <w:rsid w:val="005708BC"/>
    <w:rsid w:val="005709FB"/>
    <w:rsid w:val="00570E01"/>
    <w:rsid w:val="00570E95"/>
    <w:rsid w:val="005711E1"/>
    <w:rsid w:val="00571BB8"/>
    <w:rsid w:val="00571E84"/>
    <w:rsid w:val="005722B2"/>
    <w:rsid w:val="005722D4"/>
    <w:rsid w:val="00572C28"/>
    <w:rsid w:val="00572D0E"/>
    <w:rsid w:val="00572FF8"/>
    <w:rsid w:val="00573543"/>
    <w:rsid w:val="00573CB0"/>
    <w:rsid w:val="00573D45"/>
    <w:rsid w:val="00573F67"/>
    <w:rsid w:val="005744F8"/>
    <w:rsid w:val="0057461B"/>
    <w:rsid w:val="00574A07"/>
    <w:rsid w:val="00574D5E"/>
    <w:rsid w:val="005752A1"/>
    <w:rsid w:val="0057622D"/>
    <w:rsid w:val="005764E1"/>
    <w:rsid w:val="00576678"/>
    <w:rsid w:val="00576E03"/>
    <w:rsid w:val="00577602"/>
    <w:rsid w:val="00577B89"/>
    <w:rsid w:val="00577E1E"/>
    <w:rsid w:val="00580694"/>
    <w:rsid w:val="0058099B"/>
    <w:rsid w:val="00580C4E"/>
    <w:rsid w:val="005811F2"/>
    <w:rsid w:val="00581207"/>
    <w:rsid w:val="0058126E"/>
    <w:rsid w:val="005813E7"/>
    <w:rsid w:val="0058162C"/>
    <w:rsid w:val="00581753"/>
    <w:rsid w:val="0058184D"/>
    <w:rsid w:val="00581BE1"/>
    <w:rsid w:val="00581F2E"/>
    <w:rsid w:val="00582172"/>
    <w:rsid w:val="005822BC"/>
    <w:rsid w:val="005828C1"/>
    <w:rsid w:val="00582902"/>
    <w:rsid w:val="00583719"/>
    <w:rsid w:val="0058381D"/>
    <w:rsid w:val="005839C3"/>
    <w:rsid w:val="00584115"/>
    <w:rsid w:val="005844C2"/>
    <w:rsid w:val="00584562"/>
    <w:rsid w:val="005846AE"/>
    <w:rsid w:val="00584EA9"/>
    <w:rsid w:val="00585601"/>
    <w:rsid w:val="00585EE7"/>
    <w:rsid w:val="0058619C"/>
    <w:rsid w:val="005863D6"/>
    <w:rsid w:val="005865C3"/>
    <w:rsid w:val="00586AD3"/>
    <w:rsid w:val="00586E95"/>
    <w:rsid w:val="00586EE3"/>
    <w:rsid w:val="00586F17"/>
    <w:rsid w:val="00586FA8"/>
    <w:rsid w:val="005873B7"/>
    <w:rsid w:val="00587422"/>
    <w:rsid w:val="00587CB3"/>
    <w:rsid w:val="00587EB4"/>
    <w:rsid w:val="00587EBD"/>
    <w:rsid w:val="00590340"/>
    <w:rsid w:val="00590C07"/>
    <w:rsid w:val="00590E9D"/>
    <w:rsid w:val="00590EAD"/>
    <w:rsid w:val="00591322"/>
    <w:rsid w:val="005914CD"/>
    <w:rsid w:val="00591A1E"/>
    <w:rsid w:val="00591FB9"/>
    <w:rsid w:val="00592174"/>
    <w:rsid w:val="0059237B"/>
    <w:rsid w:val="00592B77"/>
    <w:rsid w:val="00592BAA"/>
    <w:rsid w:val="00592D46"/>
    <w:rsid w:val="00592F0C"/>
    <w:rsid w:val="00593343"/>
    <w:rsid w:val="00593CE5"/>
    <w:rsid w:val="00595887"/>
    <w:rsid w:val="00596272"/>
    <w:rsid w:val="005963F2"/>
    <w:rsid w:val="005965B8"/>
    <w:rsid w:val="00596834"/>
    <w:rsid w:val="005970D7"/>
    <w:rsid w:val="00597169"/>
    <w:rsid w:val="005974D2"/>
    <w:rsid w:val="005978D6"/>
    <w:rsid w:val="005A00AA"/>
    <w:rsid w:val="005A04A1"/>
    <w:rsid w:val="005A0569"/>
    <w:rsid w:val="005A061F"/>
    <w:rsid w:val="005A0B3D"/>
    <w:rsid w:val="005A0E78"/>
    <w:rsid w:val="005A0E81"/>
    <w:rsid w:val="005A10B4"/>
    <w:rsid w:val="005A1B76"/>
    <w:rsid w:val="005A1DEE"/>
    <w:rsid w:val="005A1DEF"/>
    <w:rsid w:val="005A1EE8"/>
    <w:rsid w:val="005A2134"/>
    <w:rsid w:val="005A218E"/>
    <w:rsid w:val="005A223F"/>
    <w:rsid w:val="005A2DEE"/>
    <w:rsid w:val="005A2E6C"/>
    <w:rsid w:val="005A32BC"/>
    <w:rsid w:val="005A38C8"/>
    <w:rsid w:val="005A3932"/>
    <w:rsid w:val="005A3936"/>
    <w:rsid w:val="005A4076"/>
    <w:rsid w:val="005A45BB"/>
    <w:rsid w:val="005A49C2"/>
    <w:rsid w:val="005A4C6F"/>
    <w:rsid w:val="005A4FF6"/>
    <w:rsid w:val="005A50CD"/>
    <w:rsid w:val="005A555C"/>
    <w:rsid w:val="005A5C0A"/>
    <w:rsid w:val="005A5CE6"/>
    <w:rsid w:val="005A5D79"/>
    <w:rsid w:val="005A6132"/>
    <w:rsid w:val="005A6203"/>
    <w:rsid w:val="005A6277"/>
    <w:rsid w:val="005A62A4"/>
    <w:rsid w:val="005A643E"/>
    <w:rsid w:val="005A672F"/>
    <w:rsid w:val="005A699A"/>
    <w:rsid w:val="005A7414"/>
    <w:rsid w:val="005A7428"/>
    <w:rsid w:val="005A75E7"/>
    <w:rsid w:val="005A7B0A"/>
    <w:rsid w:val="005A7C50"/>
    <w:rsid w:val="005A7C5D"/>
    <w:rsid w:val="005A7ECA"/>
    <w:rsid w:val="005B04A8"/>
    <w:rsid w:val="005B06D2"/>
    <w:rsid w:val="005B0811"/>
    <w:rsid w:val="005B0C24"/>
    <w:rsid w:val="005B0DBB"/>
    <w:rsid w:val="005B10D0"/>
    <w:rsid w:val="005B120F"/>
    <w:rsid w:val="005B1415"/>
    <w:rsid w:val="005B1C6E"/>
    <w:rsid w:val="005B1CA3"/>
    <w:rsid w:val="005B1D95"/>
    <w:rsid w:val="005B269A"/>
    <w:rsid w:val="005B2779"/>
    <w:rsid w:val="005B291A"/>
    <w:rsid w:val="005B2A3D"/>
    <w:rsid w:val="005B301F"/>
    <w:rsid w:val="005B3193"/>
    <w:rsid w:val="005B3204"/>
    <w:rsid w:val="005B3355"/>
    <w:rsid w:val="005B3B2F"/>
    <w:rsid w:val="005B3C4F"/>
    <w:rsid w:val="005B3C6F"/>
    <w:rsid w:val="005B3D6B"/>
    <w:rsid w:val="005B49AF"/>
    <w:rsid w:val="005B50F8"/>
    <w:rsid w:val="005B52A6"/>
    <w:rsid w:val="005B5579"/>
    <w:rsid w:val="005B5DC1"/>
    <w:rsid w:val="005B60B2"/>
    <w:rsid w:val="005B63F1"/>
    <w:rsid w:val="005B652C"/>
    <w:rsid w:val="005B6A95"/>
    <w:rsid w:val="005B6FA2"/>
    <w:rsid w:val="005B772B"/>
    <w:rsid w:val="005B7D52"/>
    <w:rsid w:val="005C0288"/>
    <w:rsid w:val="005C043C"/>
    <w:rsid w:val="005C0910"/>
    <w:rsid w:val="005C0A6E"/>
    <w:rsid w:val="005C0BEB"/>
    <w:rsid w:val="005C0BF8"/>
    <w:rsid w:val="005C0CE7"/>
    <w:rsid w:val="005C0FE0"/>
    <w:rsid w:val="005C1155"/>
    <w:rsid w:val="005C1BFD"/>
    <w:rsid w:val="005C1DDE"/>
    <w:rsid w:val="005C1FCA"/>
    <w:rsid w:val="005C23A8"/>
    <w:rsid w:val="005C246C"/>
    <w:rsid w:val="005C2588"/>
    <w:rsid w:val="005C27EF"/>
    <w:rsid w:val="005C2AC8"/>
    <w:rsid w:val="005C2B2F"/>
    <w:rsid w:val="005C2C53"/>
    <w:rsid w:val="005C3147"/>
    <w:rsid w:val="005C33FF"/>
    <w:rsid w:val="005C38BB"/>
    <w:rsid w:val="005C3E37"/>
    <w:rsid w:val="005C43E7"/>
    <w:rsid w:val="005C45D4"/>
    <w:rsid w:val="005C4B77"/>
    <w:rsid w:val="005C4EB9"/>
    <w:rsid w:val="005C4FE8"/>
    <w:rsid w:val="005C5062"/>
    <w:rsid w:val="005C53FB"/>
    <w:rsid w:val="005C54AC"/>
    <w:rsid w:val="005C5B6D"/>
    <w:rsid w:val="005C5C40"/>
    <w:rsid w:val="005C5D1D"/>
    <w:rsid w:val="005C671B"/>
    <w:rsid w:val="005C675A"/>
    <w:rsid w:val="005C7048"/>
    <w:rsid w:val="005C70EE"/>
    <w:rsid w:val="005C74B1"/>
    <w:rsid w:val="005C750A"/>
    <w:rsid w:val="005C7E97"/>
    <w:rsid w:val="005D01F1"/>
    <w:rsid w:val="005D0B0D"/>
    <w:rsid w:val="005D0FC1"/>
    <w:rsid w:val="005D1096"/>
    <w:rsid w:val="005D1319"/>
    <w:rsid w:val="005D14E7"/>
    <w:rsid w:val="005D17F6"/>
    <w:rsid w:val="005D19DB"/>
    <w:rsid w:val="005D1BCE"/>
    <w:rsid w:val="005D1C23"/>
    <w:rsid w:val="005D1EFD"/>
    <w:rsid w:val="005D2488"/>
    <w:rsid w:val="005D249D"/>
    <w:rsid w:val="005D2B3F"/>
    <w:rsid w:val="005D2D26"/>
    <w:rsid w:val="005D2EF0"/>
    <w:rsid w:val="005D31BD"/>
    <w:rsid w:val="005D3285"/>
    <w:rsid w:val="005D39C8"/>
    <w:rsid w:val="005D402E"/>
    <w:rsid w:val="005D4109"/>
    <w:rsid w:val="005D41AE"/>
    <w:rsid w:val="005D420D"/>
    <w:rsid w:val="005D4249"/>
    <w:rsid w:val="005D478E"/>
    <w:rsid w:val="005D47B1"/>
    <w:rsid w:val="005D49D8"/>
    <w:rsid w:val="005D548D"/>
    <w:rsid w:val="005D54D5"/>
    <w:rsid w:val="005D55B1"/>
    <w:rsid w:val="005D5CB5"/>
    <w:rsid w:val="005D5ED2"/>
    <w:rsid w:val="005D6230"/>
    <w:rsid w:val="005D629B"/>
    <w:rsid w:val="005D65BD"/>
    <w:rsid w:val="005D68EF"/>
    <w:rsid w:val="005D6957"/>
    <w:rsid w:val="005D6B7F"/>
    <w:rsid w:val="005D6F2B"/>
    <w:rsid w:val="005D73BC"/>
    <w:rsid w:val="005D73DE"/>
    <w:rsid w:val="005D7C7D"/>
    <w:rsid w:val="005D7C81"/>
    <w:rsid w:val="005E037B"/>
    <w:rsid w:val="005E04FE"/>
    <w:rsid w:val="005E05C6"/>
    <w:rsid w:val="005E0931"/>
    <w:rsid w:val="005E0D5E"/>
    <w:rsid w:val="005E0E1F"/>
    <w:rsid w:val="005E0F51"/>
    <w:rsid w:val="005E11A3"/>
    <w:rsid w:val="005E1270"/>
    <w:rsid w:val="005E1324"/>
    <w:rsid w:val="005E1533"/>
    <w:rsid w:val="005E1710"/>
    <w:rsid w:val="005E198D"/>
    <w:rsid w:val="005E19C3"/>
    <w:rsid w:val="005E1A13"/>
    <w:rsid w:val="005E1A48"/>
    <w:rsid w:val="005E1BF5"/>
    <w:rsid w:val="005E1C1A"/>
    <w:rsid w:val="005E1C7F"/>
    <w:rsid w:val="005E1CFB"/>
    <w:rsid w:val="005E1F2F"/>
    <w:rsid w:val="005E23E8"/>
    <w:rsid w:val="005E252D"/>
    <w:rsid w:val="005E28CF"/>
    <w:rsid w:val="005E2921"/>
    <w:rsid w:val="005E30E8"/>
    <w:rsid w:val="005E3220"/>
    <w:rsid w:val="005E32B2"/>
    <w:rsid w:val="005E32C2"/>
    <w:rsid w:val="005E3833"/>
    <w:rsid w:val="005E388E"/>
    <w:rsid w:val="005E38D6"/>
    <w:rsid w:val="005E428D"/>
    <w:rsid w:val="005E4E81"/>
    <w:rsid w:val="005E5469"/>
    <w:rsid w:val="005E58D6"/>
    <w:rsid w:val="005E5D23"/>
    <w:rsid w:val="005E659C"/>
    <w:rsid w:val="005E6AD8"/>
    <w:rsid w:val="005E7011"/>
    <w:rsid w:val="005E759D"/>
    <w:rsid w:val="005F00E2"/>
    <w:rsid w:val="005F0572"/>
    <w:rsid w:val="005F064B"/>
    <w:rsid w:val="005F0794"/>
    <w:rsid w:val="005F0A74"/>
    <w:rsid w:val="005F0F8C"/>
    <w:rsid w:val="005F156D"/>
    <w:rsid w:val="005F15EA"/>
    <w:rsid w:val="005F18D3"/>
    <w:rsid w:val="005F2550"/>
    <w:rsid w:val="005F2575"/>
    <w:rsid w:val="005F2B71"/>
    <w:rsid w:val="005F3018"/>
    <w:rsid w:val="005F3341"/>
    <w:rsid w:val="005F33A8"/>
    <w:rsid w:val="005F34DF"/>
    <w:rsid w:val="005F35CC"/>
    <w:rsid w:val="005F3794"/>
    <w:rsid w:val="005F37A7"/>
    <w:rsid w:val="005F3C90"/>
    <w:rsid w:val="005F423C"/>
    <w:rsid w:val="005F4272"/>
    <w:rsid w:val="005F454D"/>
    <w:rsid w:val="005F49A8"/>
    <w:rsid w:val="005F4A90"/>
    <w:rsid w:val="005F51DD"/>
    <w:rsid w:val="005F544C"/>
    <w:rsid w:val="005F54CE"/>
    <w:rsid w:val="005F5AA3"/>
    <w:rsid w:val="005F60B9"/>
    <w:rsid w:val="005F63C0"/>
    <w:rsid w:val="005F6486"/>
    <w:rsid w:val="005F6713"/>
    <w:rsid w:val="005F6D9B"/>
    <w:rsid w:val="005F6DB5"/>
    <w:rsid w:val="005F6EF9"/>
    <w:rsid w:val="005F7115"/>
    <w:rsid w:val="005F7177"/>
    <w:rsid w:val="005F7188"/>
    <w:rsid w:val="005F7273"/>
    <w:rsid w:val="005F74E8"/>
    <w:rsid w:val="005F7749"/>
    <w:rsid w:val="005F7763"/>
    <w:rsid w:val="005F7B40"/>
    <w:rsid w:val="005F7F90"/>
    <w:rsid w:val="00601080"/>
    <w:rsid w:val="0060183D"/>
    <w:rsid w:val="00601C77"/>
    <w:rsid w:val="00601CFB"/>
    <w:rsid w:val="00602EAD"/>
    <w:rsid w:val="0060334C"/>
    <w:rsid w:val="00603BF7"/>
    <w:rsid w:val="00604062"/>
    <w:rsid w:val="006041DD"/>
    <w:rsid w:val="00604528"/>
    <w:rsid w:val="006045F0"/>
    <w:rsid w:val="006047C0"/>
    <w:rsid w:val="00604CCB"/>
    <w:rsid w:val="0060563D"/>
    <w:rsid w:val="006056F4"/>
    <w:rsid w:val="00605C20"/>
    <w:rsid w:val="00605E7D"/>
    <w:rsid w:val="00606007"/>
    <w:rsid w:val="006062BF"/>
    <w:rsid w:val="0060652A"/>
    <w:rsid w:val="00606863"/>
    <w:rsid w:val="006069E0"/>
    <w:rsid w:val="00606C76"/>
    <w:rsid w:val="00606E25"/>
    <w:rsid w:val="00607028"/>
    <w:rsid w:val="00607235"/>
    <w:rsid w:val="0060775D"/>
    <w:rsid w:val="006078A5"/>
    <w:rsid w:val="00607A58"/>
    <w:rsid w:val="00607DE9"/>
    <w:rsid w:val="00610078"/>
    <w:rsid w:val="0061009D"/>
    <w:rsid w:val="00610404"/>
    <w:rsid w:val="00610B95"/>
    <w:rsid w:val="00610C83"/>
    <w:rsid w:val="00610E6B"/>
    <w:rsid w:val="00611610"/>
    <w:rsid w:val="0061181D"/>
    <w:rsid w:val="0061185B"/>
    <w:rsid w:val="00611B49"/>
    <w:rsid w:val="00611ED1"/>
    <w:rsid w:val="00612019"/>
    <w:rsid w:val="006128CF"/>
    <w:rsid w:val="00612C8B"/>
    <w:rsid w:val="00612CA6"/>
    <w:rsid w:val="00612EF0"/>
    <w:rsid w:val="00613400"/>
    <w:rsid w:val="00613A24"/>
    <w:rsid w:val="00613EC9"/>
    <w:rsid w:val="00613EE1"/>
    <w:rsid w:val="006142D6"/>
    <w:rsid w:val="006143C6"/>
    <w:rsid w:val="00614B54"/>
    <w:rsid w:val="00615049"/>
    <w:rsid w:val="00615319"/>
    <w:rsid w:val="00615500"/>
    <w:rsid w:val="006155DD"/>
    <w:rsid w:val="00615834"/>
    <w:rsid w:val="00615985"/>
    <w:rsid w:val="00615C36"/>
    <w:rsid w:val="00616076"/>
    <w:rsid w:val="006161BE"/>
    <w:rsid w:val="00616524"/>
    <w:rsid w:val="006168BF"/>
    <w:rsid w:val="00616A2C"/>
    <w:rsid w:val="00616C6B"/>
    <w:rsid w:val="00616DA4"/>
    <w:rsid w:val="00616DCD"/>
    <w:rsid w:val="00616DDD"/>
    <w:rsid w:val="00616E75"/>
    <w:rsid w:val="00616EA5"/>
    <w:rsid w:val="00617074"/>
    <w:rsid w:val="006174C4"/>
    <w:rsid w:val="0061769D"/>
    <w:rsid w:val="0061776A"/>
    <w:rsid w:val="006177C5"/>
    <w:rsid w:val="006178C1"/>
    <w:rsid w:val="00617BE5"/>
    <w:rsid w:val="0062037D"/>
    <w:rsid w:val="006203DB"/>
    <w:rsid w:val="00620537"/>
    <w:rsid w:val="006207AF"/>
    <w:rsid w:val="00620866"/>
    <w:rsid w:val="006208D2"/>
    <w:rsid w:val="00620A29"/>
    <w:rsid w:val="00620C38"/>
    <w:rsid w:val="006219F5"/>
    <w:rsid w:val="00621DDF"/>
    <w:rsid w:val="00621ED1"/>
    <w:rsid w:val="00622215"/>
    <w:rsid w:val="00622224"/>
    <w:rsid w:val="00622329"/>
    <w:rsid w:val="006227ED"/>
    <w:rsid w:val="006229F1"/>
    <w:rsid w:val="00622F83"/>
    <w:rsid w:val="00622FA8"/>
    <w:rsid w:val="006231AA"/>
    <w:rsid w:val="0062327F"/>
    <w:rsid w:val="006232EA"/>
    <w:rsid w:val="0062342C"/>
    <w:rsid w:val="0062348B"/>
    <w:rsid w:val="006237CD"/>
    <w:rsid w:val="00623B5C"/>
    <w:rsid w:val="00623B9F"/>
    <w:rsid w:val="006242A2"/>
    <w:rsid w:val="00624486"/>
    <w:rsid w:val="00624669"/>
    <w:rsid w:val="00624786"/>
    <w:rsid w:val="00624B23"/>
    <w:rsid w:val="00624C02"/>
    <w:rsid w:val="00624E05"/>
    <w:rsid w:val="006250C9"/>
    <w:rsid w:val="00625238"/>
    <w:rsid w:val="006256C6"/>
    <w:rsid w:val="00625D85"/>
    <w:rsid w:val="00625F4B"/>
    <w:rsid w:val="0062649B"/>
    <w:rsid w:val="006264B9"/>
    <w:rsid w:val="00626CCB"/>
    <w:rsid w:val="006272C5"/>
    <w:rsid w:val="00627765"/>
    <w:rsid w:val="00627F1F"/>
    <w:rsid w:val="006300FF"/>
    <w:rsid w:val="006308AB"/>
    <w:rsid w:val="0063149A"/>
    <w:rsid w:val="006314A9"/>
    <w:rsid w:val="006314F4"/>
    <w:rsid w:val="006322FA"/>
    <w:rsid w:val="006324A2"/>
    <w:rsid w:val="0063284F"/>
    <w:rsid w:val="00632ABD"/>
    <w:rsid w:val="00632B7C"/>
    <w:rsid w:val="00632D71"/>
    <w:rsid w:val="006331E5"/>
    <w:rsid w:val="00633308"/>
    <w:rsid w:val="006339BA"/>
    <w:rsid w:val="00633BDE"/>
    <w:rsid w:val="00633FA2"/>
    <w:rsid w:val="00634787"/>
    <w:rsid w:val="00635272"/>
    <w:rsid w:val="00635492"/>
    <w:rsid w:val="00635852"/>
    <w:rsid w:val="00635904"/>
    <w:rsid w:val="00635CFC"/>
    <w:rsid w:val="00635D1A"/>
    <w:rsid w:val="00636479"/>
    <w:rsid w:val="00636540"/>
    <w:rsid w:val="0063663B"/>
    <w:rsid w:val="006367CE"/>
    <w:rsid w:val="00636949"/>
    <w:rsid w:val="00636B6E"/>
    <w:rsid w:val="00636F74"/>
    <w:rsid w:val="006375AB"/>
    <w:rsid w:val="006376D6"/>
    <w:rsid w:val="00637A4A"/>
    <w:rsid w:val="00640D6E"/>
    <w:rsid w:val="0064127E"/>
    <w:rsid w:val="0064147A"/>
    <w:rsid w:val="0064163E"/>
    <w:rsid w:val="00641992"/>
    <w:rsid w:val="006419E7"/>
    <w:rsid w:val="00641F09"/>
    <w:rsid w:val="00641F5D"/>
    <w:rsid w:val="00642896"/>
    <w:rsid w:val="00642906"/>
    <w:rsid w:val="00642F6C"/>
    <w:rsid w:val="006435E5"/>
    <w:rsid w:val="006435E9"/>
    <w:rsid w:val="0064369C"/>
    <w:rsid w:val="006436CF"/>
    <w:rsid w:val="0064389C"/>
    <w:rsid w:val="00643CF8"/>
    <w:rsid w:val="00644006"/>
    <w:rsid w:val="006440BF"/>
    <w:rsid w:val="006443AE"/>
    <w:rsid w:val="006443D4"/>
    <w:rsid w:val="006444EB"/>
    <w:rsid w:val="006445D3"/>
    <w:rsid w:val="006447E7"/>
    <w:rsid w:val="006449BA"/>
    <w:rsid w:val="00644A98"/>
    <w:rsid w:val="006451AF"/>
    <w:rsid w:val="00645214"/>
    <w:rsid w:val="006452FB"/>
    <w:rsid w:val="00645345"/>
    <w:rsid w:val="00645371"/>
    <w:rsid w:val="006455FC"/>
    <w:rsid w:val="00645AD9"/>
    <w:rsid w:val="00645ADA"/>
    <w:rsid w:val="00645C69"/>
    <w:rsid w:val="00645E45"/>
    <w:rsid w:val="00645FE2"/>
    <w:rsid w:val="0064728E"/>
    <w:rsid w:val="00647323"/>
    <w:rsid w:val="006474D9"/>
    <w:rsid w:val="0064774B"/>
    <w:rsid w:val="006478CC"/>
    <w:rsid w:val="00647AB1"/>
    <w:rsid w:val="0065068F"/>
    <w:rsid w:val="006506EF"/>
    <w:rsid w:val="00650831"/>
    <w:rsid w:val="00650984"/>
    <w:rsid w:val="00651023"/>
    <w:rsid w:val="0065168A"/>
    <w:rsid w:val="00651711"/>
    <w:rsid w:val="00651C36"/>
    <w:rsid w:val="00651D0C"/>
    <w:rsid w:val="0065294E"/>
    <w:rsid w:val="00652B93"/>
    <w:rsid w:val="00652CAA"/>
    <w:rsid w:val="00653148"/>
    <w:rsid w:val="0065333D"/>
    <w:rsid w:val="006533D8"/>
    <w:rsid w:val="00653621"/>
    <w:rsid w:val="00653A11"/>
    <w:rsid w:val="00653A1A"/>
    <w:rsid w:val="00653A6F"/>
    <w:rsid w:val="00653FB5"/>
    <w:rsid w:val="006543A2"/>
    <w:rsid w:val="00654634"/>
    <w:rsid w:val="00654807"/>
    <w:rsid w:val="006549F1"/>
    <w:rsid w:val="00654DD4"/>
    <w:rsid w:val="006558B0"/>
    <w:rsid w:val="00655AB8"/>
    <w:rsid w:val="0065637B"/>
    <w:rsid w:val="00656B9B"/>
    <w:rsid w:val="00656E5A"/>
    <w:rsid w:val="00656E87"/>
    <w:rsid w:val="00657372"/>
    <w:rsid w:val="00657417"/>
    <w:rsid w:val="006576A6"/>
    <w:rsid w:val="0065795F"/>
    <w:rsid w:val="00657E04"/>
    <w:rsid w:val="00657F7E"/>
    <w:rsid w:val="006604A8"/>
    <w:rsid w:val="006605B5"/>
    <w:rsid w:val="00660812"/>
    <w:rsid w:val="00660B1F"/>
    <w:rsid w:val="00661222"/>
    <w:rsid w:val="00661DD9"/>
    <w:rsid w:val="00662287"/>
    <w:rsid w:val="00662668"/>
    <w:rsid w:val="00662DBE"/>
    <w:rsid w:val="006631A8"/>
    <w:rsid w:val="0066355F"/>
    <w:rsid w:val="00663B83"/>
    <w:rsid w:val="00663D19"/>
    <w:rsid w:val="00663DC6"/>
    <w:rsid w:val="00663F62"/>
    <w:rsid w:val="006640E0"/>
    <w:rsid w:val="006642C3"/>
    <w:rsid w:val="006646B3"/>
    <w:rsid w:val="00664F88"/>
    <w:rsid w:val="0066505F"/>
    <w:rsid w:val="00665085"/>
    <w:rsid w:val="00665A58"/>
    <w:rsid w:val="00665FB1"/>
    <w:rsid w:val="0066628A"/>
    <w:rsid w:val="006666BF"/>
    <w:rsid w:val="006667DD"/>
    <w:rsid w:val="006668D7"/>
    <w:rsid w:val="00666980"/>
    <w:rsid w:val="00666A0D"/>
    <w:rsid w:val="006670FA"/>
    <w:rsid w:val="006674CF"/>
    <w:rsid w:val="00667638"/>
    <w:rsid w:val="006677AB"/>
    <w:rsid w:val="00667A46"/>
    <w:rsid w:val="00667DB3"/>
    <w:rsid w:val="00667EA8"/>
    <w:rsid w:val="00670087"/>
    <w:rsid w:val="00670373"/>
    <w:rsid w:val="00670380"/>
    <w:rsid w:val="006708F1"/>
    <w:rsid w:val="00670A64"/>
    <w:rsid w:val="00670DCF"/>
    <w:rsid w:val="00670F20"/>
    <w:rsid w:val="006719FD"/>
    <w:rsid w:val="00671BF1"/>
    <w:rsid w:val="0067241C"/>
    <w:rsid w:val="006724BF"/>
    <w:rsid w:val="0067268C"/>
    <w:rsid w:val="00672F87"/>
    <w:rsid w:val="00673072"/>
    <w:rsid w:val="006732C4"/>
    <w:rsid w:val="0067351D"/>
    <w:rsid w:val="0067356B"/>
    <w:rsid w:val="00673AD9"/>
    <w:rsid w:val="0067416C"/>
    <w:rsid w:val="0067422A"/>
    <w:rsid w:val="00674247"/>
    <w:rsid w:val="00674279"/>
    <w:rsid w:val="0067456E"/>
    <w:rsid w:val="006745B3"/>
    <w:rsid w:val="00674774"/>
    <w:rsid w:val="00674779"/>
    <w:rsid w:val="006747A9"/>
    <w:rsid w:val="00674F72"/>
    <w:rsid w:val="00674FCB"/>
    <w:rsid w:val="006751EB"/>
    <w:rsid w:val="0067545C"/>
    <w:rsid w:val="00675693"/>
    <w:rsid w:val="00675893"/>
    <w:rsid w:val="00675B6F"/>
    <w:rsid w:val="006761A7"/>
    <w:rsid w:val="006762A5"/>
    <w:rsid w:val="006763DD"/>
    <w:rsid w:val="00676BEE"/>
    <w:rsid w:val="00676C9D"/>
    <w:rsid w:val="006771E7"/>
    <w:rsid w:val="00677234"/>
    <w:rsid w:val="006775E4"/>
    <w:rsid w:val="00677828"/>
    <w:rsid w:val="00677A25"/>
    <w:rsid w:val="00677CF2"/>
    <w:rsid w:val="0068005F"/>
    <w:rsid w:val="00680314"/>
    <w:rsid w:val="00680741"/>
    <w:rsid w:val="00680800"/>
    <w:rsid w:val="006809EC"/>
    <w:rsid w:val="00680A40"/>
    <w:rsid w:val="00680CC8"/>
    <w:rsid w:val="00681575"/>
    <w:rsid w:val="00681667"/>
    <w:rsid w:val="00681A5C"/>
    <w:rsid w:val="00681C59"/>
    <w:rsid w:val="00682014"/>
    <w:rsid w:val="0068210D"/>
    <w:rsid w:val="006822F0"/>
    <w:rsid w:val="0068271D"/>
    <w:rsid w:val="006827DD"/>
    <w:rsid w:val="00682AC1"/>
    <w:rsid w:val="00682B33"/>
    <w:rsid w:val="00682BBC"/>
    <w:rsid w:val="00683039"/>
    <w:rsid w:val="006833CF"/>
    <w:rsid w:val="0068356D"/>
    <w:rsid w:val="00683C81"/>
    <w:rsid w:val="00683D2C"/>
    <w:rsid w:val="00683F08"/>
    <w:rsid w:val="006840B6"/>
    <w:rsid w:val="00684440"/>
    <w:rsid w:val="00684937"/>
    <w:rsid w:val="00684AB0"/>
    <w:rsid w:val="00684E29"/>
    <w:rsid w:val="0068509D"/>
    <w:rsid w:val="00685535"/>
    <w:rsid w:val="006855BE"/>
    <w:rsid w:val="00685F77"/>
    <w:rsid w:val="00686A3C"/>
    <w:rsid w:val="00687047"/>
    <w:rsid w:val="00687325"/>
    <w:rsid w:val="00687494"/>
    <w:rsid w:val="00687511"/>
    <w:rsid w:val="00687694"/>
    <w:rsid w:val="00687E01"/>
    <w:rsid w:val="0069033B"/>
    <w:rsid w:val="00690792"/>
    <w:rsid w:val="0069097C"/>
    <w:rsid w:val="00690A40"/>
    <w:rsid w:val="00690A6B"/>
    <w:rsid w:val="00690D20"/>
    <w:rsid w:val="00691284"/>
    <w:rsid w:val="006917BE"/>
    <w:rsid w:val="0069189A"/>
    <w:rsid w:val="00691E73"/>
    <w:rsid w:val="00692B9D"/>
    <w:rsid w:val="00692D61"/>
    <w:rsid w:val="00692F81"/>
    <w:rsid w:val="006933D1"/>
    <w:rsid w:val="00693717"/>
    <w:rsid w:val="00693BF6"/>
    <w:rsid w:val="006942C5"/>
    <w:rsid w:val="00694874"/>
    <w:rsid w:val="00694BB1"/>
    <w:rsid w:val="00694E36"/>
    <w:rsid w:val="00694EC5"/>
    <w:rsid w:val="00695723"/>
    <w:rsid w:val="006957EC"/>
    <w:rsid w:val="00695C5C"/>
    <w:rsid w:val="00695E21"/>
    <w:rsid w:val="00696130"/>
    <w:rsid w:val="006963AD"/>
    <w:rsid w:val="0069645E"/>
    <w:rsid w:val="00696825"/>
    <w:rsid w:val="006968E6"/>
    <w:rsid w:val="00696960"/>
    <w:rsid w:val="00696C6F"/>
    <w:rsid w:val="006971B2"/>
    <w:rsid w:val="006971FF"/>
    <w:rsid w:val="00697394"/>
    <w:rsid w:val="006974EB"/>
    <w:rsid w:val="00697A6B"/>
    <w:rsid w:val="00697B2A"/>
    <w:rsid w:val="006A07D9"/>
    <w:rsid w:val="006A09A4"/>
    <w:rsid w:val="006A0CBB"/>
    <w:rsid w:val="006A0F04"/>
    <w:rsid w:val="006A1126"/>
    <w:rsid w:val="006A1353"/>
    <w:rsid w:val="006A1725"/>
    <w:rsid w:val="006A1AB9"/>
    <w:rsid w:val="006A20F7"/>
    <w:rsid w:val="006A2104"/>
    <w:rsid w:val="006A25F8"/>
    <w:rsid w:val="006A28EC"/>
    <w:rsid w:val="006A2AC2"/>
    <w:rsid w:val="006A2D16"/>
    <w:rsid w:val="006A2E02"/>
    <w:rsid w:val="006A3045"/>
    <w:rsid w:val="006A36BB"/>
    <w:rsid w:val="006A3844"/>
    <w:rsid w:val="006A3AD7"/>
    <w:rsid w:val="006A3B51"/>
    <w:rsid w:val="006A3FAF"/>
    <w:rsid w:val="006A42B2"/>
    <w:rsid w:val="006A4396"/>
    <w:rsid w:val="006A46B9"/>
    <w:rsid w:val="006A474E"/>
    <w:rsid w:val="006A481F"/>
    <w:rsid w:val="006A4C25"/>
    <w:rsid w:val="006A4C53"/>
    <w:rsid w:val="006A4C5A"/>
    <w:rsid w:val="006A5549"/>
    <w:rsid w:val="006A5819"/>
    <w:rsid w:val="006A5BFE"/>
    <w:rsid w:val="006A5F60"/>
    <w:rsid w:val="006A60CA"/>
    <w:rsid w:val="006A67F1"/>
    <w:rsid w:val="006A687E"/>
    <w:rsid w:val="006A6C4B"/>
    <w:rsid w:val="006A6FF0"/>
    <w:rsid w:val="006A7ACE"/>
    <w:rsid w:val="006A7E01"/>
    <w:rsid w:val="006A7E5C"/>
    <w:rsid w:val="006B04A5"/>
    <w:rsid w:val="006B0691"/>
    <w:rsid w:val="006B075F"/>
    <w:rsid w:val="006B08D0"/>
    <w:rsid w:val="006B08F9"/>
    <w:rsid w:val="006B0A5A"/>
    <w:rsid w:val="006B0AC6"/>
    <w:rsid w:val="006B0AF4"/>
    <w:rsid w:val="006B0CD7"/>
    <w:rsid w:val="006B0DF7"/>
    <w:rsid w:val="006B0ECE"/>
    <w:rsid w:val="006B0F1E"/>
    <w:rsid w:val="006B1559"/>
    <w:rsid w:val="006B1573"/>
    <w:rsid w:val="006B17C4"/>
    <w:rsid w:val="006B189F"/>
    <w:rsid w:val="006B20A0"/>
    <w:rsid w:val="006B21A2"/>
    <w:rsid w:val="006B25E5"/>
    <w:rsid w:val="006B311A"/>
    <w:rsid w:val="006B3336"/>
    <w:rsid w:val="006B35DE"/>
    <w:rsid w:val="006B3724"/>
    <w:rsid w:val="006B3809"/>
    <w:rsid w:val="006B3A03"/>
    <w:rsid w:val="006B4036"/>
    <w:rsid w:val="006B48E1"/>
    <w:rsid w:val="006B4CD5"/>
    <w:rsid w:val="006B4E03"/>
    <w:rsid w:val="006B5C1E"/>
    <w:rsid w:val="006B60B9"/>
    <w:rsid w:val="006B63A6"/>
    <w:rsid w:val="006B6550"/>
    <w:rsid w:val="006B659A"/>
    <w:rsid w:val="006B6DA3"/>
    <w:rsid w:val="006B6E87"/>
    <w:rsid w:val="006B7440"/>
    <w:rsid w:val="006B74BE"/>
    <w:rsid w:val="006B7A6C"/>
    <w:rsid w:val="006B7E50"/>
    <w:rsid w:val="006B7FE7"/>
    <w:rsid w:val="006C01D9"/>
    <w:rsid w:val="006C06DD"/>
    <w:rsid w:val="006C0B21"/>
    <w:rsid w:val="006C1211"/>
    <w:rsid w:val="006C1872"/>
    <w:rsid w:val="006C192A"/>
    <w:rsid w:val="006C223D"/>
    <w:rsid w:val="006C2264"/>
    <w:rsid w:val="006C286C"/>
    <w:rsid w:val="006C2F3D"/>
    <w:rsid w:val="006C3226"/>
    <w:rsid w:val="006C3363"/>
    <w:rsid w:val="006C3392"/>
    <w:rsid w:val="006C343C"/>
    <w:rsid w:val="006C3511"/>
    <w:rsid w:val="006C37CA"/>
    <w:rsid w:val="006C39B2"/>
    <w:rsid w:val="006C3A5B"/>
    <w:rsid w:val="006C41E2"/>
    <w:rsid w:val="006C4E31"/>
    <w:rsid w:val="006C53B7"/>
    <w:rsid w:val="006C547A"/>
    <w:rsid w:val="006C555F"/>
    <w:rsid w:val="006C560D"/>
    <w:rsid w:val="006C5862"/>
    <w:rsid w:val="006C5E0F"/>
    <w:rsid w:val="006C5E4A"/>
    <w:rsid w:val="006C5E56"/>
    <w:rsid w:val="006C63E7"/>
    <w:rsid w:val="006C6453"/>
    <w:rsid w:val="006C73C2"/>
    <w:rsid w:val="006C7604"/>
    <w:rsid w:val="006C7709"/>
    <w:rsid w:val="006C7A07"/>
    <w:rsid w:val="006C7ACE"/>
    <w:rsid w:val="006D001B"/>
    <w:rsid w:val="006D0145"/>
    <w:rsid w:val="006D058B"/>
    <w:rsid w:val="006D066E"/>
    <w:rsid w:val="006D084D"/>
    <w:rsid w:val="006D0ABA"/>
    <w:rsid w:val="006D0BAB"/>
    <w:rsid w:val="006D0D0F"/>
    <w:rsid w:val="006D1848"/>
    <w:rsid w:val="006D1ADC"/>
    <w:rsid w:val="006D2276"/>
    <w:rsid w:val="006D2376"/>
    <w:rsid w:val="006D24DC"/>
    <w:rsid w:val="006D2C77"/>
    <w:rsid w:val="006D2C7F"/>
    <w:rsid w:val="006D3129"/>
    <w:rsid w:val="006D34FE"/>
    <w:rsid w:val="006D3857"/>
    <w:rsid w:val="006D38EF"/>
    <w:rsid w:val="006D3978"/>
    <w:rsid w:val="006D3A7C"/>
    <w:rsid w:val="006D4377"/>
    <w:rsid w:val="006D44DE"/>
    <w:rsid w:val="006D46BC"/>
    <w:rsid w:val="006D479F"/>
    <w:rsid w:val="006D5037"/>
    <w:rsid w:val="006D50DF"/>
    <w:rsid w:val="006D5309"/>
    <w:rsid w:val="006D5521"/>
    <w:rsid w:val="006D59B5"/>
    <w:rsid w:val="006D61C1"/>
    <w:rsid w:val="006D621E"/>
    <w:rsid w:val="006D6814"/>
    <w:rsid w:val="006D79DE"/>
    <w:rsid w:val="006D7A3E"/>
    <w:rsid w:val="006D7B84"/>
    <w:rsid w:val="006D7CBC"/>
    <w:rsid w:val="006D7F8A"/>
    <w:rsid w:val="006E00F1"/>
    <w:rsid w:val="006E0129"/>
    <w:rsid w:val="006E05EF"/>
    <w:rsid w:val="006E0D32"/>
    <w:rsid w:val="006E1BEA"/>
    <w:rsid w:val="006E23AC"/>
    <w:rsid w:val="006E27BC"/>
    <w:rsid w:val="006E2829"/>
    <w:rsid w:val="006E29F7"/>
    <w:rsid w:val="006E2A55"/>
    <w:rsid w:val="006E2ADB"/>
    <w:rsid w:val="006E2FA4"/>
    <w:rsid w:val="006E3462"/>
    <w:rsid w:val="006E387D"/>
    <w:rsid w:val="006E3B0F"/>
    <w:rsid w:val="006E3DB9"/>
    <w:rsid w:val="006E3F50"/>
    <w:rsid w:val="006E4069"/>
    <w:rsid w:val="006E4125"/>
    <w:rsid w:val="006E42D7"/>
    <w:rsid w:val="006E453B"/>
    <w:rsid w:val="006E469B"/>
    <w:rsid w:val="006E486E"/>
    <w:rsid w:val="006E4994"/>
    <w:rsid w:val="006E4A78"/>
    <w:rsid w:val="006E53EC"/>
    <w:rsid w:val="006E53EE"/>
    <w:rsid w:val="006E6009"/>
    <w:rsid w:val="006E6071"/>
    <w:rsid w:val="006E60A2"/>
    <w:rsid w:val="006E6812"/>
    <w:rsid w:val="006E6889"/>
    <w:rsid w:val="006E7206"/>
    <w:rsid w:val="006E7216"/>
    <w:rsid w:val="006E72D9"/>
    <w:rsid w:val="006F0001"/>
    <w:rsid w:val="006F0222"/>
    <w:rsid w:val="006F03F5"/>
    <w:rsid w:val="006F0558"/>
    <w:rsid w:val="006F0630"/>
    <w:rsid w:val="006F0AA1"/>
    <w:rsid w:val="006F0AB8"/>
    <w:rsid w:val="006F0CCD"/>
    <w:rsid w:val="006F16B4"/>
    <w:rsid w:val="006F1842"/>
    <w:rsid w:val="006F1920"/>
    <w:rsid w:val="006F2314"/>
    <w:rsid w:val="006F298B"/>
    <w:rsid w:val="006F3323"/>
    <w:rsid w:val="006F361B"/>
    <w:rsid w:val="006F373F"/>
    <w:rsid w:val="006F3AA3"/>
    <w:rsid w:val="006F3B9E"/>
    <w:rsid w:val="006F3E9A"/>
    <w:rsid w:val="006F4030"/>
    <w:rsid w:val="006F4390"/>
    <w:rsid w:val="006F4488"/>
    <w:rsid w:val="006F4DB5"/>
    <w:rsid w:val="006F4FA1"/>
    <w:rsid w:val="006F5025"/>
    <w:rsid w:val="006F55F5"/>
    <w:rsid w:val="006F56E8"/>
    <w:rsid w:val="006F5B43"/>
    <w:rsid w:val="006F6775"/>
    <w:rsid w:val="006F6876"/>
    <w:rsid w:val="006F6A05"/>
    <w:rsid w:val="006F6CB8"/>
    <w:rsid w:val="006F6F3D"/>
    <w:rsid w:val="006F6FD1"/>
    <w:rsid w:val="006F718A"/>
    <w:rsid w:val="006F74E8"/>
    <w:rsid w:val="006F786B"/>
    <w:rsid w:val="00700292"/>
    <w:rsid w:val="0070097D"/>
    <w:rsid w:val="00700B2A"/>
    <w:rsid w:val="00700BDF"/>
    <w:rsid w:val="00700FFB"/>
    <w:rsid w:val="007010DE"/>
    <w:rsid w:val="0070123F"/>
    <w:rsid w:val="00701CCF"/>
    <w:rsid w:val="00701F3A"/>
    <w:rsid w:val="00702047"/>
    <w:rsid w:val="00702125"/>
    <w:rsid w:val="007021BD"/>
    <w:rsid w:val="007023DD"/>
    <w:rsid w:val="00702D24"/>
    <w:rsid w:val="00702DD9"/>
    <w:rsid w:val="00702E7F"/>
    <w:rsid w:val="00703B70"/>
    <w:rsid w:val="007042FC"/>
    <w:rsid w:val="0070431E"/>
    <w:rsid w:val="00704445"/>
    <w:rsid w:val="007045BE"/>
    <w:rsid w:val="007045CE"/>
    <w:rsid w:val="00704652"/>
    <w:rsid w:val="00704746"/>
    <w:rsid w:val="00704B1A"/>
    <w:rsid w:val="00704C33"/>
    <w:rsid w:val="007055A8"/>
    <w:rsid w:val="00705A10"/>
    <w:rsid w:val="00705DD6"/>
    <w:rsid w:val="00705E7F"/>
    <w:rsid w:val="00706793"/>
    <w:rsid w:val="00707302"/>
    <w:rsid w:val="0070735C"/>
    <w:rsid w:val="00707491"/>
    <w:rsid w:val="0070793E"/>
    <w:rsid w:val="00707A3B"/>
    <w:rsid w:val="00707FF7"/>
    <w:rsid w:val="00710315"/>
    <w:rsid w:val="00710429"/>
    <w:rsid w:val="00710639"/>
    <w:rsid w:val="00710951"/>
    <w:rsid w:val="00710A59"/>
    <w:rsid w:val="00710C9B"/>
    <w:rsid w:val="00710E18"/>
    <w:rsid w:val="00710EF0"/>
    <w:rsid w:val="007110EC"/>
    <w:rsid w:val="0071117C"/>
    <w:rsid w:val="007111A1"/>
    <w:rsid w:val="00711633"/>
    <w:rsid w:val="007117FB"/>
    <w:rsid w:val="0071182C"/>
    <w:rsid w:val="00711D7F"/>
    <w:rsid w:val="0071244B"/>
    <w:rsid w:val="007124AC"/>
    <w:rsid w:val="00712D3E"/>
    <w:rsid w:val="00712EC2"/>
    <w:rsid w:val="00713535"/>
    <w:rsid w:val="0071375C"/>
    <w:rsid w:val="00713AF9"/>
    <w:rsid w:val="00713E28"/>
    <w:rsid w:val="00713EE8"/>
    <w:rsid w:val="00714452"/>
    <w:rsid w:val="0071454E"/>
    <w:rsid w:val="00714DD8"/>
    <w:rsid w:val="00714EFC"/>
    <w:rsid w:val="00714F64"/>
    <w:rsid w:val="00715093"/>
    <w:rsid w:val="00715243"/>
    <w:rsid w:val="007153F0"/>
    <w:rsid w:val="00715B0B"/>
    <w:rsid w:val="00715CE8"/>
    <w:rsid w:val="00715EC0"/>
    <w:rsid w:val="0071665C"/>
    <w:rsid w:val="00716686"/>
    <w:rsid w:val="007166A6"/>
    <w:rsid w:val="007166E4"/>
    <w:rsid w:val="00716AA7"/>
    <w:rsid w:val="00716FFF"/>
    <w:rsid w:val="00717393"/>
    <w:rsid w:val="007174E7"/>
    <w:rsid w:val="00717C3B"/>
    <w:rsid w:val="0072003B"/>
    <w:rsid w:val="00720520"/>
    <w:rsid w:val="0072073D"/>
    <w:rsid w:val="00720748"/>
    <w:rsid w:val="00720DB3"/>
    <w:rsid w:val="007213F4"/>
    <w:rsid w:val="0072186F"/>
    <w:rsid w:val="00721AFB"/>
    <w:rsid w:val="00721C14"/>
    <w:rsid w:val="00721DFD"/>
    <w:rsid w:val="007220FB"/>
    <w:rsid w:val="00722218"/>
    <w:rsid w:val="00722229"/>
    <w:rsid w:val="00722256"/>
    <w:rsid w:val="007226DB"/>
    <w:rsid w:val="007227AA"/>
    <w:rsid w:val="00722941"/>
    <w:rsid w:val="0072299C"/>
    <w:rsid w:val="00722B01"/>
    <w:rsid w:val="00722B3E"/>
    <w:rsid w:val="00722E3B"/>
    <w:rsid w:val="00722EE9"/>
    <w:rsid w:val="00722F81"/>
    <w:rsid w:val="00723219"/>
    <w:rsid w:val="0072360B"/>
    <w:rsid w:val="007239EE"/>
    <w:rsid w:val="00723D48"/>
    <w:rsid w:val="00723D7F"/>
    <w:rsid w:val="0072491B"/>
    <w:rsid w:val="00724D7E"/>
    <w:rsid w:val="00725214"/>
    <w:rsid w:val="0072579E"/>
    <w:rsid w:val="00725E40"/>
    <w:rsid w:val="007267E9"/>
    <w:rsid w:val="00726BEC"/>
    <w:rsid w:val="00726DB8"/>
    <w:rsid w:val="00726E89"/>
    <w:rsid w:val="00727F45"/>
    <w:rsid w:val="007303C7"/>
    <w:rsid w:val="00730452"/>
    <w:rsid w:val="007307D0"/>
    <w:rsid w:val="007308FA"/>
    <w:rsid w:val="007310A2"/>
    <w:rsid w:val="00731BEE"/>
    <w:rsid w:val="00731FB3"/>
    <w:rsid w:val="00732403"/>
    <w:rsid w:val="00732C7C"/>
    <w:rsid w:val="00733585"/>
    <w:rsid w:val="00733737"/>
    <w:rsid w:val="0073376F"/>
    <w:rsid w:val="00733AD8"/>
    <w:rsid w:val="0073463A"/>
    <w:rsid w:val="007346CE"/>
    <w:rsid w:val="00734E4B"/>
    <w:rsid w:val="007351AC"/>
    <w:rsid w:val="00735816"/>
    <w:rsid w:val="00736381"/>
    <w:rsid w:val="00736813"/>
    <w:rsid w:val="00736EAB"/>
    <w:rsid w:val="00737316"/>
    <w:rsid w:val="007376EA"/>
    <w:rsid w:val="00737C3A"/>
    <w:rsid w:val="00737E87"/>
    <w:rsid w:val="0074009F"/>
    <w:rsid w:val="007400E0"/>
    <w:rsid w:val="00740189"/>
    <w:rsid w:val="0074026B"/>
    <w:rsid w:val="00740698"/>
    <w:rsid w:val="007408DC"/>
    <w:rsid w:val="00740991"/>
    <w:rsid w:val="00740A8C"/>
    <w:rsid w:val="00740C94"/>
    <w:rsid w:val="00740E8B"/>
    <w:rsid w:val="00741084"/>
    <w:rsid w:val="007415A9"/>
    <w:rsid w:val="00741706"/>
    <w:rsid w:val="00741A54"/>
    <w:rsid w:val="00741E0D"/>
    <w:rsid w:val="00742067"/>
    <w:rsid w:val="007420F7"/>
    <w:rsid w:val="0074220F"/>
    <w:rsid w:val="00742317"/>
    <w:rsid w:val="00742676"/>
    <w:rsid w:val="0074280F"/>
    <w:rsid w:val="00742986"/>
    <w:rsid w:val="00742F64"/>
    <w:rsid w:val="00743212"/>
    <w:rsid w:val="007439F8"/>
    <w:rsid w:val="00744015"/>
    <w:rsid w:val="007440BF"/>
    <w:rsid w:val="007445C2"/>
    <w:rsid w:val="00744C5D"/>
    <w:rsid w:val="00744CE0"/>
    <w:rsid w:val="00745222"/>
    <w:rsid w:val="00745E16"/>
    <w:rsid w:val="007462DE"/>
    <w:rsid w:val="00746553"/>
    <w:rsid w:val="0074683C"/>
    <w:rsid w:val="00746C0F"/>
    <w:rsid w:val="00746CE5"/>
    <w:rsid w:val="00746EA7"/>
    <w:rsid w:val="0074768A"/>
    <w:rsid w:val="00747CFE"/>
    <w:rsid w:val="00747F47"/>
    <w:rsid w:val="00747F96"/>
    <w:rsid w:val="00750116"/>
    <w:rsid w:val="0075045B"/>
    <w:rsid w:val="007508E3"/>
    <w:rsid w:val="007509F1"/>
    <w:rsid w:val="00750CCA"/>
    <w:rsid w:val="00751080"/>
    <w:rsid w:val="00751292"/>
    <w:rsid w:val="00751C2E"/>
    <w:rsid w:val="00752033"/>
    <w:rsid w:val="007528C6"/>
    <w:rsid w:val="00752C8F"/>
    <w:rsid w:val="00753054"/>
    <w:rsid w:val="007530B0"/>
    <w:rsid w:val="007534FB"/>
    <w:rsid w:val="0075355E"/>
    <w:rsid w:val="0075365F"/>
    <w:rsid w:val="00753728"/>
    <w:rsid w:val="00753B6E"/>
    <w:rsid w:val="0075403F"/>
    <w:rsid w:val="0075427B"/>
    <w:rsid w:val="00754967"/>
    <w:rsid w:val="00754A0D"/>
    <w:rsid w:val="00755043"/>
    <w:rsid w:val="00755213"/>
    <w:rsid w:val="00755404"/>
    <w:rsid w:val="007554F2"/>
    <w:rsid w:val="00755537"/>
    <w:rsid w:val="0075567E"/>
    <w:rsid w:val="007556EE"/>
    <w:rsid w:val="00755C98"/>
    <w:rsid w:val="00755D18"/>
    <w:rsid w:val="00755D46"/>
    <w:rsid w:val="00755E6C"/>
    <w:rsid w:val="00756183"/>
    <w:rsid w:val="00756663"/>
    <w:rsid w:val="00756879"/>
    <w:rsid w:val="00756CD9"/>
    <w:rsid w:val="00757127"/>
    <w:rsid w:val="0075723A"/>
    <w:rsid w:val="0075724F"/>
    <w:rsid w:val="00757A15"/>
    <w:rsid w:val="00760246"/>
    <w:rsid w:val="00760435"/>
    <w:rsid w:val="00760785"/>
    <w:rsid w:val="00760EA8"/>
    <w:rsid w:val="0076108D"/>
    <w:rsid w:val="007619C1"/>
    <w:rsid w:val="00761C66"/>
    <w:rsid w:val="00761C8C"/>
    <w:rsid w:val="0076246E"/>
    <w:rsid w:val="00763151"/>
    <w:rsid w:val="007635F9"/>
    <w:rsid w:val="007637F9"/>
    <w:rsid w:val="0076393F"/>
    <w:rsid w:val="007639CC"/>
    <w:rsid w:val="00763B1A"/>
    <w:rsid w:val="00763C11"/>
    <w:rsid w:val="00764061"/>
    <w:rsid w:val="007641E3"/>
    <w:rsid w:val="00764425"/>
    <w:rsid w:val="00764927"/>
    <w:rsid w:val="0076501E"/>
    <w:rsid w:val="007654B1"/>
    <w:rsid w:val="007654FE"/>
    <w:rsid w:val="007656A8"/>
    <w:rsid w:val="00765E51"/>
    <w:rsid w:val="007660C4"/>
    <w:rsid w:val="007666AD"/>
    <w:rsid w:val="007668CF"/>
    <w:rsid w:val="00766BDB"/>
    <w:rsid w:val="00767143"/>
    <w:rsid w:val="0076721A"/>
    <w:rsid w:val="007672DD"/>
    <w:rsid w:val="0076739A"/>
    <w:rsid w:val="0076766E"/>
    <w:rsid w:val="00767AF3"/>
    <w:rsid w:val="00767B47"/>
    <w:rsid w:val="0077001C"/>
    <w:rsid w:val="00770599"/>
    <w:rsid w:val="00770776"/>
    <w:rsid w:val="007708C1"/>
    <w:rsid w:val="00770944"/>
    <w:rsid w:val="00770ADC"/>
    <w:rsid w:val="00770D34"/>
    <w:rsid w:val="007711A0"/>
    <w:rsid w:val="007713D8"/>
    <w:rsid w:val="007713ED"/>
    <w:rsid w:val="007715F1"/>
    <w:rsid w:val="00771913"/>
    <w:rsid w:val="00771B12"/>
    <w:rsid w:val="00771BAA"/>
    <w:rsid w:val="00771EB9"/>
    <w:rsid w:val="00771FCC"/>
    <w:rsid w:val="0077210B"/>
    <w:rsid w:val="00772412"/>
    <w:rsid w:val="00772700"/>
    <w:rsid w:val="0077300C"/>
    <w:rsid w:val="007730C5"/>
    <w:rsid w:val="007730F9"/>
    <w:rsid w:val="0077359B"/>
    <w:rsid w:val="0077387B"/>
    <w:rsid w:val="00773B13"/>
    <w:rsid w:val="007748D7"/>
    <w:rsid w:val="00774BFA"/>
    <w:rsid w:val="00774C90"/>
    <w:rsid w:val="00774E81"/>
    <w:rsid w:val="007757BA"/>
    <w:rsid w:val="0077594D"/>
    <w:rsid w:val="00775C24"/>
    <w:rsid w:val="007763DF"/>
    <w:rsid w:val="00776584"/>
    <w:rsid w:val="007767F5"/>
    <w:rsid w:val="0077694F"/>
    <w:rsid w:val="007769CA"/>
    <w:rsid w:val="0077718D"/>
    <w:rsid w:val="00777844"/>
    <w:rsid w:val="00777E21"/>
    <w:rsid w:val="00777F00"/>
    <w:rsid w:val="00777F8B"/>
    <w:rsid w:val="0078041E"/>
    <w:rsid w:val="00780496"/>
    <w:rsid w:val="00780846"/>
    <w:rsid w:val="00780AFF"/>
    <w:rsid w:val="00780E9F"/>
    <w:rsid w:val="00781432"/>
    <w:rsid w:val="007816C6"/>
    <w:rsid w:val="0078184A"/>
    <w:rsid w:val="00781908"/>
    <w:rsid w:val="00781BF5"/>
    <w:rsid w:val="00781FED"/>
    <w:rsid w:val="0078216E"/>
    <w:rsid w:val="00782260"/>
    <w:rsid w:val="007823FC"/>
    <w:rsid w:val="007824E3"/>
    <w:rsid w:val="00782FD0"/>
    <w:rsid w:val="00783546"/>
    <w:rsid w:val="00783904"/>
    <w:rsid w:val="00783A0A"/>
    <w:rsid w:val="00783DD2"/>
    <w:rsid w:val="00784285"/>
    <w:rsid w:val="00784472"/>
    <w:rsid w:val="00784478"/>
    <w:rsid w:val="0078464B"/>
    <w:rsid w:val="00784694"/>
    <w:rsid w:val="00784705"/>
    <w:rsid w:val="00785365"/>
    <w:rsid w:val="0078536A"/>
    <w:rsid w:val="0078538D"/>
    <w:rsid w:val="00785472"/>
    <w:rsid w:val="007857E0"/>
    <w:rsid w:val="00785822"/>
    <w:rsid w:val="00785CB8"/>
    <w:rsid w:val="007862C9"/>
    <w:rsid w:val="007863ED"/>
    <w:rsid w:val="00786854"/>
    <w:rsid w:val="00786A63"/>
    <w:rsid w:val="00786C01"/>
    <w:rsid w:val="00786E6D"/>
    <w:rsid w:val="00786EEF"/>
    <w:rsid w:val="007874F8"/>
    <w:rsid w:val="00787520"/>
    <w:rsid w:val="0078779D"/>
    <w:rsid w:val="00787A45"/>
    <w:rsid w:val="00787BD1"/>
    <w:rsid w:val="00787EDB"/>
    <w:rsid w:val="00790543"/>
    <w:rsid w:val="00790829"/>
    <w:rsid w:val="00790D8B"/>
    <w:rsid w:val="00791335"/>
    <w:rsid w:val="007914F1"/>
    <w:rsid w:val="00791A41"/>
    <w:rsid w:val="00791D9C"/>
    <w:rsid w:val="00791F36"/>
    <w:rsid w:val="00791FFD"/>
    <w:rsid w:val="00792159"/>
    <w:rsid w:val="007924F3"/>
    <w:rsid w:val="00792982"/>
    <w:rsid w:val="00792AD2"/>
    <w:rsid w:val="00792B00"/>
    <w:rsid w:val="00792BFB"/>
    <w:rsid w:val="00792CE3"/>
    <w:rsid w:val="00792E7C"/>
    <w:rsid w:val="00792F6C"/>
    <w:rsid w:val="007930B1"/>
    <w:rsid w:val="007936A3"/>
    <w:rsid w:val="00793FE4"/>
    <w:rsid w:val="00794042"/>
    <w:rsid w:val="00794B1C"/>
    <w:rsid w:val="00794FD9"/>
    <w:rsid w:val="0079502F"/>
    <w:rsid w:val="00795079"/>
    <w:rsid w:val="007951AF"/>
    <w:rsid w:val="0079531E"/>
    <w:rsid w:val="00795D12"/>
    <w:rsid w:val="00795DB7"/>
    <w:rsid w:val="007960F2"/>
    <w:rsid w:val="0079611F"/>
    <w:rsid w:val="007964F5"/>
    <w:rsid w:val="00796664"/>
    <w:rsid w:val="00796961"/>
    <w:rsid w:val="00796BC8"/>
    <w:rsid w:val="00796CD2"/>
    <w:rsid w:val="00796F76"/>
    <w:rsid w:val="00797126"/>
    <w:rsid w:val="0079727E"/>
    <w:rsid w:val="00797D85"/>
    <w:rsid w:val="00797F1C"/>
    <w:rsid w:val="00797F8E"/>
    <w:rsid w:val="007A0199"/>
    <w:rsid w:val="007A1036"/>
    <w:rsid w:val="007A12BF"/>
    <w:rsid w:val="007A14CB"/>
    <w:rsid w:val="007A168A"/>
    <w:rsid w:val="007A1DC3"/>
    <w:rsid w:val="007A1F52"/>
    <w:rsid w:val="007A1FF0"/>
    <w:rsid w:val="007A20D9"/>
    <w:rsid w:val="007A28AA"/>
    <w:rsid w:val="007A2A91"/>
    <w:rsid w:val="007A319F"/>
    <w:rsid w:val="007A31A4"/>
    <w:rsid w:val="007A384D"/>
    <w:rsid w:val="007A3AD3"/>
    <w:rsid w:val="007A3AFB"/>
    <w:rsid w:val="007A3C5E"/>
    <w:rsid w:val="007A3CB2"/>
    <w:rsid w:val="007A402A"/>
    <w:rsid w:val="007A415F"/>
    <w:rsid w:val="007A47C1"/>
    <w:rsid w:val="007A4883"/>
    <w:rsid w:val="007A4B4F"/>
    <w:rsid w:val="007A4C9D"/>
    <w:rsid w:val="007A5279"/>
    <w:rsid w:val="007A52B2"/>
    <w:rsid w:val="007A5409"/>
    <w:rsid w:val="007A54F9"/>
    <w:rsid w:val="007A5617"/>
    <w:rsid w:val="007A566F"/>
    <w:rsid w:val="007A56E8"/>
    <w:rsid w:val="007A5791"/>
    <w:rsid w:val="007A58C4"/>
    <w:rsid w:val="007A5B11"/>
    <w:rsid w:val="007A614D"/>
    <w:rsid w:val="007A6294"/>
    <w:rsid w:val="007A62F3"/>
    <w:rsid w:val="007A6322"/>
    <w:rsid w:val="007A6403"/>
    <w:rsid w:val="007A641B"/>
    <w:rsid w:val="007A69DE"/>
    <w:rsid w:val="007A6B0F"/>
    <w:rsid w:val="007A6C0F"/>
    <w:rsid w:val="007A6C2A"/>
    <w:rsid w:val="007A731A"/>
    <w:rsid w:val="007A7560"/>
    <w:rsid w:val="007A7570"/>
    <w:rsid w:val="007A7EA1"/>
    <w:rsid w:val="007A7FD8"/>
    <w:rsid w:val="007B0193"/>
    <w:rsid w:val="007B037E"/>
    <w:rsid w:val="007B0668"/>
    <w:rsid w:val="007B097A"/>
    <w:rsid w:val="007B0EFD"/>
    <w:rsid w:val="007B103E"/>
    <w:rsid w:val="007B13C6"/>
    <w:rsid w:val="007B1658"/>
    <w:rsid w:val="007B1AFF"/>
    <w:rsid w:val="007B1DA9"/>
    <w:rsid w:val="007B234D"/>
    <w:rsid w:val="007B2730"/>
    <w:rsid w:val="007B29AC"/>
    <w:rsid w:val="007B2ABD"/>
    <w:rsid w:val="007B2AD6"/>
    <w:rsid w:val="007B2C31"/>
    <w:rsid w:val="007B319C"/>
    <w:rsid w:val="007B32D0"/>
    <w:rsid w:val="007B33DB"/>
    <w:rsid w:val="007B3405"/>
    <w:rsid w:val="007B36BF"/>
    <w:rsid w:val="007B3A2D"/>
    <w:rsid w:val="007B3B1E"/>
    <w:rsid w:val="007B4922"/>
    <w:rsid w:val="007B4EEE"/>
    <w:rsid w:val="007B4F95"/>
    <w:rsid w:val="007B569F"/>
    <w:rsid w:val="007B591F"/>
    <w:rsid w:val="007B5D50"/>
    <w:rsid w:val="007B5EC8"/>
    <w:rsid w:val="007B616C"/>
    <w:rsid w:val="007B64F4"/>
    <w:rsid w:val="007B6532"/>
    <w:rsid w:val="007B65B8"/>
    <w:rsid w:val="007B6B32"/>
    <w:rsid w:val="007B6D7B"/>
    <w:rsid w:val="007B739F"/>
    <w:rsid w:val="007B7996"/>
    <w:rsid w:val="007B7E8A"/>
    <w:rsid w:val="007B7EB1"/>
    <w:rsid w:val="007C03EF"/>
    <w:rsid w:val="007C06DF"/>
    <w:rsid w:val="007C0969"/>
    <w:rsid w:val="007C11FB"/>
    <w:rsid w:val="007C129F"/>
    <w:rsid w:val="007C141C"/>
    <w:rsid w:val="007C1C01"/>
    <w:rsid w:val="007C1DE9"/>
    <w:rsid w:val="007C1E7E"/>
    <w:rsid w:val="007C2D7A"/>
    <w:rsid w:val="007C2DA9"/>
    <w:rsid w:val="007C2E80"/>
    <w:rsid w:val="007C3192"/>
    <w:rsid w:val="007C31A5"/>
    <w:rsid w:val="007C3514"/>
    <w:rsid w:val="007C35DC"/>
    <w:rsid w:val="007C36DF"/>
    <w:rsid w:val="007C41B9"/>
    <w:rsid w:val="007C447C"/>
    <w:rsid w:val="007C45FA"/>
    <w:rsid w:val="007C488D"/>
    <w:rsid w:val="007C4C9D"/>
    <w:rsid w:val="007C4E4B"/>
    <w:rsid w:val="007C51B8"/>
    <w:rsid w:val="007C64D7"/>
    <w:rsid w:val="007C6BA8"/>
    <w:rsid w:val="007C6CF2"/>
    <w:rsid w:val="007C6CF4"/>
    <w:rsid w:val="007C6F9A"/>
    <w:rsid w:val="007C7006"/>
    <w:rsid w:val="007C719B"/>
    <w:rsid w:val="007C71E7"/>
    <w:rsid w:val="007C76C2"/>
    <w:rsid w:val="007C778A"/>
    <w:rsid w:val="007C78B3"/>
    <w:rsid w:val="007C7C1C"/>
    <w:rsid w:val="007C7DE3"/>
    <w:rsid w:val="007C7E52"/>
    <w:rsid w:val="007C7F18"/>
    <w:rsid w:val="007D003A"/>
    <w:rsid w:val="007D044A"/>
    <w:rsid w:val="007D055A"/>
    <w:rsid w:val="007D08C0"/>
    <w:rsid w:val="007D11D9"/>
    <w:rsid w:val="007D11FF"/>
    <w:rsid w:val="007D1204"/>
    <w:rsid w:val="007D1346"/>
    <w:rsid w:val="007D15A1"/>
    <w:rsid w:val="007D180E"/>
    <w:rsid w:val="007D1EED"/>
    <w:rsid w:val="007D22F1"/>
    <w:rsid w:val="007D2405"/>
    <w:rsid w:val="007D28E8"/>
    <w:rsid w:val="007D2D92"/>
    <w:rsid w:val="007D2FD2"/>
    <w:rsid w:val="007D3412"/>
    <w:rsid w:val="007D3B9A"/>
    <w:rsid w:val="007D3C6F"/>
    <w:rsid w:val="007D4337"/>
    <w:rsid w:val="007D4424"/>
    <w:rsid w:val="007D4DB8"/>
    <w:rsid w:val="007D510B"/>
    <w:rsid w:val="007D5258"/>
    <w:rsid w:val="007D56D5"/>
    <w:rsid w:val="007D6549"/>
    <w:rsid w:val="007D66BA"/>
    <w:rsid w:val="007D6B79"/>
    <w:rsid w:val="007D6CA1"/>
    <w:rsid w:val="007D6F1E"/>
    <w:rsid w:val="007D7429"/>
    <w:rsid w:val="007D769C"/>
    <w:rsid w:val="007D778A"/>
    <w:rsid w:val="007D785C"/>
    <w:rsid w:val="007D7F0F"/>
    <w:rsid w:val="007E071E"/>
    <w:rsid w:val="007E09D5"/>
    <w:rsid w:val="007E0A57"/>
    <w:rsid w:val="007E0B68"/>
    <w:rsid w:val="007E129A"/>
    <w:rsid w:val="007E136F"/>
    <w:rsid w:val="007E1598"/>
    <w:rsid w:val="007E1A60"/>
    <w:rsid w:val="007E1E74"/>
    <w:rsid w:val="007E24CD"/>
    <w:rsid w:val="007E2BA4"/>
    <w:rsid w:val="007E3171"/>
    <w:rsid w:val="007E3253"/>
    <w:rsid w:val="007E3BFE"/>
    <w:rsid w:val="007E3EAE"/>
    <w:rsid w:val="007E43D4"/>
    <w:rsid w:val="007E4AC3"/>
    <w:rsid w:val="007E5767"/>
    <w:rsid w:val="007E5893"/>
    <w:rsid w:val="007E5957"/>
    <w:rsid w:val="007E59EA"/>
    <w:rsid w:val="007E5AD2"/>
    <w:rsid w:val="007E5E52"/>
    <w:rsid w:val="007E615F"/>
    <w:rsid w:val="007E61EB"/>
    <w:rsid w:val="007E6AAB"/>
    <w:rsid w:val="007E6E9F"/>
    <w:rsid w:val="007E6F1B"/>
    <w:rsid w:val="007E702B"/>
    <w:rsid w:val="007E7106"/>
    <w:rsid w:val="007E718F"/>
    <w:rsid w:val="007E719D"/>
    <w:rsid w:val="007E73BD"/>
    <w:rsid w:val="007E73D3"/>
    <w:rsid w:val="007E73F0"/>
    <w:rsid w:val="007E7419"/>
    <w:rsid w:val="007E750E"/>
    <w:rsid w:val="007E7CFF"/>
    <w:rsid w:val="007F067A"/>
    <w:rsid w:val="007F06ED"/>
    <w:rsid w:val="007F0987"/>
    <w:rsid w:val="007F0A71"/>
    <w:rsid w:val="007F0B2F"/>
    <w:rsid w:val="007F1381"/>
    <w:rsid w:val="007F145A"/>
    <w:rsid w:val="007F16E8"/>
    <w:rsid w:val="007F18E8"/>
    <w:rsid w:val="007F230F"/>
    <w:rsid w:val="007F2913"/>
    <w:rsid w:val="007F2FC8"/>
    <w:rsid w:val="007F2FD8"/>
    <w:rsid w:val="007F317A"/>
    <w:rsid w:val="007F320E"/>
    <w:rsid w:val="007F3810"/>
    <w:rsid w:val="007F3D26"/>
    <w:rsid w:val="007F4BDE"/>
    <w:rsid w:val="007F5CA4"/>
    <w:rsid w:val="007F6201"/>
    <w:rsid w:val="007F620D"/>
    <w:rsid w:val="007F65F5"/>
    <w:rsid w:val="007F67C6"/>
    <w:rsid w:val="007F6895"/>
    <w:rsid w:val="007F6F76"/>
    <w:rsid w:val="007F6FB1"/>
    <w:rsid w:val="007F6FCA"/>
    <w:rsid w:val="007F77D2"/>
    <w:rsid w:val="007F7812"/>
    <w:rsid w:val="008005CA"/>
    <w:rsid w:val="008007FA"/>
    <w:rsid w:val="0080098F"/>
    <w:rsid w:val="00800BDA"/>
    <w:rsid w:val="00800F34"/>
    <w:rsid w:val="008011B4"/>
    <w:rsid w:val="00801565"/>
    <w:rsid w:val="00801719"/>
    <w:rsid w:val="0080189C"/>
    <w:rsid w:val="0080195A"/>
    <w:rsid w:val="00801BAE"/>
    <w:rsid w:val="008029F8"/>
    <w:rsid w:val="008032AA"/>
    <w:rsid w:val="008034A8"/>
    <w:rsid w:val="0080374E"/>
    <w:rsid w:val="00803806"/>
    <w:rsid w:val="00803CBF"/>
    <w:rsid w:val="00803F18"/>
    <w:rsid w:val="00804312"/>
    <w:rsid w:val="00804CB0"/>
    <w:rsid w:val="00804FD2"/>
    <w:rsid w:val="00805900"/>
    <w:rsid w:val="00805B13"/>
    <w:rsid w:val="00806438"/>
    <w:rsid w:val="00806D1C"/>
    <w:rsid w:val="00806DB6"/>
    <w:rsid w:val="0080726A"/>
    <w:rsid w:val="00807503"/>
    <w:rsid w:val="008076CF"/>
    <w:rsid w:val="008076E5"/>
    <w:rsid w:val="00807B5A"/>
    <w:rsid w:val="00807C39"/>
    <w:rsid w:val="00807C56"/>
    <w:rsid w:val="00807EA9"/>
    <w:rsid w:val="00810A4F"/>
    <w:rsid w:val="00810A62"/>
    <w:rsid w:val="00811066"/>
    <w:rsid w:val="00811842"/>
    <w:rsid w:val="00811A82"/>
    <w:rsid w:val="00811D80"/>
    <w:rsid w:val="00811EDA"/>
    <w:rsid w:val="00811F72"/>
    <w:rsid w:val="00812057"/>
    <w:rsid w:val="00812332"/>
    <w:rsid w:val="00812904"/>
    <w:rsid w:val="0081298B"/>
    <w:rsid w:val="008129BF"/>
    <w:rsid w:val="00812DD4"/>
    <w:rsid w:val="0081311B"/>
    <w:rsid w:val="0081367B"/>
    <w:rsid w:val="008136DA"/>
    <w:rsid w:val="00813C43"/>
    <w:rsid w:val="00813C47"/>
    <w:rsid w:val="00813DC9"/>
    <w:rsid w:val="00814029"/>
    <w:rsid w:val="00814B82"/>
    <w:rsid w:val="00814C88"/>
    <w:rsid w:val="008150DF"/>
    <w:rsid w:val="00815103"/>
    <w:rsid w:val="00815BA0"/>
    <w:rsid w:val="00815CE6"/>
    <w:rsid w:val="00816856"/>
    <w:rsid w:val="00816A91"/>
    <w:rsid w:val="00816BD7"/>
    <w:rsid w:val="00816FF2"/>
    <w:rsid w:val="00817419"/>
    <w:rsid w:val="00817FB9"/>
    <w:rsid w:val="00820377"/>
    <w:rsid w:val="0082049F"/>
    <w:rsid w:val="00820572"/>
    <w:rsid w:val="008207F9"/>
    <w:rsid w:val="00820C04"/>
    <w:rsid w:val="00820C42"/>
    <w:rsid w:val="00820DC9"/>
    <w:rsid w:val="00820EBD"/>
    <w:rsid w:val="00820F74"/>
    <w:rsid w:val="0082107B"/>
    <w:rsid w:val="00821343"/>
    <w:rsid w:val="00821E5E"/>
    <w:rsid w:val="00821F90"/>
    <w:rsid w:val="00821F99"/>
    <w:rsid w:val="00822818"/>
    <w:rsid w:val="00822931"/>
    <w:rsid w:val="00822A0F"/>
    <w:rsid w:val="00822ADD"/>
    <w:rsid w:val="00822E9F"/>
    <w:rsid w:val="008236BE"/>
    <w:rsid w:val="0082379A"/>
    <w:rsid w:val="00823A3E"/>
    <w:rsid w:val="00823CC8"/>
    <w:rsid w:val="008242C3"/>
    <w:rsid w:val="0082483F"/>
    <w:rsid w:val="00824870"/>
    <w:rsid w:val="00824A21"/>
    <w:rsid w:val="0082502F"/>
    <w:rsid w:val="0082505D"/>
    <w:rsid w:val="00825241"/>
    <w:rsid w:val="008256A4"/>
    <w:rsid w:val="00825ACC"/>
    <w:rsid w:val="00825F50"/>
    <w:rsid w:val="0082696F"/>
    <w:rsid w:val="00826B7E"/>
    <w:rsid w:val="00826D52"/>
    <w:rsid w:val="00827023"/>
    <w:rsid w:val="0082714E"/>
    <w:rsid w:val="008278C6"/>
    <w:rsid w:val="00827920"/>
    <w:rsid w:val="00827D69"/>
    <w:rsid w:val="008300DF"/>
    <w:rsid w:val="008304ED"/>
    <w:rsid w:val="00830521"/>
    <w:rsid w:val="0083066C"/>
    <w:rsid w:val="008307FF"/>
    <w:rsid w:val="008310CA"/>
    <w:rsid w:val="00831168"/>
    <w:rsid w:val="008315F8"/>
    <w:rsid w:val="008318EF"/>
    <w:rsid w:val="00831A2A"/>
    <w:rsid w:val="00831FC3"/>
    <w:rsid w:val="008322BA"/>
    <w:rsid w:val="008325D6"/>
    <w:rsid w:val="008328F9"/>
    <w:rsid w:val="0083297B"/>
    <w:rsid w:val="00832B9C"/>
    <w:rsid w:val="00832D93"/>
    <w:rsid w:val="00832E61"/>
    <w:rsid w:val="008331A9"/>
    <w:rsid w:val="00833437"/>
    <w:rsid w:val="008335E3"/>
    <w:rsid w:val="0083370A"/>
    <w:rsid w:val="00833ACA"/>
    <w:rsid w:val="00833E29"/>
    <w:rsid w:val="00834155"/>
    <w:rsid w:val="008341CC"/>
    <w:rsid w:val="00834282"/>
    <w:rsid w:val="00834C6D"/>
    <w:rsid w:val="00834E40"/>
    <w:rsid w:val="00835BC5"/>
    <w:rsid w:val="00835CE2"/>
    <w:rsid w:val="008361F3"/>
    <w:rsid w:val="008365CF"/>
    <w:rsid w:val="008371D7"/>
    <w:rsid w:val="00837248"/>
    <w:rsid w:val="008372B6"/>
    <w:rsid w:val="00837740"/>
    <w:rsid w:val="0083783B"/>
    <w:rsid w:val="00837A21"/>
    <w:rsid w:val="00837DA4"/>
    <w:rsid w:val="00837EF5"/>
    <w:rsid w:val="0084083C"/>
    <w:rsid w:val="00840A9A"/>
    <w:rsid w:val="00840BFB"/>
    <w:rsid w:val="00841025"/>
    <w:rsid w:val="008412BA"/>
    <w:rsid w:val="0084131B"/>
    <w:rsid w:val="0084164C"/>
    <w:rsid w:val="00841AD0"/>
    <w:rsid w:val="00841D4D"/>
    <w:rsid w:val="008421B3"/>
    <w:rsid w:val="008423A3"/>
    <w:rsid w:val="008424BC"/>
    <w:rsid w:val="00842BDA"/>
    <w:rsid w:val="00843116"/>
    <w:rsid w:val="00843150"/>
    <w:rsid w:val="00843767"/>
    <w:rsid w:val="0084388E"/>
    <w:rsid w:val="00843AE0"/>
    <w:rsid w:val="00843C3E"/>
    <w:rsid w:val="008440AF"/>
    <w:rsid w:val="008441F6"/>
    <w:rsid w:val="0084425E"/>
    <w:rsid w:val="00844268"/>
    <w:rsid w:val="00844709"/>
    <w:rsid w:val="00844D37"/>
    <w:rsid w:val="00844ED0"/>
    <w:rsid w:val="00845BA7"/>
    <w:rsid w:val="008463FE"/>
    <w:rsid w:val="008468BF"/>
    <w:rsid w:val="00846B6F"/>
    <w:rsid w:val="00847217"/>
    <w:rsid w:val="0084731B"/>
    <w:rsid w:val="008473C7"/>
    <w:rsid w:val="0084747E"/>
    <w:rsid w:val="008479F4"/>
    <w:rsid w:val="00847C46"/>
    <w:rsid w:val="00847DCF"/>
    <w:rsid w:val="00847E57"/>
    <w:rsid w:val="0085019A"/>
    <w:rsid w:val="008503BB"/>
    <w:rsid w:val="0085041B"/>
    <w:rsid w:val="00850C82"/>
    <w:rsid w:val="008510C3"/>
    <w:rsid w:val="008516F4"/>
    <w:rsid w:val="008516F7"/>
    <w:rsid w:val="00851B82"/>
    <w:rsid w:val="00851C70"/>
    <w:rsid w:val="00851F22"/>
    <w:rsid w:val="00852222"/>
    <w:rsid w:val="00852325"/>
    <w:rsid w:val="008527F8"/>
    <w:rsid w:val="008529F6"/>
    <w:rsid w:val="008530F2"/>
    <w:rsid w:val="00853AF0"/>
    <w:rsid w:val="00853C29"/>
    <w:rsid w:val="00853D34"/>
    <w:rsid w:val="00854350"/>
    <w:rsid w:val="00854418"/>
    <w:rsid w:val="00854585"/>
    <w:rsid w:val="008545C2"/>
    <w:rsid w:val="008548FD"/>
    <w:rsid w:val="0085491F"/>
    <w:rsid w:val="00854F94"/>
    <w:rsid w:val="00855292"/>
    <w:rsid w:val="00856745"/>
    <w:rsid w:val="008567A4"/>
    <w:rsid w:val="00856836"/>
    <w:rsid w:val="00856E2D"/>
    <w:rsid w:val="008572AB"/>
    <w:rsid w:val="00857582"/>
    <w:rsid w:val="008577F4"/>
    <w:rsid w:val="00857AB6"/>
    <w:rsid w:val="00860440"/>
    <w:rsid w:val="00860788"/>
    <w:rsid w:val="00860A0E"/>
    <w:rsid w:val="00860B35"/>
    <w:rsid w:val="0086164A"/>
    <w:rsid w:val="00861BDE"/>
    <w:rsid w:val="00861C8C"/>
    <w:rsid w:val="00861D3B"/>
    <w:rsid w:val="00861EBD"/>
    <w:rsid w:val="008620C3"/>
    <w:rsid w:val="008628C0"/>
    <w:rsid w:val="008628E0"/>
    <w:rsid w:val="00862E36"/>
    <w:rsid w:val="00862F74"/>
    <w:rsid w:val="00863520"/>
    <w:rsid w:val="00863899"/>
    <w:rsid w:val="008639D1"/>
    <w:rsid w:val="00863BF7"/>
    <w:rsid w:val="00863CA0"/>
    <w:rsid w:val="00863F9F"/>
    <w:rsid w:val="00864C84"/>
    <w:rsid w:val="00865218"/>
    <w:rsid w:val="00865773"/>
    <w:rsid w:val="008659C5"/>
    <w:rsid w:val="00865D1A"/>
    <w:rsid w:val="0086631A"/>
    <w:rsid w:val="0086640D"/>
    <w:rsid w:val="008664A8"/>
    <w:rsid w:val="00867402"/>
    <w:rsid w:val="00867576"/>
    <w:rsid w:val="0086768B"/>
    <w:rsid w:val="00867CB6"/>
    <w:rsid w:val="00867DC8"/>
    <w:rsid w:val="00867DE7"/>
    <w:rsid w:val="00867E25"/>
    <w:rsid w:val="00870D59"/>
    <w:rsid w:val="00871257"/>
    <w:rsid w:val="0087127C"/>
    <w:rsid w:val="00871566"/>
    <w:rsid w:val="00871656"/>
    <w:rsid w:val="00871DD7"/>
    <w:rsid w:val="00871ED0"/>
    <w:rsid w:val="0087201A"/>
    <w:rsid w:val="0087210C"/>
    <w:rsid w:val="008721F6"/>
    <w:rsid w:val="00872416"/>
    <w:rsid w:val="00872C22"/>
    <w:rsid w:val="00872E2F"/>
    <w:rsid w:val="00873884"/>
    <w:rsid w:val="00873F2B"/>
    <w:rsid w:val="00873FDA"/>
    <w:rsid w:val="00874095"/>
    <w:rsid w:val="00874971"/>
    <w:rsid w:val="00874D5B"/>
    <w:rsid w:val="00874EFB"/>
    <w:rsid w:val="00875305"/>
    <w:rsid w:val="0087534B"/>
    <w:rsid w:val="008757CA"/>
    <w:rsid w:val="008759CA"/>
    <w:rsid w:val="00875A7F"/>
    <w:rsid w:val="00875D4B"/>
    <w:rsid w:val="00875DC8"/>
    <w:rsid w:val="00876455"/>
    <w:rsid w:val="00876513"/>
    <w:rsid w:val="00876BF8"/>
    <w:rsid w:val="00876F3D"/>
    <w:rsid w:val="00877C3C"/>
    <w:rsid w:val="00877C7D"/>
    <w:rsid w:val="00877FC1"/>
    <w:rsid w:val="0088008B"/>
    <w:rsid w:val="008806ED"/>
    <w:rsid w:val="00880892"/>
    <w:rsid w:val="0088094E"/>
    <w:rsid w:val="00880C21"/>
    <w:rsid w:val="0088100E"/>
    <w:rsid w:val="008811D4"/>
    <w:rsid w:val="00881329"/>
    <w:rsid w:val="00881579"/>
    <w:rsid w:val="0088291B"/>
    <w:rsid w:val="00882DF9"/>
    <w:rsid w:val="00883053"/>
    <w:rsid w:val="0088331B"/>
    <w:rsid w:val="00883552"/>
    <w:rsid w:val="0088369B"/>
    <w:rsid w:val="00883A05"/>
    <w:rsid w:val="00883CB3"/>
    <w:rsid w:val="00883F3C"/>
    <w:rsid w:val="00883FEB"/>
    <w:rsid w:val="00884396"/>
    <w:rsid w:val="008846E7"/>
    <w:rsid w:val="00884869"/>
    <w:rsid w:val="008849B7"/>
    <w:rsid w:val="00885345"/>
    <w:rsid w:val="008857E9"/>
    <w:rsid w:val="008858D3"/>
    <w:rsid w:val="00885AAA"/>
    <w:rsid w:val="00885D2E"/>
    <w:rsid w:val="008861D2"/>
    <w:rsid w:val="0088674F"/>
    <w:rsid w:val="008867B6"/>
    <w:rsid w:val="008869E4"/>
    <w:rsid w:val="00886C80"/>
    <w:rsid w:val="00886CB1"/>
    <w:rsid w:val="00886DDA"/>
    <w:rsid w:val="008870F2"/>
    <w:rsid w:val="0088726C"/>
    <w:rsid w:val="00887714"/>
    <w:rsid w:val="00887783"/>
    <w:rsid w:val="00887877"/>
    <w:rsid w:val="00887DB4"/>
    <w:rsid w:val="00887E7B"/>
    <w:rsid w:val="00887E93"/>
    <w:rsid w:val="00887EAE"/>
    <w:rsid w:val="00890050"/>
    <w:rsid w:val="008901F4"/>
    <w:rsid w:val="00890D38"/>
    <w:rsid w:val="00890D4A"/>
    <w:rsid w:val="00892473"/>
    <w:rsid w:val="00892790"/>
    <w:rsid w:val="00892A3D"/>
    <w:rsid w:val="00892B9C"/>
    <w:rsid w:val="00893530"/>
    <w:rsid w:val="0089358B"/>
    <w:rsid w:val="008938A7"/>
    <w:rsid w:val="00893CD7"/>
    <w:rsid w:val="00893E8C"/>
    <w:rsid w:val="008945A8"/>
    <w:rsid w:val="00894CEE"/>
    <w:rsid w:val="00894DAE"/>
    <w:rsid w:val="00894E72"/>
    <w:rsid w:val="00894EDB"/>
    <w:rsid w:val="00895B83"/>
    <w:rsid w:val="00897DA2"/>
    <w:rsid w:val="00897DF0"/>
    <w:rsid w:val="00897E96"/>
    <w:rsid w:val="00897FA7"/>
    <w:rsid w:val="008A0897"/>
    <w:rsid w:val="008A0986"/>
    <w:rsid w:val="008A167E"/>
    <w:rsid w:val="008A169E"/>
    <w:rsid w:val="008A17EC"/>
    <w:rsid w:val="008A17F7"/>
    <w:rsid w:val="008A1BF6"/>
    <w:rsid w:val="008A1E4F"/>
    <w:rsid w:val="008A25AF"/>
    <w:rsid w:val="008A28C3"/>
    <w:rsid w:val="008A2D9E"/>
    <w:rsid w:val="008A2E1C"/>
    <w:rsid w:val="008A2E54"/>
    <w:rsid w:val="008A3002"/>
    <w:rsid w:val="008A330D"/>
    <w:rsid w:val="008A33A2"/>
    <w:rsid w:val="008A3D3A"/>
    <w:rsid w:val="008A3EBA"/>
    <w:rsid w:val="008A3F69"/>
    <w:rsid w:val="008A3FD7"/>
    <w:rsid w:val="008A40E2"/>
    <w:rsid w:val="008A4213"/>
    <w:rsid w:val="008A455E"/>
    <w:rsid w:val="008A476F"/>
    <w:rsid w:val="008A4958"/>
    <w:rsid w:val="008A4A83"/>
    <w:rsid w:val="008A52CB"/>
    <w:rsid w:val="008A6275"/>
    <w:rsid w:val="008A644C"/>
    <w:rsid w:val="008A6597"/>
    <w:rsid w:val="008A65E2"/>
    <w:rsid w:val="008A69B7"/>
    <w:rsid w:val="008A6A3C"/>
    <w:rsid w:val="008A70BD"/>
    <w:rsid w:val="008A70DF"/>
    <w:rsid w:val="008A70F1"/>
    <w:rsid w:val="008A7E52"/>
    <w:rsid w:val="008B036B"/>
    <w:rsid w:val="008B0535"/>
    <w:rsid w:val="008B0676"/>
    <w:rsid w:val="008B0B27"/>
    <w:rsid w:val="008B1931"/>
    <w:rsid w:val="008B1B10"/>
    <w:rsid w:val="008B2187"/>
    <w:rsid w:val="008B218D"/>
    <w:rsid w:val="008B2276"/>
    <w:rsid w:val="008B2826"/>
    <w:rsid w:val="008B28E1"/>
    <w:rsid w:val="008B2903"/>
    <w:rsid w:val="008B2B53"/>
    <w:rsid w:val="008B3089"/>
    <w:rsid w:val="008B3159"/>
    <w:rsid w:val="008B3203"/>
    <w:rsid w:val="008B3A09"/>
    <w:rsid w:val="008B3AF2"/>
    <w:rsid w:val="008B3C49"/>
    <w:rsid w:val="008B3CC7"/>
    <w:rsid w:val="008B42CB"/>
    <w:rsid w:val="008B4451"/>
    <w:rsid w:val="008B465B"/>
    <w:rsid w:val="008B4A04"/>
    <w:rsid w:val="008B4B9D"/>
    <w:rsid w:val="008B4C26"/>
    <w:rsid w:val="008B4E0E"/>
    <w:rsid w:val="008B5178"/>
    <w:rsid w:val="008B569C"/>
    <w:rsid w:val="008B59A9"/>
    <w:rsid w:val="008B6101"/>
    <w:rsid w:val="008B6118"/>
    <w:rsid w:val="008B6564"/>
    <w:rsid w:val="008B673F"/>
    <w:rsid w:val="008B6CA4"/>
    <w:rsid w:val="008B6D06"/>
    <w:rsid w:val="008B6D37"/>
    <w:rsid w:val="008B7D53"/>
    <w:rsid w:val="008B7FE3"/>
    <w:rsid w:val="008C014A"/>
    <w:rsid w:val="008C019C"/>
    <w:rsid w:val="008C09C2"/>
    <w:rsid w:val="008C0C38"/>
    <w:rsid w:val="008C0CA7"/>
    <w:rsid w:val="008C133C"/>
    <w:rsid w:val="008C1457"/>
    <w:rsid w:val="008C159E"/>
    <w:rsid w:val="008C195D"/>
    <w:rsid w:val="008C1AA1"/>
    <w:rsid w:val="008C1D90"/>
    <w:rsid w:val="008C2139"/>
    <w:rsid w:val="008C23F7"/>
    <w:rsid w:val="008C247E"/>
    <w:rsid w:val="008C2496"/>
    <w:rsid w:val="008C2D33"/>
    <w:rsid w:val="008C2D64"/>
    <w:rsid w:val="008C31B4"/>
    <w:rsid w:val="008C324E"/>
    <w:rsid w:val="008C3564"/>
    <w:rsid w:val="008C36C8"/>
    <w:rsid w:val="008C3818"/>
    <w:rsid w:val="008C3AA0"/>
    <w:rsid w:val="008C3BC8"/>
    <w:rsid w:val="008C40A1"/>
    <w:rsid w:val="008C423C"/>
    <w:rsid w:val="008C4502"/>
    <w:rsid w:val="008C456B"/>
    <w:rsid w:val="008C461F"/>
    <w:rsid w:val="008C47BC"/>
    <w:rsid w:val="008C4A5C"/>
    <w:rsid w:val="008C4AEF"/>
    <w:rsid w:val="008C57C6"/>
    <w:rsid w:val="008C58AA"/>
    <w:rsid w:val="008C5937"/>
    <w:rsid w:val="008C5E66"/>
    <w:rsid w:val="008C67B3"/>
    <w:rsid w:val="008C6B50"/>
    <w:rsid w:val="008C6EBF"/>
    <w:rsid w:val="008C71B4"/>
    <w:rsid w:val="008C7801"/>
    <w:rsid w:val="008C7B49"/>
    <w:rsid w:val="008C7BB3"/>
    <w:rsid w:val="008D0442"/>
    <w:rsid w:val="008D0670"/>
    <w:rsid w:val="008D076B"/>
    <w:rsid w:val="008D0B67"/>
    <w:rsid w:val="008D0C0A"/>
    <w:rsid w:val="008D0D4E"/>
    <w:rsid w:val="008D0D54"/>
    <w:rsid w:val="008D0E91"/>
    <w:rsid w:val="008D1117"/>
    <w:rsid w:val="008D11BE"/>
    <w:rsid w:val="008D1693"/>
    <w:rsid w:val="008D1F78"/>
    <w:rsid w:val="008D23B1"/>
    <w:rsid w:val="008D24F3"/>
    <w:rsid w:val="008D317E"/>
    <w:rsid w:val="008D3203"/>
    <w:rsid w:val="008D3525"/>
    <w:rsid w:val="008D3CE0"/>
    <w:rsid w:val="008D3EB8"/>
    <w:rsid w:val="008D411B"/>
    <w:rsid w:val="008D4480"/>
    <w:rsid w:val="008D48B5"/>
    <w:rsid w:val="008D4D16"/>
    <w:rsid w:val="008D5117"/>
    <w:rsid w:val="008D585F"/>
    <w:rsid w:val="008D5F6E"/>
    <w:rsid w:val="008D65A1"/>
    <w:rsid w:val="008D69A0"/>
    <w:rsid w:val="008D6F60"/>
    <w:rsid w:val="008D70ED"/>
    <w:rsid w:val="008D73AD"/>
    <w:rsid w:val="008E0D32"/>
    <w:rsid w:val="008E0E77"/>
    <w:rsid w:val="008E0EFF"/>
    <w:rsid w:val="008E0FBB"/>
    <w:rsid w:val="008E1675"/>
    <w:rsid w:val="008E1F85"/>
    <w:rsid w:val="008E1FB0"/>
    <w:rsid w:val="008E2515"/>
    <w:rsid w:val="008E293E"/>
    <w:rsid w:val="008E2D9A"/>
    <w:rsid w:val="008E2E95"/>
    <w:rsid w:val="008E2F48"/>
    <w:rsid w:val="008E2F5C"/>
    <w:rsid w:val="008E2F92"/>
    <w:rsid w:val="008E3CA4"/>
    <w:rsid w:val="008E3F16"/>
    <w:rsid w:val="008E45AE"/>
    <w:rsid w:val="008E477A"/>
    <w:rsid w:val="008E4BB8"/>
    <w:rsid w:val="008E4FB6"/>
    <w:rsid w:val="008E59E8"/>
    <w:rsid w:val="008E5DB7"/>
    <w:rsid w:val="008E5E15"/>
    <w:rsid w:val="008E5E7B"/>
    <w:rsid w:val="008E626A"/>
    <w:rsid w:val="008E62C5"/>
    <w:rsid w:val="008E64B5"/>
    <w:rsid w:val="008E66B2"/>
    <w:rsid w:val="008E6EC7"/>
    <w:rsid w:val="008E6FEF"/>
    <w:rsid w:val="008E714C"/>
    <w:rsid w:val="008E729D"/>
    <w:rsid w:val="008E7346"/>
    <w:rsid w:val="008E761A"/>
    <w:rsid w:val="008E7B0F"/>
    <w:rsid w:val="008F0637"/>
    <w:rsid w:val="008F064F"/>
    <w:rsid w:val="008F0C5B"/>
    <w:rsid w:val="008F0DA1"/>
    <w:rsid w:val="008F0F07"/>
    <w:rsid w:val="008F12C8"/>
    <w:rsid w:val="008F1373"/>
    <w:rsid w:val="008F14DB"/>
    <w:rsid w:val="008F16C7"/>
    <w:rsid w:val="008F197E"/>
    <w:rsid w:val="008F1991"/>
    <w:rsid w:val="008F1B53"/>
    <w:rsid w:val="008F1C03"/>
    <w:rsid w:val="008F1D0E"/>
    <w:rsid w:val="008F1D98"/>
    <w:rsid w:val="008F1DA2"/>
    <w:rsid w:val="008F1DAF"/>
    <w:rsid w:val="008F1DE1"/>
    <w:rsid w:val="008F1F63"/>
    <w:rsid w:val="008F263F"/>
    <w:rsid w:val="008F2640"/>
    <w:rsid w:val="008F2FD2"/>
    <w:rsid w:val="008F3486"/>
    <w:rsid w:val="008F34CA"/>
    <w:rsid w:val="008F394F"/>
    <w:rsid w:val="008F39D9"/>
    <w:rsid w:val="008F4063"/>
    <w:rsid w:val="008F42DF"/>
    <w:rsid w:val="008F486B"/>
    <w:rsid w:val="008F48D1"/>
    <w:rsid w:val="008F493B"/>
    <w:rsid w:val="008F4CB9"/>
    <w:rsid w:val="008F4E2F"/>
    <w:rsid w:val="008F4F3B"/>
    <w:rsid w:val="008F4F5B"/>
    <w:rsid w:val="008F4F6B"/>
    <w:rsid w:val="008F5260"/>
    <w:rsid w:val="008F5542"/>
    <w:rsid w:val="008F598E"/>
    <w:rsid w:val="008F5A0D"/>
    <w:rsid w:val="008F65C5"/>
    <w:rsid w:val="008F6634"/>
    <w:rsid w:val="008F6695"/>
    <w:rsid w:val="008F6D81"/>
    <w:rsid w:val="008F7044"/>
    <w:rsid w:val="008F710F"/>
    <w:rsid w:val="008F75EE"/>
    <w:rsid w:val="008F789A"/>
    <w:rsid w:val="008F7CD5"/>
    <w:rsid w:val="008F7E36"/>
    <w:rsid w:val="008F7E89"/>
    <w:rsid w:val="008F7F98"/>
    <w:rsid w:val="009002AE"/>
    <w:rsid w:val="009002E0"/>
    <w:rsid w:val="00900486"/>
    <w:rsid w:val="00900615"/>
    <w:rsid w:val="00900925"/>
    <w:rsid w:val="00900A41"/>
    <w:rsid w:val="00900BAD"/>
    <w:rsid w:val="00900BB4"/>
    <w:rsid w:val="00900C37"/>
    <w:rsid w:val="00900DC0"/>
    <w:rsid w:val="00900E12"/>
    <w:rsid w:val="009012C3"/>
    <w:rsid w:val="0090144A"/>
    <w:rsid w:val="0090191A"/>
    <w:rsid w:val="00901F93"/>
    <w:rsid w:val="0090207B"/>
    <w:rsid w:val="00902D62"/>
    <w:rsid w:val="0090327A"/>
    <w:rsid w:val="00903483"/>
    <w:rsid w:val="00903854"/>
    <w:rsid w:val="00903977"/>
    <w:rsid w:val="00903B9E"/>
    <w:rsid w:val="00903DD5"/>
    <w:rsid w:val="00903E09"/>
    <w:rsid w:val="00903E6D"/>
    <w:rsid w:val="00903E8F"/>
    <w:rsid w:val="00903F8E"/>
    <w:rsid w:val="00904BAB"/>
    <w:rsid w:val="00904C6C"/>
    <w:rsid w:val="00904FC4"/>
    <w:rsid w:val="00905055"/>
    <w:rsid w:val="0090560C"/>
    <w:rsid w:val="009056FA"/>
    <w:rsid w:val="00905763"/>
    <w:rsid w:val="00905B3B"/>
    <w:rsid w:val="00905F45"/>
    <w:rsid w:val="009061E4"/>
    <w:rsid w:val="009064B9"/>
    <w:rsid w:val="0090660A"/>
    <w:rsid w:val="00906849"/>
    <w:rsid w:val="00906A29"/>
    <w:rsid w:val="00907045"/>
    <w:rsid w:val="00907562"/>
    <w:rsid w:val="00907653"/>
    <w:rsid w:val="00907791"/>
    <w:rsid w:val="00907B4B"/>
    <w:rsid w:val="0091021C"/>
    <w:rsid w:val="00910A34"/>
    <w:rsid w:val="00910F7E"/>
    <w:rsid w:val="00910FAF"/>
    <w:rsid w:val="00911226"/>
    <w:rsid w:val="0091147F"/>
    <w:rsid w:val="0091151B"/>
    <w:rsid w:val="00911983"/>
    <w:rsid w:val="009119CF"/>
    <w:rsid w:val="00911C1C"/>
    <w:rsid w:val="00911DB1"/>
    <w:rsid w:val="00912016"/>
    <w:rsid w:val="009129FE"/>
    <w:rsid w:val="00912DF1"/>
    <w:rsid w:val="009130F3"/>
    <w:rsid w:val="009131B0"/>
    <w:rsid w:val="00913261"/>
    <w:rsid w:val="00913451"/>
    <w:rsid w:val="00913E62"/>
    <w:rsid w:val="00913E93"/>
    <w:rsid w:val="009141FF"/>
    <w:rsid w:val="00914485"/>
    <w:rsid w:val="009145D2"/>
    <w:rsid w:val="00914C6B"/>
    <w:rsid w:val="00914CA5"/>
    <w:rsid w:val="00914DC3"/>
    <w:rsid w:val="00914EFB"/>
    <w:rsid w:val="00915044"/>
    <w:rsid w:val="0091573E"/>
    <w:rsid w:val="00915F12"/>
    <w:rsid w:val="00916046"/>
    <w:rsid w:val="009160E8"/>
    <w:rsid w:val="0091657A"/>
    <w:rsid w:val="0091664C"/>
    <w:rsid w:val="0091667D"/>
    <w:rsid w:val="00916703"/>
    <w:rsid w:val="0091672A"/>
    <w:rsid w:val="00916D76"/>
    <w:rsid w:val="009172BD"/>
    <w:rsid w:val="00917348"/>
    <w:rsid w:val="0091781C"/>
    <w:rsid w:val="00917ABC"/>
    <w:rsid w:val="00917B7D"/>
    <w:rsid w:val="00917C8A"/>
    <w:rsid w:val="0092031B"/>
    <w:rsid w:val="00920572"/>
    <w:rsid w:val="00920985"/>
    <w:rsid w:val="00920B27"/>
    <w:rsid w:val="009218AF"/>
    <w:rsid w:val="009219BB"/>
    <w:rsid w:val="00921A3D"/>
    <w:rsid w:val="00921CD8"/>
    <w:rsid w:val="0092216D"/>
    <w:rsid w:val="00922480"/>
    <w:rsid w:val="00922551"/>
    <w:rsid w:val="009225A5"/>
    <w:rsid w:val="009229E1"/>
    <w:rsid w:val="00922B46"/>
    <w:rsid w:val="00923E0E"/>
    <w:rsid w:val="00923EEC"/>
    <w:rsid w:val="0092437A"/>
    <w:rsid w:val="009244CF"/>
    <w:rsid w:val="00924963"/>
    <w:rsid w:val="00924ED8"/>
    <w:rsid w:val="00925404"/>
    <w:rsid w:val="0092540C"/>
    <w:rsid w:val="009257AD"/>
    <w:rsid w:val="00925A47"/>
    <w:rsid w:val="00926C25"/>
    <w:rsid w:val="0092750C"/>
    <w:rsid w:val="0092780C"/>
    <w:rsid w:val="009278BB"/>
    <w:rsid w:val="0092799E"/>
    <w:rsid w:val="00927AC7"/>
    <w:rsid w:val="00927DDD"/>
    <w:rsid w:val="00927DE7"/>
    <w:rsid w:val="00930943"/>
    <w:rsid w:val="0093181F"/>
    <w:rsid w:val="0093187C"/>
    <w:rsid w:val="00931D9C"/>
    <w:rsid w:val="009320C9"/>
    <w:rsid w:val="00932188"/>
    <w:rsid w:val="009325CD"/>
    <w:rsid w:val="00932CCF"/>
    <w:rsid w:val="00932F6B"/>
    <w:rsid w:val="00933134"/>
    <w:rsid w:val="00933477"/>
    <w:rsid w:val="0093355F"/>
    <w:rsid w:val="00933BAE"/>
    <w:rsid w:val="00933D6B"/>
    <w:rsid w:val="00933E07"/>
    <w:rsid w:val="00934197"/>
    <w:rsid w:val="00934270"/>
    <w:rsid w:val="00934816"/>
    <w:rsid w:val="00935F0C"/>
    <w:rsid w:val="00936481"/>
    <w:rsid w:val="00936A72"/>
    <w:rsid w:val="00936BE6"/>
    <w:rsid w:val="00936DFE"/>
    <w:rsid w:val="00936F7A"/>
    <w:rsid w:val="009376B1"/>
    <w:rsid w:val="0093795E"/>
    <w:rsid w:val="00937C74"/>
    <w:rsid w:val="0094074F"/>
    <w:rsid w:val="0094079C"/>
    <w:rsid w:val="009408E1"/>
    <w:rsid w:val="00940991"/>
    <w:rsid w:val="009409A5"/>
    <w:rsid w:val="00940BBC"/>
    <w:rsid w:val="00940C0F"/>
    <w:rsid w:val="00940C77"/>
    <w:rsid w:val="00940E54"/>
    <w:rsid w:val="00941B39"/>
    <w:rsid w:val="00941BB4"/>
    <w:rsid w:val="00941CA5"/>
    <w:rsid w:val="00941FB2"/>
    <w:rsid w:val="0094206E"/>
    <w:rsid w:val="0094211D"/>
    <w:rsid w:val="00942413"/>
    <w:rsid w:val="0094255A"/>
    <w:rsid w:val="00942B31"/>
    <w:rsid w:val="00942E62"/>
    <w:rsid w:val="009432A9"/>
    <w:rsid w:val="0094346B"/>
    <w:rsid w:val="00943674"/>
    <w:rsid w:val="00943AB4"/>
    <w:rsid w:val="00943CC7"/>
    <w:rsid w:val="0094465C"/>
    <w:rsid w:val="00944898"/>
    <w:rsid w:val="00944B86"/>
    <w:rsid w:val="00944BC7"/>
    <w:rsid w:val="00945605"/>
    <w:rsid w:val="0094582B"/>
    <w:rsid w:val="00945CE8"/>
    <w:rsid w:val="00945F54"/>
    <w:rsid w:val="009466F4"/>
    <w:rsid w:val="0094684A"/>
    <w:rsid w:val="009468E6"/>
    <w:rsid w:val="009470B6"/>
    <w:rsid w:val="009471C7"/>
    <w:rsid w:val="00947AC8"/>
    <w:rsid w:val="00947C90"/>
    <w:rsid w:val="00947ED3"/>
    <w:rsid w:val="009502AE"/>
    <w:rsid w:val="00950674"/>
    <w:rsid w:val="00950B16"/>
    <w:rsid w:val="00950D36"/>
    <w:rsid w:val="00950F49"/>
    <w:rsid w:val="00950F59"/>
    <w:rsid w:val="00950F87"/>
    <w:rsid w:val="00952088"/>
    <w:rsid w:val="00952548"/>
    <w:rsid w:val="00952BED"/>
    <w:rsid w:val="00952F6D"/>
    <w:rsid w:val="009530B1"/>
    <w:rsid w:val="009533D4"/>
    <w:rsid w:val="00953709"/>
    <w:rsid w:val="009538E5"/>
    <w:rsid w:val="00953B3F"/>
    <w:rsid w:val="00953CEE"/>
    <w:rsid w:val="009542F4"/>
    <w:rsid w:val="0095453D"/>
    <w:rsid w:val="00954567"/>
    <w:rsid w:val="00954663"/>
    <w:rsid w:val="009546E6"/>
    <w:rsid w:val="00954A2F"/>
    <w:rsid w:val="00955940"/>
    <w:rsid w:val="009562B0"/>
    <w:rsid w:val="009575F8"/>
    <w:rsid w:val="00957912"/>
    <w:rsid w:val="0096016B"/>
    <w:rsid w:val="00960877"/>
    <w:rsid w:val="00960F87"/>
    <w:rsid w:val="00961032"/>
    <w:rsid w:val="009611ED"/>
    <w:rsid w:val="009618A9"/>
    <w:rsid w:val="00961B75"/>
    <w:rsid w:val="00961E80"/>
    <w:rsid w:val="00962374"/>
    <w:rsid w:val="0096294B"/>
    <w:rsid w:val="00962AC7"/>
    <w:rsid w:val="00962D37"/>
    <w:rsid w:val="00962D8E"/>
    <w:rsid w:val="00962DE7"/>
    <w:rsid w:val="00962F80"/>
    <w:rsid w:val="00963370"/>
    <w:rsid w:val="009634C1"/>
    <w:rsid w:val="009639C0"/>
    <w:rsid w:val="0096483D"/>
    <w:rsid w:val="00964AA2"/>
    <w:rsid w:val="00965159"/>
    <w:rsid w:val="00965407"/>
    <w:rsid w:val="00965468"/>
    <w:rsid w:val="00965771"/>
    <w:rsid w:val="00965A67"/>
    <w:rsid w:val="00965D6F"/>
    <w:rsid w:val="009667F9"/>
    <w:rsid w:val="00966FE0"/>
    <w:rsid w:val="0096712A"/>
    <w:rsid w:val="0096732E"/>
    <w:rsid w:val="00967468"/>
    <w:rsid w:val="00967CAA"/>
    <w:rsid w:val="009700F0"/>
    <w:rsid w:val="00970372"/>
    <w:rsid w:val="009707A8"/>
    <w:rsid w:val="00970BDE"/>
    <w:rsid w:val="00970F94"/>
    <w:rsid w:val="00971C07"/>
    <w:rsid w:val="00971CD2"/>
    <w:rsid w:val="00971D1D"/>
    <w:rsid w:val="00971E12"/>
    <w:rsid w:val="00971FB7"/>
    <w:rsid w:val="00972211"/>
    <w:rsid w:val="00972264"/>
    <w:rsid w:val="0097245B"/>
    <w:rsid w:val="00972A6A"/>
    <w:rsid w:val="00972BBD"/>
    <w:rsid w:val="00972C3C"/>
    <w:rsid w:val="00972F9F"/>
    <w:rsid w:val="00973203"/>
    <w:rsid w:val="009732F1"/>
    <w:rsid w:val="009734F1"/>
    <w:rsid w:val="00973EA0"/>
    <w:rsid w:val="0097450F"/>
    <w:rsid w:val="00974517"/>
    <w:rsid w:val="00974592"/>
    <w:rsid w:val="0097495C"/>
    <w:rsid w:val="00974988"/>
    <w:rsid w:val="00974B11"/>
    <w:rsid w:val="00975403"/>
    <w:rsid w:val="0097589C"/>
    <w:rsid w:val="00976033"/>
    <w:rsid w:val="00976380"/>
    <w:rsid w:val="00976916"/>
    <w:rsid w:val="00976C66"/>
    <w:rsid w:val="00976DA7"/>
    <w:rsid w:val="00976E0A"/>
    <w:rsid w:val="00976EC5"/>
    <w:rsid w:val="00976ECF"/>
    <w:rsid w:val="00977150"/>
    <w:rsid w:val="009772D3"/>
    <w:rsid w:val="009778BD"/>
    <w:rsid w:val="009802F2"/>
    <w:rsid w:val="009806B2"/>
    <w:rsid w:val="00980D2B"/>
    <w:rsid w:val="00980DF6"/>
    <w:rsid w:val="00981585"/>
    <w:rsid w:val="00981655"/>
    <w:rsid w:val="00981BCC"/>
    <w:rsid w:val="00981CCA"/>
    <w:rsid w:val="0098286D"/>
    <w:rsid w:val="00982DE2"/>
    <w:rsid w:val="00983A28"/>
    <w:rsid w:val="00983C88"/>
    <w:rsid w:val="00983CBD"/>
    <w:rsid w:val="0098423F"/>
    <w:rsid w:val="009843EE"/>
    <w:rsid w:val="00984BBA"/>
    <w:rsid w:val="0098538C"/>
    <w:rsid w:val="00985FBD"/>
    <w:rsid w:val="00986092"/>
    <w:rsid w:val="009861F6"/>
    <w:rsid w:val="00986413"/>
    <w:rsid w:val="009866DE"/>
    <w:rsid w:val="009867A6"/>
    <w:rsid w:val="00986982"/>
    <w:rsid w:val="00986D49"/>
    <w:rsid w:val="00986EDC"/>
    <w:rsid w:val="009877C5"/>
    <w:rsid w:val="00987A07"/>
    <w:rsid w:val="00990921"/>
    <w:rsid w:val="00990AEA"/>
    <w:rsid w:val="00990B2C"/>
    <w:rsid w:val="0099126A"/>
    <w:rsid w:val="009915B3"/>
    <w:rsid w:val="009916CF"/>
    <w:rsid w:val="00991A48"/>
    <w:rsid w:val="00992015"/>
    <w:rsid w:val="00992073"/>
    <w:rsid w:val="0099220E"/>
    <w:rsid w:val="00992223"/>
    <w:rsid w:val="00992FD9"/>
    <w:rsid w:val="009930FB"/>
    <w:rsid w:val="00993176"/>
    <w:rsid w:val="009933A5"/>
    <w:rsid w:val="009936C8"/>
    <w:rsid w:val="00993AEE"/>
    <w:rsid w:val="00993E64"/>
    <w:rsid w:val="00993EB4"/>
    <w:rsid w:val="00993F42"/>
    <w:rsid w:val="009940E0"/>
    <w:rsid w:val="009942EA"/>
    <w:rsid w:val="00994929"/>
    <w:rsid w:val="00995065"/>
    <w:rsid w:val="00995533"/>
    <w:rsid w:val="00995A2E"/>
    <w:rsid w:val="00995F9F"/>
    <w:rsid w:val="009963C0"/>
    <w:rsid w:val="00996E11"/>
    <w:rsid w:val="009971A6"/>
    <w:rsid w:val="009975FF"/>
    <w:rsid w:val="00997979"/>
    <w:rsid w:val="00997A66"/>
    <w:rsid w:val="00997A70"/>
    <w:rsid w:val="00997C4C"/>
    <w:rsid w:val="00997E6D"/>
    <w:rsid w:val="009A0AB1"/>
    <w:rsid w:val="009A117E"/>
    <w:rsid w:val="009A137E"/>
    <w:rsid w:val="009A1653"/>
    <w:rsid w:val="009A1723"/>
    <w:rsid w:val="009A18E0"/>
    <w:rsid w:val="009A1AFD"/>
    <w:rsid w:val="009A1C48"/>
    <w:rsid w:val="009A1C57"/>
    <w:rsid w:val="009A1FB6"/>
    <w:rsid w:val="009A22B8"/>
    <w:rsid w:val="009A29EC"/>
    <w:rsid w:val="009A2A90"/>
    <w:rsid w:val="009A2B97"/>
    <w:rsid w:val="009A301C"/>
    <w:rsid w:val="009A316A"/>
    <w:rsid w:val="009A3181"/>
    <w:rsid w:val="009A31B3"/>
    <w:rsid w:val="009A3234"/>
    <w:rsid w:val="009A3295"/>
    <w:rsid w:val="009A350A"/>
    <w:rsid w:val="009A3DAD"/>
    <w:rsid w:val="009A493C"/>
    <w:rsid w:val="009A4FF7"/>
    <w:rsid w:val="009A54B5"/>
    <w:rsid w:val="009A5588"/>
    <w:rsid w:val="009A5F0A"/>
    <w:rsid w:val="009A5F0F"/>
    <w:rsid w:val="009A60A4"/>
    <w:rsid w:val="009A6103"/>
    <w:rsid w:val="009A6294"/>
    <w:rsid w:val="009A62A4"/>
    <w:rsid w:val="009A666F"/>
    <w:rsid w:val="009A6946"/>
    <w:rsid w:val="009A6B6F"/>
    <w:rsid w:val="009A70CF"/>
    <w:rsid w:val="009A7119"/>
    <w:rsid w:val="009A7902"/>
    <w:rsid w:val="009A7E8D"/>
    <w:rsid w:val="009B0276"/>
    <w:rsid w:val="009B03A1"/>
    <w:rsid w:val="009B0540"/>
    <w:rsid w:val="009B06FE"/>
    <w:rsid w:val="009B0D4B"/>
    <w:rsid w:val="009B0F93"/>
    <w:rsid w:val="009B0FE0"/>
    <w:rsid w:val="009B1004"/>
    <w:rsid w:val="009B1832"/>
    <w:rsid w:val="009B189E"/>
    <w:rsid w:val="009B1BD1"/>
    <w:rsid w:val="009B20A1"/>
    <w:rsid w:val="009B21D2"/>
    <w:rsid w:val="009B23B5"/>
    <w:rsid w:val="009B23CB"/>
    <w:rsid w:val="009B24A8"/>
    <w:rsid w:val="009B25CC"/>
    <w:rsid w:val="009B2632"/>
    <w:rsid w:val="009B2932"/>
    <w:rsid w:val="009B2C71"/>
    <w:rsid w:val="009B30F7"/>
    <w:rsid w:val="009B3248"/>
    <w:rsid w:val="009B37C6"/>
    <w:rsid w:val="009B3E3C"/>
    <w:rsid w:val="009B4398"/>
    <w:rsid w:val="009B43B1"/>
    <w:rsid w:val="009B4479"/>
    <w:rsid w:val="009B4BF9"/>
    <w:rsid w:val="009B5538"/>
    <w:rsid w:val="009B586C"/>
    <w:rsid w:val="009B5AB0"/>
    <w:rsid w:val="009B60DA"/>
    <w:rsid w:val="009B6142"/>
    <w:rsid w:val="009B6290"/>
    <w:rsid w:val="009B686F"/>
    <w:rsid w:val="009B6B64"/>
    <w:rsid w:val="009B6DA6"/>
    <w:rsid w:val="009B7283"/>
    <w:rsid w:val="009B74A6"/>
    <w:rsid w:val="009B7A13"/>
    <w:rsid w:val="009B7C35"/>
    <w:rsid w:val="009B7C43"/>
    <w:rsid w:val="009B7C59"/>
    <w:rsid w:val="009B7D78"/>
    <w:rsid w:val="009C07AA"/>
    <w:rsid w:val="009C0F7B"/>
    <w:rsid w:val="009C15FE"/>
    <w:rsid w:val="009C16D2"/>
    <w:rsid w:val="009C1F71"/>
    <w:rsid w:val="009C1FCD"/>
    <w:rsid w:val="009C22BF"/>
    <w:rsid w:val="009C2767"/>
    <w:rsid w:val="009C2C50"/>
    <w:rsid w:val="009C2FF2"/>
    <w:rsid w:val="009C3105"/>
    <w:rsid w:val="009C35E6"/>
    <w:rsid w:val="009C3704"/>
    <w:rsid w:val="009C3B31"/>
    <w:rsid w:val="009C3BAA"/>
    <w:rsid w:val="009C3BF4"/>
    <w:rsid w:val="009C3FC2"/>
    <w:rsid w:val="009C409A"/>
    <w:rsid w:val="009C4837"/>
    <w:rsid w:val="009C4852"/>
    <w:rsid w:val="009C497B"/>
    <w:rsid w:val="009C4C56"/>
    <w:rsid w:val="009C5042"/>
    <w:rsid w:val="009C583A"/>
    <w:rsid w:val="009C5B07"/>
    <w:rsid w:val="009C5B20"/>
    <w:rsid w:val="009C5C48"/>
    <w:rsid w:val="009C5D33"/>
    <w:rsid w:val="009C60CC"/>
    <w:rsid w:val="009C6680"/>
    <w:rsid w:val="009C6873"/>
    <w:rsid w:val="009C6E14"/>
    <w:rsid w:val="009C6EDA"/>
    <w:rsid w:val="009C6F0E"/>
    <w:rsid w:val="009C710D"/>
    <w:rsid w:val="009C71F5"/>
    <w:rsid w:val="009C761E"/>
    <w:rsid w:val="009C7742"/>
    <w:rsid w:val="009C7785"/>
    <w:rsid w:val="009C79AC"/>
    <w:rsid w:val="009C79E3"/>
    <w:rsid w:val="009C7C1B"/>
    <w:rsid w:val="009C7D6C"/>
    <w:rsid w:val="009D0022"/>
    <w:rsid w:val="009D01C9"/>
    <w:rsid w:val="009D0312"/>
    <w:rsid w:val="009D0D06"/>
    <w:rsid w:val="009D0D21"/>
    <w:rsid w:val="009D15D7"/>
    <w:rsid w:val="009D1A9F"/>
    <w:rsid w:val="009D1D62"/>
    <w:rsid w:val="009D202F"/>
    <w:rsid w:val="009D20D5"/>
    <w:rsid w:val="009D22D0"/>
    <w:rsid w:val="009D2659"/>
    <w:rsid w:val="009D2FF8"/>
    <w:rsid w:val="009D36FC"/>
    <w:rsid w:val="009D37E7"/>
    <w:rsid w:val="009D3814"/>
    <w:rsid w:val="009D3AF3"/>
    <w:rsid w:val="009D3EE9"/>
    <w:rsid w:val="009D4284"/>
    <w:rsid w:val="009D4318"/>
    <w:rsid w:val="009D496D"/>
    <w:rsid w:val="009D4EC6"/>
    <w:rsid w:val="009D504B"/>
    <w:rsid w:val="009D50F9"/>
    <w:rsid w:val="009D52B9"/>
    <w:rsid w:val="009D56E3"/>
    <w:rsid w:val="009D57C2"/>
    <w:rsid w:val="009D5B11"/>
    <w:rsid w:val="009D5E70"/>
    <w:rsid w:val="009D5F24"/>
    <w:rsid w:val="009D73DA"/>
    <w:rsid w:val="009D7873"/>
    <w:rsid w:val="009D7A6A"/>
    <w:rsid w:val="009E04BA"/>
    <w:rsid w:val="009E0A1E"/>
    <w:rsid w:val="009E1179"/>
    <w:rsid w:val="009E193E"/>
    <w:rsid w:val="009E1A08"/>
    <w:rsid w:val="009E1C68"/>
    <w:rsid w:val="009E1D72"/>
    <w:rsid w:val="009E2906"/>
    <w:rsid w:val="009E31D7"/>
    <w:rsid w:val="009E32CE"/>
    <w:rsid w:val="009E3B0A"/>
    <w:rsid w:val="009E3DA5"/>
    <w:rsid w:val="009E3FC2"/>
    <w:rsid w:val="009E46D6"/>
    <w:rsid w:val="009E46E4"/>
    <w:rsid w:val="009E4B08"/>
    <w:rsid w:val="009E4C8E"/>
    <w:rsid w:val="009E4F4B"/>
    <w:rsid w:val="009E4FA0"/>
    <w:rsid w:val="009E5068"/>
    <w:rsid w:val="009E526E"/>
    <w:rsid w:val="009E595C"/>
    <w:rsid w:val="009E5D59"/>
    <w:rsid w:val="009E5DE0"/>
    <w:rsid w:val="009E60E9"/>
    <w:rsid w:val="009E625D"/>
    <w:rsid w:val="009E6335"/>
    <w:rsid w:val="009E63C1"/>
    <w:rsid w:val="009E6775"/>
    <w:rsid w:val="009E6788"/>
    <w:rsid w:val="009E68BD"/>
    <w:rsid w:val="009E69BD"/>
    <w:rsid w:val="009E6C6D"/>
    <w:rsid w:val="009E7316"/>
    <w:rsid w:val="009E7506"/>
    <w:rsid w:val="009E7634"/>
    <w:rsid w:val="009E7651"/>
    <w:rsid w:val="009E78F8"/>
    <w:rsid w:val="009E7A1A"/>
    <w:rsid w:val="009E7AE9"/>
    <w:rsid w:val="009E7B53"/>
    <w:rsid w:val="009F00DE"/>
    <w:rsid w:val="009F03A7"/>
    <w:rsid w:val="009F0CB9"/>
    <w:rsid w:val="009F1591"/>
    <w:rsid w:val="009F162B"/>
    <w:rsid w:val="009F163C"/>
    <w:rsid w:val="009F187B"/>
    <w:rsid w:val="009F1AB0"/>
    <w:rsid w:val="009F1B46"/>
    <w:rsid w:val="009F1D3A"/>
    <w:rsid w:val="009F2145"/>
    <w:rsid w:val="009F220D"/>
    <w:rsid w:val="009F2242"/>
    <w:rsid w:val="009F28B3"/>
    <w:rsid w:val="009F2A76"/>
    <w:rsid w:val="009F2D44"/>
    <w:rsid w:val="009F35DD"/>
    <w:rsid w:val="009F3E1C"/>
    <w:rsid w:val="009F4C17"/>
    <w:rsid w:val="009F4DB5"/>
    <w:rsid w:val="009F4E94"/>
    <w:rsid w:val="009F54FE"/>
    <w:rsid w:val="009F5A15"/>
    <w:rsid w:val="009F5A89"/>
    <w:rsid w:val="009F5ACE"/>
    <w:rsid w:val="009F61AD"/>
    <w:rsid w:val="009F65A6"/>
    <w:rsid w:val="009F707C"/>
    <w:rsid w:val="009F7125"/>
    <w:rsid w:val="009F7314"/>
    <w:rsid w:val="009F75A7"/>
    <w:rsid w:val="009F75FF"/>
    <w:rsid w:val="009F77FC"/>
    <w:rsid w:val="009F7840"/>
    <w:rsid w:val="009F796B"/>
    <w:rsid w:val="009F7B9C"/>
    <w:rsid w:val="00A00270"/>
    <w:rsid w:val="00A005A6"/>
    <w:rsid w:val="00A007D0"/>
    <w:rsid w:val="00A00E68"/>
    <w:rsid w:val="00A011FA"/>
    <w:rsid w:val="00A01488"/>
    <w:rsid w:val="00A0154C"/>
    <w:rsid w:val="00A01799"/>
    <w:rsid w:val="00A019A8"/>
    <w:rsid w:val="00A01AA3"/>
    <w:rsid w:val="00A01C78"/>
    <w:rsid w:val="00A02080"/>
    <w:rsid w:val="00A02116"/>
    <w:rsid w:val="00A02464"/>
    <w:rsid w:val="00A02936"/>
    <w:rsid w:val="00A02A89"/>
    <w:rsid w:val="00A02BD3"/>
    <w:rsid w:val="00A02FBD"/>
    <w:rsid w:val="00A032A4"/>
    <w:rsid w:val="00A03391"/>
    <w:rsid w:val="00A033B7"/>
    <w:rsid w:val="00A03760"/>
    <w:rsid w:val="00A03824"/>
    <w:rsid w:val="00A03A85"/>
    <w:rsid w:val="00A03B4F"/>
    <w:rsid w:val="00A03EF2"/>
    <w:rsid w:val="00A03F86"/>
    <w:rsid w:val="00A04008"/>
    <w:rsid w:val="00A040DD"/>
    <w:rsid w:val="00A041E4"/>
    <w:rsid w:val="00A0470C"/>
    <w:rsid w:val="00A04D15"/>
    <w:rsid w:val="00A04F40"/>
    <w:rsid w:val="00A05FC9"/>
    <w:rsid w:val="00A0653A"/>
    <w:rsid w:val="00A0653E"/>
    <w:rsid w:val="00A067D4"/>
    <w:rsid w:val="00A06926"/>
    <w:rsid w:val="00A0767E"/>
    <w:rsid w:val="00A07EC4"/>
    <w:rsid w:val="00A10082"/>
    <w:rsid w:val="00A10276"/>
    <w:rsid w:val="00A10408"/>
    <w:rsid w:val="00A10526"/>
    <w:rsid w:val="00A10830"/>
    <w:rsid w:val="00A109C6"/>
    <w:rsid w:val="00A119B1"/>
    <w:rsid w:val="00A11CE3"/>
    <w:rsid w:val="00A11F26"/>
    <w:rsid w:val="00A12329"/>
    <w:rsid w:val="00A12B14"/>
    <w:rsid w:val="00A133E1"/>
    <w:rsid w:val="00A138CD"/>
    <w:rsid w:val="00A138F0"/>
    <w:rsid w:val="00A13911"/>
    <w:rsid w:val="00A13AA6"/>
    <w:rsid w:val="00A13F7F"/>
    <w:rsid w:val="00A13FC6"/>
    <w:rsid w:val="00A1492A"/>
    <w:rsid w:val="00A14BC2"/>
    <w:rsid w:val="00A14CF2"/>
    <w:rsid w:val="00A14F05"/>
    <w:rsid w:val="00A151B3"/>
    <w:rsid w:val="00A1543F"/>
    <w:rsid w:val="00A15736"/>
    <w:rsid w:val="00A15767"/>
    <w:rsid w:val="00A1593D"/>
    <w:rsid w:val="00A15BCB"/>
    <w:rsid w:val="00A15C02"/>
    <w:rsid w:val="00A15CFC"/>
    <w:rsid w:val="00A15DE7"/>
    <w:rsid w:val="00A1717D"/>
    <w:rsid w:val="00A173D6"/>
    <w:rsid w:val="00A1782B"/>
    <w:rsid w:val="00A17BA7"/>
    <w:rsid w:val="00A17C13"/>
    <w:rsid w:val="00A17E46"/>
    <w:rsid w:val="00A17E64"/>
    <w:rsid w:val="00A208DA"/>
    <w:rsid w:val="00A20CBA"/>
    <w:rsid w:val="00A21318"/>
    <w:rsid w:val="00A2132C"/>
    <w:rsid w:val="00A21DCD"/>
    <w:rsid w:val="00A222B9"/>
    <w:rsid w:val="00A226FC"/>
    <w:rsid w:val="00A22942"/>
    <w:rsid w:val="00A22C3C"/>
    <w:rsid w:val="00A2336A"/>
    <w:rsid w:val="00A23B89"/>
    <w:rsid w:val="00A23EBF"/>
    <w:rsid w:val="00A240FE"/>
    <w:rsid w:val="00A24321"/>
    <w:rsid w:val="00A24401"/>
    <w:rsid w:val="00A24562"/>
    <w:rsid w:val="00A24648"/>
    <w:rsid w:val="00A252BB"/>
    <w:rsid w:val="00A25313"/>
    <w:rsid w:val="00A254A2"/>
    <w:rsid w:val="00A25783"/>
    <w:rsid w:val="00A25834"/>
    <w:rsid w:val="00A25925"/>
    <w:rsid w:val="00A25B26"/>
    <w:rsid w:val="00A25BBB"/>
    <w:rsid w:val="00A25C98"/>
    <w:rsid w:val="00A2601E"/>
    <w:rsid w:val="00A2616B"/>
    <w:rsid w:val="00A266FE"/>
    <w:rsid w:val="00A26B85"/>
    <w:rsid w:val="00A26BD5"/>
    <w:rsid w:val="00A26C9E"/>
    <w:rsid w:val="00A26D68"/>
    <w:rsid w:val="00A272C3"/>
    <w:rsid w:val="00A27C19"/>
    <w:rsid w:val="00A27D22"/>
    <w:rsid w:val="00A27E28"/>
    <w:rsid w:val="00A300EB"/>
    <w:rsid w:val="00A308FE"/>
    <w:rsid w:val="00A30B36"/>
    <w:rsid w:val="00A30C0D"/>
    <w:rsid w:val="00A31066"/>
    <w:rsid w:val="00A3153C"/>
    <w:rsid w:val="00A3192E"/>
    <w:rsid w:val="00A31C7C"/>
    <w:rsid w:val="00A31DF3"/>
    <w:rsid w:val="00A31F13"/>
    <w:rsid w:val="00A326A8"/>
    <w:rsid w:val="00A33351"/>
    <w:rsid w:val="00A333CD"/>
    <w:rsid w:val="00A336A9"/>
    <w:rsid w:val="00A33A78"/>
    <w:rsid w:val="00A34027"/>
    <w:rsid w:val="00A34353"/>
    <w:rsid w:val="00A34587"/>
    <w:rsid w:val="00A3477F"/>
    <w:rsid w:val="00A34877"/>
    <w:rsid w:val="00A34914"/>
    <w:rsid w:val="00A34949"/>
    <w:rsid w:val="00A34A0B"/>
    <w:rsid w:val="00A35081"/>
    <w:rsid w:val="00A35381"/>
    <w:rsid w:val="00A35501"/>
    <w:rsid w:val="00A358A0"/>
    <w:rsid w:val="00A35B87"/>
    <w:rsid w:val="00A3607B"/>
    <w:rsid w:val="00A36301"/>
    <w:rsid w:val="00A368B5"/>
    <w:rsid w:val="00A36C20"/>
    <w:rsid w:val="00A36E0D"/>
    <w:rsid w:val="00A372B8"/>
    <w:rsid w:val="00A37455"/>
    <w:rsid w:val="00A37938"/>
    <w:rsid w:val="00A37CEE"/>
    <w:rsid w:val="00A40181"/>
    <w:rsid w:val="00A40388"/>
    <w:rsid w:val="00A40478"/>
    <w:rsid w:val="00A40991"/>
    <w:rsid w:val="00A40BF8"/>
    <w:rsid w:val="00A40E98"/>
    <w:rsid w:val="00A40EE7"/>
    <w:rsid w:val="00A41FBF"/>
    <w:rsid w:val="00A42991"/>
    <w:rsid w:val="00A42A04"/>
    <w:rsid w:val="00A42BF9"/>
    <w:rsid w:val="00A42CCA"/>
    <w:rsid w:val="00A43008"/>
    <w:rsid w:val="00A43060"/>
    <w:rsid w:val="00A43112"/>
    <w:rsid w:val="00A43311"/>
    <w:rsid w:val="00A43493"/>
    <w:rsid w:val="00A43627"/>
    <w:rsid w:val="00A437FC"/>
    <w:rsid w:val="00A43E2D"/>
    <w:rsid w:val="00A4451C"/>
    <w:rsid w:val="00A4467E"/>
    <w:rsid w:val="00A449FC"/>
    <w:rsid w:val="00A44A07"/>
    <w:rsid w:val="00A450FE"/>
    <w:rsid w:val="00A45812"/>
    <w:rsid w:val="00A45949"/>
    <w:rsid w:val="00A45C43"/>
    <w:rsid w:val="00A45CD8"/>
    <w:rsid w:val="00A45DD8"/>
    <w:rsid w:val="00A45FCC"/>
    <w:rsid w:val="00A463AD"/>
    <w:rsid w:val="00A46830"/>
    <w:rsid w:val="00A469CA"/>
    <w:rsid w:val="00A46DC3"/>
    <w:rsid w:val="00A47022"/>
    <w:rsid w:val="00A4710F"/>
    <w:rsid w:val="00A47189"/>
    <w:rsid w:val="00A4799C"/>
    <w:rsid w:val="00A47F13"/>
    <w:rsid w:val="00A507F1"/>
    <w:rsid w:val="00A50846"/>
    <w:rsid w:val="00A50A16"/>
    <w:rsid w:val="00A50E57"/>
    <w:rsid w:val="00A51512"/>
    <w:rsid w:val="00A51C83"/>
    <w:rsid w:val="00A51E2E"/>
    <w:rsid w:val="00A52185"/>
    <w:rsid w:val="00A523F3"/>
    <w:rsid w:val="00A52716"/>
    <w:rsid w:val="00A52C7B"/>
    <w:rsid w:val="00A52D3E"/>
    <w:rsid w:val="00A52F87"/>
    <w:rsid w:val="00A53037"/>
    <w:rsid w:val="00A535B3"/>
    <w:rsid w:val="00A538AA"/>
    <w:rsid w:val="00A53937"/>
    <w:rsid w:val="00A53A16"/>
    <w:rsid w:val="00A53D3C"/>
    <w:rsid w:val="00A53EBD"/>
    <w:rsid w:val="00A5456A"/>
    <w:rsid w:val="00A54613"/>
    <w:rsid w:val="00A547F6"/>
    <w:rsid w:val="00A54D1B"/>
    <w:rsid w:val="00A54D39"/>
    <w:rsid w:val="00A54D3D"/>
    <w:rsid w:val="00A54FCC"/>
    <w:rsid w:val="00A553C9"/>
    <w:rsid w:val="00A557B1"/>
    <w:rsid w:val="00A56161"/>
    <w:rsid w:val="00A56173"/>
    <w:rsid w:val="00A56210"/>
    <w:rsid w:val="00A56932"/>
    <w:rsid w:val="00A5764A"/>
    <w:rsid w:val="00A60062"/>
    <w:rsid w:val="00A60A0C"/>
    <w:rsid w:val="00A60A29"/>
    <w:rsid w:val="00A60A73"/>
    <w:rsid w:val="00A60C53"/>
    <w:rsid w:val="00A60F0A"/>
    <w:rsid w:val="00A6112F"/>
    <w:rsid w:val="00A6167C"/>
    <w:rsid w:val="00A6174E"/>
    <w:rsid w:val="00A61797"/>
    <w:rsid w:val="00A624D6"/>
    <w:rsid w:val="00A62D82"/>
    <w:rsid w:val="00A62FFC"/>
    <w:rsid w:val="00A632B8"/>
    <w:rsid w:val="00A6354A"/>
    <w:rsid w:val="00A63564"/>
    <w:rsid w:val="00A635E2"/>
    <w:rsid w:val="00A63745"/>
    <w:rsid w:val="00A63B8D"/>
    <w:rsid w:val="00A63C52"/>
    <w:rsid w:val="00A63D68"/>
    <w:rsid w:val="00A63EC7"/>
    <w:rsid w:val="00A64086"/>
    <w:rsid w:val="00A644F6"/>
    <w:rsid w:val="00A64978"/>
    <w:rsid w:val="00A64D9A"/>
    <w:rsid w:val="00A6503B"/>
    <w:rsid w:val="00A651A2"/>
    <w:rsid w:val="00A65276"/>
    <w:rsid w:val="00A65765"/>
    <w:rsid w:val="00A65907"/>
    <w:rsid w:val="00A65A2F"/>
    <w:rsid w:val="00A65F0D"/>
    <w:rsid w:val="00A6691F"/>
    <w:rsid w:val="00A66E82"/>
    <w:rsid w:val="00A66EBE"/>
    <w:rsid w:val="00A676A0"/>
    <w:rsid w:val="00A678C3"/>
    <w:rsid w:val="00A67F17"/>
    <w:rsid w:val="00A703E9"/>
    <w:rsid w:val="00A7046A"/>
    <w:rsid w:val="00A7094F"/>
    <w:rsid w:val="00A70C16"/>
    <w:rsid w:val="00A71011"/>
    <w:rsid w:val="00A7131F"/>
    <w:rsid w:val="00A716A2"/>
    <w:rsid w:val="00A7177B"/>
    <w:rsid w:val="00A71D62"/>
    <w:rsid w:val="00A71F21"/>
    <w:rsid w:val="00A7243B"/>
    <w:rsid w:val="00A72C02"/>
    <w:rsid w:val="00A72C7C"/>
    <w:rsid w:val="00A72D2A"/>
    <w:rsid w:val="00A72D36"/>
    <w:rsid w:val="00A73006"/>
    <w:rsid w:val="00A7317B"/>
    <w:rsid w:val="00A732EA"/>
    <w:rsid w:val="00A733C1"/>
    <w:rsid w:val="00A73866"/>
    <w:rsid w:val="00A73909"/>
    <w:rsid w:val="00A73C6F"/>
    <w:rsid w:val="00A73DB9"/>
    <w:rsid w:val="00A74613"/>
    <w:rsid w:val="00A74749"/>
    <w:rsid w:val="00A74985"/>
    <w:rsid w:val="00A74C0D"/>
    <w:rsid w:val="00A74DED"/>
    <w:rsid w:val="00A752A0"/>
    <w:rsid w:val="00A75303"/>
    <w:rsid w:val="00A753E8"/>
    <w:rsid w:val="00A758D1"/>
    <w:rsid w:val="00A76400"/>
    <w:rsid w:val="00A76660"/>
    <w:rsid w:val="00A76B1D"/>
    <w:rsid w:val="00A76B35"/>
    <w:rsid w:val="00A76FB9"/>
    <w:rsid w:val="00A777E0"/>
    <w:rsid w:val="00A77ADC"/>
    <w:rsid w:val="00A77C5F"/>
    <w:rsid w:val="00A80545"/>
    <w:rsid w:val="00A807EF"/>
    <w:rsid w:val="00A808C2"/>
    <w:rsid w:val="00A808E3"/>
    <w:rsid w:val="00A80A40"/>
    <w:rsid w:val="00A81B9E"/>
    <w:rsid w:val="00A81F9A"/>
    <w:rsid w:val="00A8252D"/>
    <w:rsid w:val="00A82F6E"/>
    <w:rsid w:val="00A82FC1"/>
    <w:rsid w:val="00A831AD"/>
    <w:rsid w:val="00A83972"/>
    <w:rsid w:val="00A83EDA"/>
    <w:rsid w:val="00A84113"/>
    <w:rsid w:val="00A843CB"/>
    <w:rsid w:val="00A8443D"/>
    <w:rsid w:val="00A8508C"/>
    <w:rsid w:val="00A85430"/>
    <w:rsid w:val="00A86211"/>
    <w:rsid w:val="00A86230"/>
    <w:rsid w:val="00A862DB"/>
    <w:rsid w:val="00A868FE"/>
    <w:rsid w:val="00A86949"/>
    <w:rsid w:val="00A86DD6"/>
    <w:rsid w:val="00A87D52"/>
    <w:rsid w:val="00A9011F"/>
    <w:rsid w:val="00A903B4"/>
    <w:rsid w:val="00A9044D"/>
    <w:rsid w:val="00A905D7"/>
    <w:rsid w:val="00A90652"/>
    <w:rsid w:val="00A90C38"/>
    <w:rsid w:val="00A90CB0"/>
    <w:rsid w:val="00A90E8E"/>
    <w:rsid w:val="00A90F1C"/>
    <w:rsid w:val="00A912EB"/>
    <w:rsid w:val="00A91A85"/>
    <w:rsid w:val="00A91B33"/>
    <w:rsid w:val="00A91B84"/>
    <w:rsid w:val="00A91CA6"/>
    <w:rsid w:val="00A9225F"/>
    <w:rsid w:val="00A92915"/>
    <w:rsid w:val="00A92939"/>
    <w:rsid w:val="00A92B25"/>
    <w:rsid w:val="00A92CA6"/>
    <w:rsid w:val="00A92E50"/>
    <w:rsid w:val="00A931A7"/>
    <w:rsid w:val="00A93C3B"/>
    <w:rsid w:val="00A93DAF"/>
    <w:rsid w:val="00A93E90"/>
    <w:rsid w:val="00A941EE"/>
    <w:rsid w:val="00A947B1"/>
    <w:rsid w:val="00A949CF"/>
    <w:rsid w:val="00A949DD"/>
    <w:rsid w:val="00A94D71"/>
    <w:rsid w:val="00A94DBD"/>
    <w:rsid w:val="00A94FEF"/>
    <w:rsid w:val="00A95438"/>
    <w:rsid w:val="00A956DB"/>
    <w:rsid w:val="00A9585E"/>
    <w:rsid w:val="00A95A78"/>
    <w:rsid w:val="00A95F48"/>
    <w:rsid w:val="00A95FDE"/>
    <w:rsid w:val="00A966D1"/>
    <w:rsid w:val="00A967D7"/>
    <w:rsid w:val="00A9680D"/>
    <w:rsid w:val="00A96895"/>
    <w:rsid w:val="00A97020"/>
    <w:rsid w:val="00A977BA"/>
    <w:rsid w:val="00A978EA"/>
    <w:rsid w:val="00A97A8E"/>
    <w:rsid w:val="00A97AEB"/>
    <w:rsid w:val="00A97B0F"/>
    <w:rsid w:val="00AA04EE"/>
    <w:rsid w:val="00AA05F4"/>
    <w:rsid w:val="00AA0782"/>
    <w:rsid w:val="00AA1234"/>
    <w:rsid w:val="00AA12D1"/>
    <w:rsid w:val="00AA1442"/>
    <w:rsid w:val="00AA1519"/>
    <w:rsid w:val="00AA1B0D"/>
    <w:rsid w:val="00AA1B41"/>
    <w:rsid w:val="00AA1BCC"/>
    <w:rsid w:val="00AA21EE"/>
    <w:rsid w:val="00AA2730"/>
    <w:rsid w:val="00AA30FE"/>
    <w:rsid w:val="00AA3319"/>
    <w:rsid w:val="00AA3343"/>
    <w:rsid w:val="00AA33BF"/>
    <w:rsid w:val="00AA3679"/>
    <w:rsid w:val="00AA36C7"/>
    <w:rsid w:val="00AA3AE5"/>
    <w:rsid w:val="00AA44F2"/>
    <w:rsid w:val="00AA46C0"/>
    <w:rsid w:val="00AA4789"/>
    <w:rsid w:val="00AA4B34"/>
    <w:rsid w:val="00AA4CCD"/>
    <w:rsid w:val="00AA4EEB"/>
    <w:rsid w:val="00AA530E"/>
    <w:rsid w:val="00AA5342"/>
    <w:rsid w:val="00AA546D"/>
    <w:rsid w:val="00AA550B"/>
    <w:rsid w:val="00AA593D"/>
    <w:rsid w:val="00AA5973"/>
    <w:rsid w:val="00AA5F4D"/>
    <w:rsid w:val="00AA60B3"/>
    <w:rsid w:val="00AA6260"/>
    <w:rsid w:val="00AA6956"/>
    <w:rsid w:val="00AA698D"/>
    <w:rsid w:val="00AA6CB0"/>
    <w:rsid w:val="00AA6F5D"/>
    <w:rsid w:val="00AA7288"/>
    <w:rsid w:val="00AB02E9"/>
    <w:rsid w:val="00AB049A"/>
    <w:rsid w:val="00AB08F7"/>
    <w:rsid w:val="00AB0AB4"/>
    <w:rsid w:val="00AB0AEF"/>
    <w:rsid w:val="00AB0BB2"/>
    <w:rsid w:val="00AB0DAF"/>
    <w:rsid w:val="00AB0DF1"/>
    <w:rsid w:val="00AB0FF0"/>
    <w:rsid w:val="00AB105F"/>
    <w:rsid w:val="00AB10B5"/>
    <w:rsid w:val="00AB197E"/>
    <w:rsid w:val="00AB1C66"/>
    <w:rsid w:val="00AB1CD2"/>
    <w:rsid w:val="00AB1DBE"/>
    <w:rsid w:val="00AB2538"/>
    <w:rsid w:val="00AB2623"/>
    <w:rsid w:val="00AB2BA8"/>
    <w:rsid w:val="00AB2C51"/>
    <w:rsid w:val="00AB2E94"/>
    <w:rsid w:val="00AB33F9"/>
    <w:rsid w:val="00AB34AF"/>
    <w:rsid w:val="00AB3931"/>
    <w:rsid w:val="00AB3AE8"/>
    <w:rsid w:val="00AB3B40"/>
    <w:rsid w:val="00AB4390"/>
    <w:rsid w:val="00AB4499"/>
    <w:rsid w:val="00AB481B"/>
    <w:rsid w:val="00AB48D0"/>
    <w:rsid w:val="00AB49F7"/>
    <w:rsid w:val="00AB4ABB"/>
    <w:rsid w:val="00AB4AE4"/>
    <w:rsid w:val="00AB4B76"/>
    <w:rsid w:val="00AB4C6A"/>
    <w:rsid w:val="00AB4F3E"/>
    <w:rsid w:val="00AB58CB"/>
    <w:rsid w:val="00AB5CE7"/>
    <w:rsid w:val="00AB5FB5"/>
    <w:rsid w:val="00AB6065"/>
    <w:rsid w:val="00AB6523"/>
    <w:rsid w:val="00AB66FD"/>
    <w:rsid w:val="00AB685C"/>
    <w:rsid w:val="00AB68C8"/>
    <w:rsid w:val="00AB6914"/>
    <w:rsid w:val="00AB6EB7"/>
    <w:rsid w:val="00AB7399"/>
    <w:rsid w:val="00AB7CFC"/>
    <w:rsid w:val="00AB7DD0"/>
    <w:rsid w:val="00AC023C"/>
    <w:rsid w:val="00AC0FCC"/>
    <w:rsid w:val="00AC12EA"/>
    <w:rsid w:val="00AC1433"/>
    <w:rsid w:val="00AC15D6"/>
    <w:rsid w:val="00AC1AC8"/>
    <w:rsid w:val="00AC21B3"/>
    <w:rsid w:val="00AC22B8"/>
    <w:rsid w:val="00AC2343"/>
    <w:rsid w:val="00AC2BCE"/>
    <w:rsid w:val="00AC2D07"/>
    <w:rsid w:val="00AC30F3"/>
    <w:rsid w:val="00AC3682"/>
    <w:rsid w:val="00AC381F"/>
    <w:rsid w:val="00AC3859"/>
    <w:rsid w:val="00AC3AB3"/>
    <w:rsid w:val="00AC3B35"/>
    <w:rsid w:val="00AC3E75"/>
    <w:rsid w:val="00AC4A45"/>
    <w:rsid w:val="00AC4C87"/>
    <w:rsid w:val="00AC4D92"/>
    <w:rsid w:val="00AC4E52"/>
    <w:rsid w:val="00AC56BD"/>
    <w:rsid w:val="00AC5763"/>
    <w:rsid w:val="00AC5A16"/>
    <w:rsid w:val="00AC5C7E"/>
    <w:rsid w:val="00AC5EFF"/>
    <w:rsid w:val="00AC61E1"/>
    <w:rsid w:val="00AC6281"/>
    <w:rsid w:val="00AC6356"/>
    <w:rsid w:val="00AC6449"/>
    <w:rsid w:val="00AC6764"/>
    <w:rsid w:val="00AC68F8"/>
    <w:rsid w:val="00AC6EE2"/>
    <w:rsid w:val="00AC742D"/>
    <w:rsid w:val="00AC7C04"/>
    <w:rsid w:val="00AC7F9A"/>
    <w:rsid w:val="00AD034F"/>
    <w:rsid w:val="00AD03F4"/>
    <w:rsid w:val="00AD06D6"/>
    <w:rsid w:val="00AD07A6"/>
    <w:rsid w:val="00AD085F"/>
    <w:rsid w:val="00AD0882"/>
    <w:rsid w:val="00AD08D3"/>
    <w:rsid w:val="00AD1D40"/>
    <w:rsid w:val="00AD1E79"/>
    <w:rsid w:val="00AD2C5A"/>
    <w:rsid w:val="00AD2DEE"/>
    <w:rsid w:val="00AD30D8"/>
    <w:rsid w:val="00AD3183"/>
    <w:rsid w:val="00AD326B"/>
    <w:rsid w:val="00AD3B13"/>
    <w:rsid w:val="00AD4658"/>
    <w:rsid w:val="00AD4693"/>
    <w:rsid w:val="00AD47C3"/>
    <w:rsid w:val="00AD4895"/>
    <w:rsid w:val="00AD4AD2"/>
    <w:rsid w:val="00AD4D65"/>
    <w:rsid w:val="00AD4D8D"/>
    <w:rsid w:val="00AD585E"/>
    <w:rsid w:val="00AD59B8"/>
    <w:rsid w:val="00AD5B43"/>
    <w:rsid w:val="00AD5D79"/>
    <w:rsid w:val="00AD5DBB"/>
    <w:rsid w:val="00AD5DC0"/>
    <w:rsid w:val="00AD6160"/>
    <w:rsid w:val="00AD664F"/>
    <w:rsid w:val="00AD666E"/>
    <w:rsid w:val="00AD69D9"/>
    <w:rsid w:val="00AD6B1B"/>
    <w:rsid w:val="00AD6F8C"/>
    <w:rsid w:val="00AD7A73"/>
    <w:rsid w:val="00AD7CB4"/>
    <w:rsid w:val="00AD7CE2"/>
    <w:rsid w:val="00AE02A3"/>
    <w:rsid w:val="00AE0328"/>
    <w:rsid w:val="00AE09B0"/>
    <w:rsid w:val="00AE1017"/>
    <w:rsid w:val="00AE13EE"/>
    <w:rsid w:val="00AE1BE6"/>
    <w:rsid w:val="00AE1F0F"/>
    <w:rsid w:val="00AE1F1B"/>
    <w:rsid w:val="00AE2161"/>
    <w:rsid w:val="00AE325E"/>
    <w:rsid w:val="00AE3741"/>
    <w:rsid w:val="00AE3FE7"/>
    <w:rsid w:val="00AE401A"/>
    <w:rsid w:val="00AE4181"/>
    <w:rsid w:val="00AE4197"/>
    <w:rsid w:val="00AE4439"/>
    <w:rsid w:val="00AE480F"/>
    <w:rsid w:val="00AE4B3C"/>
    <w:rsid w:val="00AE56C4"/>
    <w:rsid w:val="00AE59B8"/>
    <w:rsid w:val="00AE5C16"/>
    <w:rsid w:val="00AE5D2A"/>
    <w:rsid w:val="00AE5EA4"/>
    <w:rsid w:val="00AE6072"/>
    <w:rsid w:val="00AE6261"/>
    <w:rsid w:val="00AE6365"/>
    <w:rsid w:val="00AE648A"/>
    <w:rsid w:val="00AE6B15"/>
    <w:rsid w:val="00AE6B1E"/>
    <w:rsid w:val="00AE6D4F"/>
    <w:rsid w:val="00AE6FB0"/>
    <w:rsid w:val="00AE6FEB"/>
    <w:rsid w:val="00AE7C03"/>
    <w:rsid w:val="00AE7CAF"/>
    <w:rsid w:val="00AE7CC5"/>
    <w:rsid w:val="00AE7D80"/>
    <w:rsid w:val="00AE7E58"/>
    <w:rsid w:val="00AF03DC"/>
    <w:rsid w:val="00AF073F"/>
    <w:rsid w:val="00AF0D6F"/>
    <w:rsid w:val="00AF0F44"/>
    <w:rsid w:val="00AF11B5"/>
    <w:rsid w:val="00AF142A"/>
    <w:rsid w:val="00AF15FA"/>
    <w:rsid w:val="00AF1B0F"/>
    <w:rsid w:val="00AF1BBF"/>
    <w:rsid w:val="00AF1D4A"/>
    <w:rsid w:val="00AF26BA"/>
    <w:rsid w:val="00AF2811"/>
    <w:rsid w:val="00AF297D"/>
    <w:rsid w:val="00AF2AAF"/>
    <w:rsid w:val="00AF2CD3"/>
    <w:rsid w:val="00AF2DC1"/>
    <w:rsid w:val="00AF3169"/>
    <w:rsid w:val="00AF333A"/>
    <w:rsid w:val="00AF3500"/>
    <w:rsid w:val="00AF3513"/>
    <w:rsid w:val="00AF393F"/>
    <w:rsid w:val="00AF3E91"/>
    <w:rsid w:val="00AF3F24"/>
    <w:rsid w:val="00AF4180"/>
    <w:rsid w:val="00AF42B6"/>
    <w:rsid w:val="00AF43A1"/>
    <w:rsid w:val="00AF4490"/>
    <w:rsid w:val="00AF44CD"/>
    <w:rsid w:val="00AF47D2"/>
    <w:rsid w:val="00AF4BF3"/>
    <w:rsid w:val="00AF4F2B"/>
    <w:rsid w:val="00AF57F4"/>
    <w:rsid w:val="00AF5987"/>
    <w:rsid w:val="00AF5CF1"/>
    <w:rsid w:val="00AF609C"/>
    <w:rsid w:val="00AF6235"/>
    <w:rsid w:val="00AF6509"/>
    <w:rsid w:val="00AF66EC"/>
    <w:rsid w:val="00AF6973"/>
    <w:rsid w:val="00AF7043"/>
    <w:rsid w:val="00AF798F"/>
    <w:rsid w:val="00B00410"/>
    <w:rsid w:val="00B004AB"/>
    <w:rsid w:val="00B00643"/>
    <w:rsid w:val="00B0066C"/>
    <w:rsid w:val="00B00D3A"/>
    <w:rsid w:val="00B00EFC"/>
    <w:rsid w:val="00B0120E"/>
    <w:rsid w:val="00B0134B"/>
    <w:rsid w:val="00B01B85"/>
    <w:rsid w:val="00B021AE"/>
    <w:rsid w:val="00B0253F"/>
    <w:rsid w:val="00B02771"/>
    <w:rsid w:val="00B02937"/>
    <w:rsid w:val="00B02B8B"/>
    <w:rsid w:val="00B03607"/>
    <w:rsid w:val="00B037E1"/>
    <w:rsid w:val="00B03A5A"/>
    <w:rsid w:val="00B03B4C"/>
    <w:rsid w:val="00B03D93"/>
    <w:rsid w:val="00B03DA5"/>
    <w:rsid w:val="00B03F56"/>
    <w:rsid w:val="00B040A0"/>
    <w:rsid w:val="00B04290"/>
    <w:rsid w:val="00B0465B"/>
    <w:rsid w:val="00B048C5"/>
    <w:rsid w:val="00B04911"/>
    <w:rsid w:val="00B0495C"/>
    <w:rsid w:val="00B04D80"/>
    <w:rsid w:val="00B051AD"/>
    <w:rsid w:val="00B0530A"/>
    <w:rsid w:val="00B0538D"/>
    <w:rsid w:val="00B05484"/>
    <w:rsid w:val="00B054EE"/>
    <w:rsid w:val="00B0563A"/>
    <w:rsid w:val="00B0572C"/>
    <w:rsid w:val="00B05D16"/>
    <w:rsid w:val="00B05D2D"/>
    <w:rsid w:val="00B05F5D"/>
    <w:rsid w:val="00B0661B"/>
    <w:rsid w:val="00B06674"/>
    <w:rsid w:val="00B06806"/>
    <w:rsid w:val="00B06851"/>
    <w:rsid w:val="00B0688C"/>
    <w:rsid w:val="00B06987"/>
    <w:rsid w:val="00B06FE0"/>
    <w:rsid w:val="00B07667"/>
    <w:rsid w:val="00B1010B"/>
    <w:rsid w:val="00B10292"/>
    <w:rsid w:val="00B103A2"/>
    <w:rsid w:val="00B1062D"/>
    <w:rsid w:val="00B10696"/>
    <w:rsid w:val="00B10C4A"/>
    <w:rsid w:val="00B11160"/>
    <w:rsid w:val="00B111BE"/>
    <w:rsid w:val="00B11430"/>
    <w:rsid w:val="00B11817"/>
    <w:rsid w:val="00B11B92"/>
    <w:rsid w:val="00B11C62"/>
    <w:rsid w:val="00B11EF8"/>
    <w:rsid w:val="00B128C5"/>
    <w:rsid w:val="00B12D3C"/>
    <w:rsid w:val="00B12E7D"/>
    <w:rsid w:val="00B12FD9"/>
    <w:rsid w:val="00B1340E"/>
    <w:rsid w:val="00B13582"/>
    <w:rsid w:val="00B13771"/>
    <w:rsid w:val="00B1377F"/>
    <w:rsid w:val="00B1391D"/>
    <w:rsid w:val="00B13A7C"/>
    <w:rsid w:val="00B13AE2"/>
    <w:rsid w:val="00B13E3D"/>
    <w:rsid w:val="00B13F69"/>
    <w:rsid w:val="00B14AB8"/>
    <w:rsid w:val="00B15429"/>
    <w:rsid w:val="00B15653"/>
    <w:rsid w:val="00B15786"/>
    <w:rsid w:val="00B15A8B"/>
    <w:rsid w:val="00B15B67"/>
    <w:rsid w:val="00B15CC5"/>
    <w:rsid w:val="00B16119"/>
    <w:rsid w:val="00B16383"/>
    <w:rsid w:val="00B169B8"/>
    <w:rsid w:val="00B16C13"/>
    <w:rsid w:val="00B17944"/>
    <w:rsid w:val="00B17A8A"/>
    <w:rsid w:val="00B17B19"/>
    <w:rsid w:val="00B17B51"/>
    <w:rsid w:val="00B202D5"/>
    <w:rsid w:val="00B20300"/>
    <w:rsid w:val="00B2065F"/>
    <w:rsid w:val="00B20851"/>
    <w:rsid w:val="00B20873"/>
    <w:rsid w:val="00B209B2"/>
    <w:rsid w:val="00B20C2B"/>
    <w:rsid w:val="00B213F5"/>
    <w:rsid w:val="00B21530"/>
    <w:rsid w:val="00B21B65"/>
    <w:rsid w:val="00B21D44"/>
    <w:rsid w:val="00B21E12"/>
    <w:rsid w:val="00B22089"/>
    <w:rsid w:val="00B22381"/>
    <w:rsid w:val="00B22414"/>
    <w:rsid w:val="00B22D40"/>
    <w:rsid w:val="00B22F3A"/>
    <w:rsid w:val="00B23210"/>
    <w:rsid w:val="00B23396"/>
    <w:rsid w:val="00B2346C"/>
    <w:rsid w:val="00B236F9"/>
    <w:rsid w:val="00B23BF5"/>
    <w:rsid w:val="00B23D0D"/>
    <w:rsid w:val="00B2421E"/>
    <w:rsid w:val="00B24805"/>
    <w:rsid w:val="00B24BE9"/>
    <w:rsid w:val="00B2518E"/>
    <w:rsid w:val="00B25827"/>
    <w:rsid w:val="00B25F6C"/>
    <w:rsid w:val="00B2615B"/>
    <w:rsid w:val="00B26377"/>
    <w:rsid w:val="00B26E90"/>
    <w:rsid w:val="00B27226"/>
    <w:rsid w:val="00B27230"/>
    <w:rsid w:val="00B2744F"/>
    <w:rsid w:val="00B275DB"/>
    <w:rsid w:val="00B302B7"/>
    <w:rsid w:val="00B30621"/>
    <w:rsid w:val="00B3090E"/>
    <w:rsid w:val="00B30C13"/>
    <w:rsid w:val="00B317F4"/>
    <w:rsid w:val="00B31BA1"/>
    <w:rsid w:val="00B31CAF"/>
    <w:rsid w:val="00B31DBB"/>
    <w:rsid w:val="00B32BC7"/>
    <w:rsid w:val="00B32D94"/>
    <w:rsid w:val="00B32E4A"/>
    <w:rsid w:val="00B33719"/>
    <w:rsid w:val="00B33B03"/>
    <w:rsid w:val="00B33E32"/>
    <w:rsid w:val="00B33F3B"/>
    <w:rsid w:val="00B340B5"/>
    <w:rsid w:val="00B340E1"/>
    <w:rsid w:val="00B3433F"/>
    <w:rsid w:val="00B344FF"/>
    <w:rsid w:val="00B34685"/>
    <w:rsid w:val="00B34878"/>
    <w:rsid w:val="00B349DC"/>
    <w:rsid w:val="00B34E13"/>
    <w:rsid w:val="00B34E34"/>
    <w:rsid w:val="00B35089"/>
    <w:rsid w:val="00B35846"/>
    <w:rsid w:val="00B35972"/>
    <w:rsid w:val="00B35A5C"/>
    <w:rsid w:val="00B35D42"/>
    <w:rsid w:val="00B36AE8"/>
    <w:rsid w:val="00B36F5B"/>
    <w:rsid w:val="00B37175"/>
    <w:rsid w:val="00B3783F"/>
    <w:rsid w:val="00B4015E"/>
    <w:rsid w:val="00B40224"/>
    <w:rsid w:val="00B40613"/>
    <w:rsid w:val="00B40AFF"/>
    <w:rsid w:val="00B411F5"/>
    <w:rsid w:val="00B414BF"/>
    <w:rsid w:val="00B41659"/>
    <w:rsid w:val="00B41894"/>
    <w:rsid w:val="00B41A70"/>
    <w:rsid w:val="00B42734"/>
    <w:rsid w:val="00B428B7"/>
    <w:rsid w:val="00B4299E"/>
    <w:rsid w:val="00B42A32"/>
    <w:rsid w:val="00B42AFE"/>
    <w:rsid w:val="00B43439"/>
    <w:rsid w:val="00B437B7"/>
    <w:rsid w:val="00B43BCD"/>
    <w:rsid w:val="00B43F74"/>
    <w:rsid w:val="00B4428E"/>
    <w:rsid w:val="00B4446C"/>
    <w:rsid w:val="00B4454D"/>
    <w:rsid w:val="00B44657"/>
    <w:rsid w:val="00B4467D"/>
    <w:rsid w:val="00B4486E"/>
    <w:rsid w:val="00B44C28"/>
    <w:rsid w:val="00B45173"/>
    <w:rsid w:val="00B45311"/>
    <w:rsid w:val="00B45EBC"/>
    <w:rsid w:val="00B460EE"/>
    <w:rsid w:val="00B460FC"/>
    <w:rsid w:val="00B46268"/>
    <w:rsid w:val="00B46767"/>
    <w:rsid w:val="00B468CA"/>
    <w:rsid w:val="00B47015"/>
    <w:rsid w:val="00B47023"/>
    <w:rsid w:val="00B4711C"/>
    <w:rsid w:val="00B47169"/>
    <w:rsid w:val="00B4717D"/>
    <w:rsid w:val="00B476F7"/>
    <w:rsid w:val="00B47992"/>
    <w:rsid w:val="00B50105"/>
    <w:rsid w:val="00B50637"/>
    <w:rsid w:val="00B509F8"/>
    <w:rsid w:val="00B50ACF"/>
    <w:rsid w:val="00B50C84"/>
    <w:rsid w:val="00B510A5"/>
    <w:rsid w:val="00B518F0"/>
    <w:rsid w:val="00B51976"/>
    <w:rsid w:val="00B51EDB"/>
    <w:rsid w:val="00B52300"/>
    <w:rsid w:val="00B5257A"/>
    <w:rsid w:val="00B525B7"/>
    <w:rsid w:val="00B526BA"/>
    <w:rsid w:val="00B5284B"/>
    <w:rsid w:val="00B528B5"/>
    <w:rsid w:val="00B52C82"/>
    <w:rsid w:val="00B52E79"/>
    <w:rsid w:val="00B5305D"/>
    <w:rsid w:val="00B53268"/>
    <w:rsid w:val="00B53430"/>
    <w:rsid w:val="00B54098"/>
    <w:rsid w:val="00B542BD"/>
    <w:rsid w:val="00B54CAB"/>
    <w:rsid w:val="00B55583"/>
    <w:rsid w:val="00B55B71"/>
    <w:rsid w:val="00B55D74"/>
    <w:rsid w:val="00B56412"/>
    <w:rsid w:val="00B5650C"/>
    <w:rsid w:val="00B56691"/>
    <w:rsid w:val="00B569B7"/>
    <w:rsid w:val="00B57079"/>
    <w:rsid w:val="00B5718C"/>
    <w:rsid w:val="00B57574"/>
    <w:rsid w:val="00B57880"/>
    <w:rsid w:val="00B57CC8"/>
    <w:rsid w:val="00B57E0A"/>
    <w:rsid w:val="00B57F58"/>
    <w:rsid w:val="00B57FDE"/>
    <w:rsid w:val="00B6011A"/>
    <w:rsid w:val="00B605D6"/>
    <w:rsid w:val="00B60770"/>
    <w:rsid w:val="00B60861"/>
    <w:rsid w:val="00B60AEF"/>
    <w:rsid w:val="00B60C9A"/>
    <w:rsid w:val="00B60DD1"/>
    <w:rsid w:val="00B60F8D"/>
    <w:rsid w:val="00B61C5B"/>
    <w:rsid w:val="00B6270C"/>
    <w:rsid w:val="00B62AA9"/>
    <w:rsid w:val="00B62C18"/>
    <w:rsid w:val="00B62D88"/>
    <w:rsid w:val="00B63538"/>
    <w:rsid w:val="00B63612"/>
    <w:rsid w:val="00B63C5D"/>
    <w:rsid w:val="00B64766"/>
    <w:rsid w:val="00B64918"/>
    <w:rsid w:val="00B64F25"/>
    <w:rsid w:val="00B64F64"/>
    <w:rsid w:val="00B6517A"/>
    <w:rsid w:val="00B6548A"/>
    <w:rsid w:val="00B65AD8"/>
    <w:rsid w:val="00B65BB7"/>
    <w:rsid w:val="00B65C71"/>
    <w:rsid w:val="00B65FAE"/>
    <w:rsid w:val="00B66105"/>
    <w:rsid w:val="00B6697A"/>
    <w:rsid w:val="00B66A2C"/>
    <w:rsid w:val="00B66B41"/>
    <w:rsid w:val="00B66B76"/>
    <w:rsid w:val="00B66D30"/>
    <w:rsid w:val="00B66F1A"/>
    <w:rsid w:val="00B67C48"/>
    <w:rsid w:val="00B67CC5"/>
    <w:rsid w:val="00B67CFD"/>
    <w:rsid w:val="00B704BA"/>
    <w:rsid w:val="00B70B69"/>
    <w:rsid w:val="00B71496"/>
    <w:rsid w:val="00B71838"/>
    <w:rsid w:val="00B71B29"/>
    <w:rsid w:val="00B72298"/>
    <w:rsid w:val="00B72303"/>
    <w:rsid w:val="00B72DE5"/>
    <w:rsid w:val="00B72F03"/>
    <w:rsid w:val="00B72FE9"/>
    <w:rsid w:val="00B73CD9"/>
    <w:rsid w:val="00B73D26"/>
    <w:rsid w:val="00B74297"/>
    <w:rsid w:val="00B743D1"/>
    <w:rsid w:val="00B74BC5"/>
    <w:rsid w:val="00B74FC4"/>
    <w:rsid w:val="00B75812"/>
    <w:rsid w:val="00B75B0A"/>
    <w:rsid w:val="00B75DA4"/>
    <w:rsid w:val="00B75DC8"/>
    <w:rsid w:val="00B7635F"/>
    <w:rsid w:val="00B767D4"/>
    <w:rsid w:val="00B76AC0"/>
    <w:rsid w:val="00B76C27"/>
    <w:rsid w:val="00B76F9B"/>
    <w:rsid w:val="00B76FB8"/>
    <w:rsid w:val="00B77306"/>
    <w:rsid w:val="00B77395"/>
    <w:rsid w:val="00B80636"/>
    <w:rsid w:val="00B80BC0"/>
    <w:rsid w:val="00B8102E"/>
    <w:rsid w:val="00B8116F"/>
    <w:rsid w:val="00B81669"/>
    <w:rsid w:val="00B818AA"/>
    <w:rsid w:val="00B818BE"/>
    <w:rsid w:val="00B81AAC"/>
    <w:rsid w:val="00B81B4F"/>
    <w:rsid w:val="00B81D92"/>
    <w:rsid w:val="00B82116"/>
    <w:rsid w:val="00B825FF"/>
    <w:rsid w:val="00B82BD8"/>
    <w:rsid w:val="00B82D17"/>
    <w:rsid w:val="00B83693"/>
    <w:rsid w:val="00B839E7"/>
    <w:rsid w:val="00B840A1"/>
    <w:rsid w:val="00B843C1"/>
    <w:rsid w:val="00B84889"/>
    <w:rsid w:val="00B84B34"/>
    <w:rsid w:val="00B85CF1"/>
    <w:rsid w:val="00B85D1E"/>
    <w:rsid w:val="00B862DB"/>
    <w:rsid w:val="00B86615"/>
    <w:rsid w:val="00B86C66"/>
    <w:rsid w:val="00B87045"/>
    <w:rsid w:val="00B870A4"/>
    <w:rsid w:val="00B871A4"/>
    <w:rsid w:val="00B875C1"/>
    <w:rsid w:val="00B8791C"/>
    <w:rsid w:val="00B87AAB"/>
    <w:rsid w:val="00B87E9E"/>
    <w:rsid w:val="00B87EEF"/>
    <w:rsid w:val="00B90468"/>
    <w:rsid w:val="00B904CD"/>
    <w:rsid w:val="00B9098C"/>
    <w:rsid w:val="00B90D75"/>
    <w:rsid w:val="00B90DEF"/>
    <w:rsid w:val="00B912E3"/>
    <w:rsid w:val="00B914EB"/>
    <w:rsid w:val="00B91613"/>
    <w:rsid w:val="00B9176D"/>
    <w:rsid w:val="00B925A7"/>
    <w:rsid w:val="00B92C0C"/>
    <w:rsid w:val="00B92E81"/>
    <w:rsid w:val="00B931FE"/>
    <w:rsid w:val="00B9357B"/>
    <w:rsid w:val="00B93752"/>
    <w:rsid w:val="00B93946"/>
    <w:rsid w:val="00B94065"/>
    <w:rsid w:val="00B94779"/>
    <w:rsid w:val="00B94780"/>
    <w:rsid w:val="00B94A79"/>
    <w:rsid w:val="00B94D5F"/>
    <w:rsid w:val="00B9603E"/>
    <w:rsid w:val="00B962BF"/>
    <w:rsid w:val="00B9686C"/>
    <w:rsid w:val="00B968BB"/>
    <w:rsid w:val="00B96A34"/>
    <w:rsid w:val="00B96F9C"/>
    <w:rsid w:val="00B97620"/>
    <w:rsid w:val="00B977BD"/>
    <w:rsid w:val="00B977E2"/>
    <w:rsid w:val="00B978AE"/>
    <w:rsid w:val="00B97D01"/>
    <w:rsid w:val="00BA004A"/>
    <w:rsid w:val="00BA02B7"/>
    <w:rsid w:val="00BA05DB"/>
    <w:rsid w:val="00BA0993"/>
    <w:rsid w:val="00BA1584"/>
    <w:rsid w:val="00BA1C8F"/>
    <w:rsid w:val="00BA1E42"/>
    <w:rsid w:val="00BA1F85"/>
    <w:rsid w:val="00BA20BF"/>
    <w:rsid w:val="00BA23A2"/>
    <w:rsid w:val="00BA2935"/>
    <w:rsid w:val="00BA2CBC"/>
    <w:rsid w:val="00BA2E56"/>
    <w:rsid w:val="00BA2E5C"/>
    <w:rsid w:val="00BA2E68"/>
    <w:rsid w:val="00BA3121"/>
    <w:rsid w:val="00BA3D6B"/>
    <w:rsid w:val="00BA4008"/>
    <w:rsid w:val="00BA4079"/>
    <w:rsid w:val="00BA4764"/>
    <w:rsid w:val="00BA4B8C"/>
    <w:rsid w:val="00BA5349"/>
    <w:rsid w:val="00BA56F1"/>
    <w:rsid w:val="00BA5D80"/>
    <w:rsid w:val="00BA606B"/>
    <w:rsid w:val="00BA6080"/>
    <w:rsid w:val="00BA608B"/>
    <w:rsid w:val="00BA60EA"/>
    <w:rsid w:val="00BA6578"/>
    <w:rsid w:val="00BA6D8F"/>
    <w:rsid w:val="00BA7144"/>
    <w:rsid w:val="00BA73EF"/>
    <w:rsid w:val="00BA7571"/>
    <w:rsid w:val="00BA770C"/>
    <w:rsid w:val="00BA775B"/>
    <w:rsid w:val="00BB0F61"/>
    <w:rsid w:val="00BB11A7"/>
    <w:rsid w:val="00BB13D0"/>
    <w:rsid w:val="00BB14FA"/>
    <w:rsid w:val="00BB1EFE"/>
    <w:rsid w:val="00BB1FF0"/>
    <w:rsid w:val="00BB2084"/>
    <w:rsid w:val="00BB223C"/>
    <w:rsid w:val="00BB2293"/>
    <w:rsid w:val="00BB283D"/>
    <w:rsid w:val="00BB331F"/>
    <w:rsid w:val="00BB3494"/>
    <w:rsid w:val="00BB378C"/>
    <w:rsid w:val="00BB3950"/>
    <w:rsid w:val="00BB495D"/>
    <w:rsid w:val="00BB5069"/>
    <w:rsid w:val="00BB5192"/>
    <w:rsid w:val="00BB5453"/>
    <w:rsid w:val="00BB68EB"/>
    <w:rsid w:val="00BB6D9A"/>
    <w:rsid w:val="00BB6DB0"/>
    <w:rsid w:val="00BB73C0"/>
    <w:rsid w:val="00BB74CC"/>
    <w:rsid w:val="00BB766F"/>
    <w:rsid w:val="00BB77CC"/>
    <w:rsid w:val="00BB782B"/>
    <w:rsid w:val="00BB7D85"/>
    <w:rsid w:val="00BB7DCE"/>
    <w:rsid w:val="00BC066E"/>
    <w:rsid w:val="00BC0697"/>
    <w:rsid w:val="00BC09C4"/>
    <w:rsid w:val="00BC0D10"/>
    <w:rsid w:val="00BC0E7B"/>
    <w:rsid w:val="00BC0F14"/>
    <w:rsid w:val="00BC1436"/>
    <w:rsid w:val="00BC1979"/>
    <w:rsid w:val="00BC1BC9"/>
    <w:rsid w:val="00BC216B"/>
    <w:rsid w:val="00BC22DE"/>
    <w:rsid w:val="00BC271C"/>
    <w:rsid w:val="00BC2E99"/>
    <w:rsid w:val="00BC2ED2"/>
    <w:rsid w:val="00BC2FCB"/>
    <w:rsid w:val="00BC376D"/>
    <w:rsid w:val="00BC3AB4"/>
    <w:rsid w:val="00BC3D24"/>
    <w:rsid w:val="00BC3D7A"/>
    <w:rsid w:val="00BC3E57"/>
    <w:rsid w:val="00BC3F2D"/>
    <w:rsid w:val="00BC3F3F"/>
    <w:rsid w:val="00BC3FC9"/>
    <w:rsid w:val="00BC493E"/>
    <w:rsid w:val="00BC4970"/>
    <w:rsid w:val="00BC4ACA"/>
    <w:rsid w:val="00BC4B8D"/>
    <w:rsid w:val="00BC5474"/>
    <w:rsid w:val="00BC5B6F"/>
    <w:rsid w:val="00BC5B77"/>
    <w:rsid w:val="00BC659D"/>
    <w:rsid w:val="00BC65EF"/>
    <w:rsid w:val="00BC6892"/>
    <w:rsid w:val="00BC6A23"/>
    <w:rsid w:val="00BC6ABD"/>
    <w:rsid w:val="00BC7316"/>
    <w:rsid w:val="00BD0007"/>
    <w:rsid w:val="00BD0C4B"/>
    <w:rsid w:val="00BD0CC8"/>
    <w:rsid w:val="00BD0D2F"/>
    <w:rsid w:val="00BD111A"/>
    <w:rsid w:val="00BD15D1"/>
    <w:rsid w:val="00BD178F"/>
    <w:rsid w:val="00BD1915"/>
    <w:rsid w:val="00BD1E66"/>
    <w:rsid w:val="00BD202A"/>
    <w:rsid w:val="00BD2340"/>
    <w:rsid w:val="00BD29C6"/>
    <w:rsid w:val="00BD34D7"/>
    <w:rsid w:val="00BD376C"/>
    <w:rsid w:val="00BD3A15"/>
    <w:rsid w:val="00BD3A8E"/>
    <w:rsid w:val="00BD3BD3"/>
    <w:rsid w:val="00BD3E0D"/>
    <w:rsid w:val="00BD44C5"/>
    <w:rsid w:val="00BD455E"/>
    <w:rsid w:val="00BD475C"/>
    <w:rsid w:val="00BD4985"/>
    <w:rsid w:val="00BD4A96"/>
    <w:rsid w:val="00BD4D5A"/>
    <w:rsid w:val="00BD53F2"/>
    <w:rsid w:val="00BD53F9"/>
    <w:rsid w:val="00BD54ED"/>
    <w:rsid w:val="00BD579E"/>
    <w:rsid w:val="00BD6452"/>
    <w:rsid w:val="00BD69CE"/>
    <w:rsid w:val="00BD6B96"/>
    <w:rsid w:val="00BD6FDE"/>
    <w:rsid w:val="00BD708B"/>
    <w:rsid w:val="00BD71E4"/>
    <w:rsid w:val="00BD7331"/>
    <w:rsid w:val="00BD7A24"/>
    <w:rsid w:val="00BE03EF"/>
    <w:rsid w:val="00BE06B7"/>
    <w:rsid w:val="00BE06F5"/>
    <w:rsid w:val="00BE082F"/>
    <w:rsid w:val="00BE0835"/>
    <w:rsid w:val="00BE0BBB"/>
    <w:rsid w:val="00BE0E72"/>
    <w:rsid w:val="00BE0FC3"/>
    <w:rsid w:val="00BE0FF0"/>
    <w:rsid w:val="00BE19B6"/>
    <w:rsid w:val="00BE1AE4"/>
    <w:rsid w:val="00BE1FC5"/>
    <w:rsid w:val="00BE2986"/>
    <w:rsid w:val="00BE2DEC"/>
    <w:rsid w:val="00BE2E78"/>
    <w:rsid w:val="00BE33BC"/>
    <w:rsid w:val="00BE3539"/>
    <w:rsid w:val="00BE3743"/>
    <w:rsid w:val="00BE397C"/>
    <w:rsid w:val="00BE397F"/>
    <w:rsid w:val="00BE3A6D"/>
    <w:rsid w:val="00BE3F91"/>
    <w:rsid w:val="00BE4111"/>
    <w:rsid w:val="00BE415B"/>
    <w:rsid w:val="00BE4C13"/>
    <w:rsid w:val="00BE5749"/>
    <w:rsid w:val="00BE591E"/>
    <w:rsid w:val="00BE5D4F"/>
    <w:rsid w:val="00BE5D57"/>
    <w:rsid w:val="00BE6018"/>
    <w:rsid w:val="00BE63FC"/>
    <w:rsid w:val="00BE6400"/>
    <w:rsid w:val="00BE6406"/>
    <w:rsid w:val="00BE6931"/>
    <w:rsid w:val="00BE727A"/>
    <w:rsid w:val="00BE72B8"/>
    <w:rsid w:val="00BE7529"/>
    <w:rsid w:val="00BE75C3"/>
    <w:rsid w:val="00BE75EC"/>
    <w:rsid w:val="00BE7714"/>
    <w:rsid w:val="00BF00DD"/>
    <w:rsid w:val="00BF0165"/>
    <w:rsid w:val="00BF0216"/>
    <w:rsid w:val="00BF0586"/>
    <w:rsid w:val="00BF0C2A"/>
    <w:rsid w:val="00BF0DA3"/>
    <w:rsid w:val="00BF0FA7"/>
    <w:rsid w:val="00BF12AB"/>
    <w:rsid w:val="00BF1301"/>
    <w:rsid w:val="00BF16F3"/>
    <w:rsid w:val="00BF1B91"/>
    <w:rsid w:val="00BF1BEA"/>
    <w:rsid w:val="00BF1F3C"/>
    <w:rsid w:val="00BF2208"/>
    <w:rsid w:val="00BF2248"/>
    <w:rsid w:val="00BF2D53"/>
    <w:rsid w:val="00BF305B"/>
    <w:rsid w:val="00BF3418"/>
    <w:rsid w:val="00BF35A5"/>
    <w:rsid w:val="00BF431D"/>
    <w:rsid w:val="00BF4BEA"/>
    <w:rsid w:val="00BF4BF5"/>
    <w:rsid w:val="00BF5201"/>
    <w:rsid w:val="00BF5290"/>
    <w:rsid w:val="00BF5691"/>
    <w:rsid w:val="00BF57ED"/>
    <w:rsid w:val="00BF5872"/>
    <w:rsid w:val="00BF5FC0"/>
    <w:rsid w:val="00BF6245"/>
    <w:rsid w:val="00BF6832"/>
    <w:rsid w:val="00BF6BBE"/>
    <w:rsid w:val="00BF6FCF"/>
    <w:rsid w:val="00BF7030"/>
    <w:rsid w:val="00BF7543"/>
    <w:rsid w:val="00BF7933"/>
    <w:rsid w:val="00BF7A57"/>
    <w:rsid w:val="00BF7B14"/>
    <w:rsid w:val="00C00880"/>
    <w:rsid w:val="00C00DD9"/>
    <w:rsid w:val="00C01806"/>
    <w:rsid w:val="00C01835"/>
    <w:rsid w:val="00C01999"/>
    <w:rsid w:val="00C01B2C"/>
    <w:rsid w:val="00C01C7D"/>
    <w:rsid w:val="00C0206F"/>
    <w:rsid w:val="00C02073"/>
    <w:rsid w:val="00C02220"/>
    <w:rsid w:val="00C022BC"/>
    <w:rsid w:val="00C0243C"/>
    <w:rsid w:val="00C025DB"/>
    <w:rsid w:val="00C037D3"/>
    <w:rsid w:val="00C03D92"/>
    <w:rsid w:val="00C03F93"/>
    <w:rsid w:val="00C04472"/>
    <w:rsid w:val="00C04A53"/>
    <w:rsid w:val="00C04AC5"/>
    <w:rsid w:val="00C04CD3"/>
    <w:rsid w:val="00C04CFC"/>
    <w:rsid w:val="00C05099"/>
    <w:rsid w:val="00C0530B"/>
    <w:rsid w:val="00C05318"/>
    <w:rsid w:val="00C05919"/>
    <w:rsid w:val="00C05C48"/>
    <w:rsid w:val="00C05C97"/>
    <w:rsid w:val="00C05E24"/>
    <w:rsid w:val="00C0625A"/>
    <w:rsid w:val="00C06A30"/>
    <w:rsid w:val="00C06A69"/>
    <w:rsid w:val="00C06BB2"/>
    <w:rsid w:val="00C06BEB"/>
    <w:rsid w:val="00C06DA2"/>
    <w:rsid w:val="00C06E74"/>
    <w:rsid w:val="00C06EBA"/>
    <w:rsid w:val="00C073A1"/>
    <w:rsid w:val="00C07DA9"/>
    <w:rsid w:val="00C07FAA"/>
    <w:rsid w:val="00C07FF0"/>
    <w:rsid w:val="00C07FF6"/>
    <w:rsid w:val="00C100C4"/>
    <w:rsid w:val="00C10216"/>
    <w:rsid w:val="00C10762"/>
    <w:rsid w:val="00C10F3B"/>
    <w:rsid w:val="00C110E2"/>
    <w:rsid w:val="00C110FA"/>
    <w:rsid w:val="00C11224"/>
    <w:rsid w:val="00C11524"/>
    <w:rsid w:val="00C1186E"/>
    <w:rsid w:val="00C11A87"/>
    <w:rsid w:val="00C11AEF"/>
    <w:rsid w:val="00C11AFB"/>
    <w:rsid w:val="00C11D05"/>
    <w:rsid w:val="00C1228E"/>
    <w:rsid w:val="00C12631"/>
    <w:rsid w:val="00C1294D"/>
    <w:rsid w:val="00C12B34"/>
    <w:rsid w:val="00C135A3"/>
    <w:rsid w:val="00C13ABD"/>
    <w:rsid w:val="00C13D20"/>
    <w:rsid w:val="00C13E28"/>
    <w:rsid w:val="00C1462C"/>
    <w:rsid w:val="00C14A77"/>
    <w:rsid w:val="00C14B00"/>
    <w:rsid w:val="00C14F9C"/>
    <w:rsid w:val="00C1510C"/>
    <w:rsid w:val="00C153BF"/>
    <w:rsid w:val="00C15456"/>
    <w:rsid w:val="00C15645"/>
    <w:rsid w:val="00C156B8"/>
    <w:rsid w:val="00C15A73"/>
    <w:rsid w:val="00C15C76"/>
    <w:rsid w:val="00C15CF0"/>
    <w:rsid w:val="00C15ED2"/>
    <w:rsid w:val="00C160B5"/>
    <w:rsid w:val="00C16534"/>
    <w:rsid w:val="00C16AAF"/>
    <w:rsid w:val="00C16F20"/>
    <w:rsid w:val="00C175AD"/>
    <w:rsid w:val="00C17C8C"/>
    <w:rsid w:val="00C17F39"/>
    <w:rsid w:val="00C17FA4"/>
    <w:rsid w:val="00C205CD"/>
    <w:rsid w:val="00C20736"/>
    <w:rsid w:val="00C209CA"/>
    <w:rsid w:val="00C210D7"/>
    <w:rsid w:val="00C2172F"/>
    <w:rsid w:val="00C21A03"/>
    <w:rsid w:val="00C21C1B"/>
    <w:rsid w:val="00C21CFF"/>
    <w:rsid w:val="00C21DA5"/>
    <w:rsid w:val="00C22448"/>
    <w:rsid w:val="00C2263A"/>
    <w:rsid w:val="00C22FFA"/>
    <w:rsid w:val="00C2302E"/>
    <w:rsid w:val="00C23B03"/>
    <w:rsid w:val="00C242B5"/>
    <w:rsid w:val="00C243BA"/>
    <w:rsid w:val="00C2440D"/>
    <w:rsid w:val="00C248C1"/>
    <w:rsid w:val="00C24F0B"/>
    <w:rsid w:val="00C25267"/>
    <w:rsid w:val="00C25A30"/>
    <w:rsid w:val="00C25E8B"/>
    <w:rsid w:val="00C260AE"/>
    <w:rsid w:val="00C263A6"/>
    <w:rsid w:val="00C26982"/>
    <w:rsid w:val="00C26B8E"/>
    <w:rsid w:val="00C272CA"/>
    <w:rsid w:val="00C272E8"/>
    <w:rsid w:val="00C276C1"/>
    <w:rsid w:val="00C2779A"/>
    <w:rsid w:val="00C27CD6"/>
    <w:rsid w:val="00C27D9D"/>
    <w:rsid w:val="00C303D8"/>
    <w:rsid w:val="00C30447"/>
    <w:rsid w:val="00C30658"/>
    <w:rsid w:val="00C30887"/>
    <w:rsid w:val="00C30B29"/>
    <w:rsid w:val="00C31433"/>
    <w:rsid w:val="00C3151C"/>
    <w:rsid w:val="00C31836"/>
    <w:rsid w:val="00C32372"/>
    <w:rsid w:val="00C32748"/>
    <w:rsid w:val="00C32AEB"/>
    <w:rsid w:val="00C33390"/>
    <w:rsid w:val="00C33E96"/>
    <w:rsid w:val="00C34402"/>
    <w:rsid w:val="00C344DA"/>
    <w:rsid w:val="00C34660"/>
    <w:rsid w:val="00C346C5"/>
    <w:rsid w:val="00C34777"/>
    <w:rsid w:val="00C34D7E"/>
    <w:rsid w:val="00C34DDF"/>
    <w:rsid w:val="00C3509C"/>
    <w:rsid w:val="00C35329"/>
    <w:rsid w:val="00C353BD"/>
    <w:rsid w:val="00C35A1C"/>
    <w:rsid w:val="00C35ABA"/>
    <w:rsid w:val="00C35B6D"/>
    <w:rsid w:val="00C35C0E"/>
    <w:rsid w:val="00C36447"/>
    <w:rsid w:val="00C36AD1"/>
    <w:rsid w:val="00C36B94"/>
    <w:rsid w:val="00C36D8F"/>
    <w:rsid w:val="00C36F3B"/>
    <w:rsid w:val="00C37024"/>
    <w:rsid w:val="00C37048"/>
    <w:rsid w:val="00C37351"/>
    <w:rsid w:val="00C373D9"/>
    <w:rsid w:val="00C37662"/>
    <w:rsid w:val="00C3795B"/>
    <w:rsid w:val="00C37AE5"/>
    <w:rsid w:val="00C37CCE"/>
    <w:rsid w:val="00C40026"/>
    <w:rsid w:val="00C40332"/>
    <w:rsid w:val="00C403AE"/>
    <w:rsid w:val="00C4042A"/>
    <w:rsid w:val="00C40474"/>
    <w:rsid w:val="00C40760"/>
    <w:rsid w:val="00C4086D"/>
    <w:rsid w:val="00C40E1D"/>
    <w:rsid w:val="00C414EE"/>
    <w:rsid w:val="00C41830"/>
    <w:rsid w:val="00C419EB"/>
    <w:rsid w:val="00C41A73"/>
    <w:rsid w:val="00C41E53"/>
    <w:rsid w:val="00C42427"/>
    <w:rsid w:val="00C428BC"/>
    <w:rsid w:val="00C428EF"/>
    <w:rsid w:val="00C42F17"/>
    <w:rsid w:val="00C42F77"/>
    <w:rsid w:val="00C43083"/>
    <w:rsid w:val="00C43096"/>
    <w:rsid w:val="00C4370A"/>
    <w:rsid w:val="00C43F00"/>
    <w:rsid w:val="00C43F42"/>
    <w:rsid w:val="00C44370"/>
    <w:rsid w:val="00C448A6"/>
    <w:rsid w:val="00C44940"/>
    <w:rsid w:val="00C44C1B"/>
    <w:rsid w:val="00C44C78"/>
    <w:rsid w:val="00C44CF8"/>
    <w:rsid w:val="00C45248"/>
    <w:rsid w:val="00C4525F"/>
    <w:rsid w:val="00C452BA"/>
    <w:rsid w:val="00C45C36"/>
    <w:rsid w:val="00C45F70"/>
    <w:rsid w:val="00C4627D"/>
    <w:rsid w:val="00C4636F"/>
    <w:rsid w:val="00C463A0"/>
    <w:rsid w:val="00C46677"/>
    <w:rsid w:val="00C4683C"/>
    <w:rsid w:val="00C470BB"/>
    <w:rsid w:val="00C4711B"/>
    <w:rsid w:val="00C47763"/>
    <w:rsid w:val="00C477C3"/>
    <w:rsid w:val="00C4782D"/>
    <w:rsid w:val="00C500F7"/>
    <w:rsid w:val="00C50147"/>
    <w:rsid w:val="00C50FB5"/>
    <w:rsid w:val="00C51319"/>
    <w:rsid w:val="00C51786"/>
    <w:rsid w:val="00C51891"/>
    <w:rsid w:val="00C51A99"/>
    <w:rsid w:val="00C52152"/>
    <w:rsid w:val="00C523FC"/>
    <w:rsid w:val="00C52479"/>
    <w:rsid w:val="00C5249B"/>
    <w:rsid w:val="00C528E6"/>
    <w:rsid w:val="00C533FC"/>
    <w:rsid w:val="00C5346C"/>
    <w:rsid w:val="00C534E1"/>
    <w:rsid w:val="00C536DF"/>
    <w:rsid w:val="00C537CA"/>
    <w:rsid w:val="00C53B5C"/>
    <w:rsid w:val="00C53C9A"/>
    <w:rsid w:val="00C53D9A"/>
    <w:rsid w:val="00C542E4"/>
    <w:rsid w:val="00C546E0"/>
    <w:rsid w:val="00C547AE"/>
    <w:rsid w:val="00C55209"/>
    <w:rsid w:val="00C55948"/>
    <w:rsid w:val="00C55A06"/>
    <w:rsid w:val="00C55D1A"/>
    <w:rsid w:val="00C55F74"/>
    <w:rsid w:val="00C56581"/>
    <w:rsid w:val="00C56B74"/>
    <w:rsid w:val="00C56D9D"/>
    <w:rsid w:val="00C56DE0"/>
    <w:rsid w:val="00C5768D"/>
    <w:rsid w:val="00C57920"/>
    <w:rsid w:val="00C5798F"/>
    <w:rsid w:val="00C57AB3"/>
    <w:rsid w:val="00C57D23"/>
    <w:rsid w:val="00C6088B"/>
    <w:rsid w:val="00C609EE"/>
    <w:rsid w:val="00C60A33"/>
    <w:rsid w:val="00C61106"/>
    <w:rsid w:val="00C6141C"/>
    <w:rsid w:val="00C617D9"/>
    <w:rsid w:val="00C61843"/>
    <w:rsid w:val="00C61C0D"/>
    <w:rsid w:val="00C62291"/>
    <w:rsid w:val="00C627D3"/>
    <w:rsid w:val="00C62BC5"/>
    <w:rsid w:val="00C62D5F"/>
    <w:rsid w:val="00C62D83"/>
    <w:rsid w:val="00C63725"/>
    <w:rsid w:val="00C63804"/>
    <w:rsid w:val="00C63A61"/>
    <w:rsid w:val="00C63DDD"/>
    <w:rsid w:val="00C63DF2"/>
    <w:rsid w:val="00C63E2F"/>
    <w:rsid w:val="00C640CE"/>
    <w:rsid w:val="00C64814"/>
    <w:rsid w:val="00C64C24"/>
    <w:rsid w:val="00C64DEE"/>
    <w:rsid w:val="00C64E9A"/>
    <w:rsid w:val="00C64F6A"/>
    <w:rsid w:val="00C65306"/>
    <w:rsid w:val="00C65B6F"/>
    <w:rsid w:val="00C65C83"/>
    <w:rsid w:val="00C65DDA"/>
    <w:rsid w:val="00C65F05"/>
    <w:rsid w:val="00C65FDF"/>
    <w:rsid w:val="00C6692A"/>
    <w:rsid w:val="00C6744E"/>
    <w:rsid w:val="00C6769B"/>
    <w:rsid w:val="00C677BA"/>
    <w:rsid w:val="00C67CA9"/>
    <w:rsid w:val="00C70431"/>
    <w:rsid w:val="00C70447"/>
    <w:rsid w:val="00C70807"/>
    <w:rsid w:val="00C70A59"/>
    <w:rsid w:val="00C70E22"/>
    <w:rsid w:val="00C70EF7"/>
    <w:rsid w:val="00C7138C"/>
    <w:rsid w:val="00C713F0"/>
    <w:rsid w:val="00C716AB"/>
    <w:rsid w:val="00C718D8"/>
    <w:rsid w:val="00C71E01"/>
    <w:rsid w:val="00C7212F"/>
    <w:rsid w:val="00C72B69"/>
    <w:rsid w:val="00C72DD8"/>
    <w:rsid w:val="00C730D2"/>
    <w:rsid w:val="00C737B3"/>
    <w:rsid w:val="00C7393E"/>
    <w:rsid w:val="00C73AFE"/>
    <w:rsid w:val="00C7446E"/>
    <w:rsid w:val="00C74CB0"/>
    <w:rsid w:val="00C74CB1"/>
    <w:rsid w:val="00C74D26"/>
    <w:rsid w:val="00C75250"/>
    <w:rsid w:val="00C75396"/>
    <w:rsid w:val="00C760BE"/>
    <w:rsid w:val="00C761CD"/>
    <w:rsid w:val="00C76709"/>
    <w:rsid w:val="00C7678F"/>
    <w:rsid w:val="00C767FD"/>
    <w:rsid w:val="00C76840"/>
    <w:rsid w:val="00C769C7"/>
    <w:rsid w:val="00C76D33"/>
    <w:rsid w:val="00C76D60"/>
    <w:rsid w:val="00C76DE5"/>
    <w:rsid w:val="00C77008"/>
    <w:rsid w:val="00C77132"/>
    <w:rsid w:val="00C77408"/>
    <w:rsid w:val="00C776C6"/>
    <w:rsid w:val="00C77CCC"/>
    <w:rsid w:val="00C77E89"/>
    <w:rsid w:val="00C804F1"/>
    <w:rsid w:val="00C80C71"/>
    <w:rsid w:val="00C80CB8"/>
    <w:rsid w:val="00C8148C"/>
    <w:rsid w:val="00C81699"/>
    <w:rsid w:val="00C81E9A"/>
    <w:rsid w:val="00C81F77"/>
    <w:rsid w:val="00C81F7F"/>
    <w:rsid w:val="00C82F45"/>
    <w:rsid w:val="00C82FD9"/>
    <w:rsid w:val="00C83214"/>
    <w:rsid w:val="00C838AD"/>
    <w:rsid w:val="00C83958"/>
    <w:rsid w:val="00C83E3A"/>
    <w:rsid w:val="00C844E5"/>
    <w:rsid w:val="00C84768"/>
    <w:rsid w:val="00C849A6"/>
    <w:rsid w:val="00C84F0F"/>
    <w:rsid w:val="00C84F91"/>
    <w:rsid w:val="00C84F9E"/>
    <w:rsid w:val="00C8546B"/>
    <w:rsid w:val="00C8560C"/>
    <w:rsid w:val="00C856A1"/>
    <w:rsid w:val="00C85938"/>
    <w:rsid w:val="00C85CEC"/>
    <w:rsid w:val="00C85D56"/>
    <w:rsid w:val="00C85FAE"/>
    <w:rsid w:val="00C86058"/>
    <w:rsid w:val="00C8629E"/>
    <w:rsid w:val="00C86BE6"/>
    <w:rsid w:val="00C8707E"/>
    <w:rsid w:val="00C870CF"/>
    <w:rsid w:val="00C87270"/>
    <w:rsid w:val="00C87321"/>
    <w:rsid w:val="00C87A0B"/>
    <w:rsid w:val="00C87A11"/>
    <w:rsid w:val="00C87A5A"/>
    <w:rsid w:val="00C87DA0"/>
    <w:rsid w:val="00C87DD5"/>
    <w:rsid w:val="00C9125C"/>
    <w:rsid w:val="00C913C4"/>
    <w:rsid w:val="00C92495"/>
    <w:rsid w:val="00C92DA2"/>
    <w:rsid w:val="00C92EC9"/>
    <w:rsid w:val="00C92F15"/>
    <w:rsid w:val="00C92F9D"/>
    <w:rsid w:val="00C93572"/>
    <w:rsid w:val="00C93C23"/>
    <w:rsid w:val="00C94273"/>
    <w:rsid w:val="00C94358"/>
    <w:rsid w:val="00C9460D"/>
    <w:rsid w:val="00C9477F"/>
    <w:rsid w:val="00C9512D"/>
    <w:rsid w:val="00C953CF"/>
    <w:rsid w:val="00C95890"/>
    <w:rsid w:val="00C95F57"/>
    <w:rsid w:val="00C9614A"/>
    <w:rsid w:val="00C964B9"/>
    <w:rsid w:val="00C96A45"/>
    <w:rsid w:val="00C971BB"/>
    <w:rsid w:val="00C972CE"/>
    <w:rsid w:val="00C9750F"/>
    <w:rsid w:val="00C975E1"/>
    <w:rsid w:val="00C9764D"/>
    <w:rsid w:val="00C976D0"/>
    <w:rsid w:val="00C97820"/>
    <w:rsid w:val="00C97861"/>
    <w:rsid w:val="00CA03D7"/>
    <w:rsid w:val="00CA03FD"/>
    <w:rsid w:val="00CA0698"/>
    <w:rsid w:val="00CA09EC"/>
    <w:rsid w:val="00CA0D5E"/>
    <w:rsid w:val="00CA0EB3"/>
    <w:rsid w:val="00CA1165"/>
    <w:rsid w:val="00CA1754"/>
    <w:rsid w:val="00CA1A40"/>
    <w:rsid w:val="00CA1E59"/>
    <w:rsid w:val="00CA1EF4"/>
    <w:rsid w:val="00CA22A7"/>
    <w:rsid w:val="00CA24B1"/>
    <w:rsid w:val="00CA2CA8"/>
    <w:rsid w:val="00CA2D4F"/>
    <w:rsid w:val="00CA315D"/>
    <w:rsid w:val="00CA3276"/>
    <w:rsid w:val="00CA33BC"/>
    <w:rsid w:val="00CA3BAE"/>
    <w:rsid w:val="00CA3F16"/>
    <w:rsid w:val="00CA42E5"/>
    <w:rsid w:val="00CA4C51"/>
    <w:rsid w:val="00CA4C8C"/>
    <w:rsid w:val="00CA4E1B"/>
    <w:rsid w:val="00CA50A5"/>
    <w:rsid w:val="00CA50FF"/>
    <w:rsid w:val="00CA553F"/>
    <w:rsid w:val="00CA562A"/>
    <w:rsid w:val="00CA56E7"/>
    <w:rsid w:val="00CA5D68"/>
    <w:rsid w:val="00CA5DCD"/>
    <w:rsid w:val="00CA5F28"/>
    <w:rsid w:val="00CA5F9E"/>
    <w:rsid w:val="00CA6915"/>
    <w:rsid w:val="00CA6B2E"/>
    <w:rsid w:val="00CA6CD3"/>
    <w:rsid w:val="00CA6F58"/>
    <w:rsid w:val="00CA706C"/>
    <w:rsid w:val="00CA7445"/>
    <w:rsid w:val="00CA75C1"/>
    <w:rsid w:val="00CA776C"/>
    <w:rsid w:val="00CA7CE2"/>
    <w:rsid w:val="00CA7CE8"/>
    <w:rsid w:val="00CA7E8B"/>
    <w:rsid w:val="00CB0439"/>
    <w:rsid w:val="00CB0493"/>
    <w:rsid w:val="00CB075D"/>
    <w:rsid w:val="00CB087F"/>
    <w:rsid w:val="00CB0AB5"/>
    <w:rsid w:val="00CB0B33"/>
    <w:rsid w:val="00CB0BC2"/>
    <w:rsid w:val="00CB0CBD"/>
    <w:rsid w:val="00CB1681"/>
    <w:rsid w:val="00CB191E"/>
    <w:rsid w:val="00CB19D4"/>
    <w:rsid w:val="00CB1FD8"/>
    <w:rsid w:val="00CB2545"/>
    <w:rsid w:val="00CB3542"/>
    <w:rsid w:val="00CB3946"/>
    <w:rsid w:val="00CB3995"/>
    <w:rsid w:val="00CB3E46"/>
    <w:rsid w:val="00CB3FB5"/>
    <w:rsid w:val="00CB4AD0"/>
    <w:rsid w:val="00CB4E05"/>
    <w:rsid w:val="00CB4F00"/>
    <w:rsid w:val="00CB5403"/>
    <w:rsid w:val="00CB545E"/>
    <w:rsid w:val="00CB5DC5"/>
    <w:rsid w:val="00CB5F76"/>
    <w:rsid w:val="00CB6650"/>
    <w:rsid w:val="00CB6860"/>
    <w:rsid w:val="00CB6ACA"/>
    <w:rsid w:val="00CB6B25"/>
    <w:rsid w:val="00CB6C0E"/>
    <w:rsid w:val="00CB6DE9"/>
    <w:rsid w:val="00CB7330"/>
    <w:rsid w:val="00CB7506"/>
    <w:rsid w:val="00CB7699"/>
    <w:rsid w:val="00CB7A5E"/>
    <w:rsid w:val="00CB7A77"/>
    <w:rsid w:val="00CB7C1E"/>
    <w:rsid w:val="00CB7F38"/>
    <w:rsid w:val="00CC0293"/>
    <w:rsid w:val="00CC02AB"/>
    <w:rsid w:val="00CC0545"/>
    <w:rsid w:val="00CC0AE9"/>
    <w:rsid w:val="00CC1168"/>
    <w:rsid w:val="00CC119C"/>
    <w:rsid w:val="00CC11E0"/>
    <w:rsid w:val="00CC1E84"/>
    <w:rsid w:val="00CC1EE5"/>
    <w:rsid w:val="00CC2208"/>
    <w:rsid w:val="00CC2399"/>
    <w:rsid w:val="00CC25E1"/>
    <w:rsid w:val="00CC284D"/>
    <w:rsid w:val="00CC2A9D"/>
    <w:rsid w:val="00CC2B82"/>
    <w:rsid w:val="00CC2F07"/>
    <w:rsid w:val="00CC304E"/>
    <w:rsid w:val="00CC3226"/>
    <w:rsid w:val="00CC34C7"/>
    <w:rsid w:val="00CC36FA"/>
    <w:rsid w:val="00CC3D16"/>
    <w:rsid w:val="00CC3EDD"/>
    <w:rsid w:val="00CC439E"/>
    <w:rsid w:val="00CC453F"/>
    <w:rsid w:val="00CC462E"/>
    <w:rsid w:val="00CC49BE"/>
    <w:rsid w:val="00CC49DD"/>
    <w:rsid w:val="00CC4D63"/>
    <w:rsid w:val="00CC5271"/>
    <w:rsid w:val="00CC56A0"/>
    <w:rsid w:val="00CC57CF"/>
    <w:rsid w:val="00CC57E3"/>
    <w:rsid w:val="00CC59BB"/>
    <w:rsid w:val="00CC5B60"/>
    <w:rsid w:val="00CC63DC"/>
    <w:rsid w:val="00CC63FD"/>
    <w:rsid w:val="00CC6A5C"/>
    <w:rsid w:val="00CC6B15"/>
    <w:rsid w:val="00CC6D0D"/>
    <w:rsid w:val="00CC6F14"/>
    <w:rsid w:val="00CC6F3D"/>
    <w:rsid w:val="00CC72C4"/>
    <w:rsid w:val="00CC7684"/>
    <w:rsid w:val="00CC7899"/>
    <w:rsid w:val="00CD0068"/>
    <w:rsid w:val="00CD0234"/>
    <w:rsid w:val="00CD093F"/>
    <w:rsid w:val="00CD0AFE"/>
    <w:rsid w:val="00CD0BED"/>
    <w:rsid w:val="00CD1149"/>
    <w:rsid w:val="00CD1707"/>
    <w:rsid w:val="00CD1B40"/>
    <w:rsid w:val="00CD20E0"/>
    <w:rsid w:val="00CD21D9"/>
    <w:rsid w:val="00CD24FE"/>
    <w:rsid w:val="00CD25FA"/>
    <w:rsid w:val="00CD2636"/>
    <w:rsid w:val="00CD2ACA"/>
    <w:rsid w:val="00CD2B59"/>
    <w:rsid w:val="00CD3431"/>
    <w:rsid w:val="00CD3513"/>
    <w:rsid w:val="00CD3DD1"/>
    <w:rsid w:val="00CD3E5E"/>
    <w:rsid w:val="00CD44B0"/>
    <w:rsid w:val="00CD4547"/>
    <w:rsid w:val="00CD46B8"/>
    <w:rsid w:val="00CD4A57"/>
    <w:rsid w:val="00CD4F3C"/>
    <w:rsid w:val="00CD5037"/>
    <w:rsid w:val="00CD54B0"/>
    <w:rsid w:val="00CD557F"/>
    <w:rsid w:val="00CD57E9"/>
    <w:rsid w:val="00CD586D"/>
    <w:rsid w:val="00CD5BC8"/>
    <w:rsid w:val="00CD5C9B"/>
    <w:rsid w:val="00CD643B"/>
    <w:rsid w:val="00CD6909"/>
    <w:rsid w:val="00CD69D8"/>
    <w:rsid w:val="00CD6B85"/>
    <w:rsid w:val="00CD6CFE"/>
    <w:rsid w:val="00CD6DB5"/>
    <w:rsid w:val="00CD7178"/>
    <w:rsid w:val="00CD7465"/>
    <w:rsid w:val="00CD74DD"/>
    <w:rsid w:val="00CD7A7A"/>
    <w:rsid w:val="00CD7BEC"/>
    <w:rsid w:val="00CD7E27"/>
    <w:rsid w:val="00CE00A1"/>
    <w:rsid w:val="00CE09A8"/>
    <w:rsid w:val="00CE0A35"/>
    <w:rsid w:val="00CE0B1E"/>
    <w:rsid w:val="00CE0F65"/>
    <w:rsid w:val="00CE16CC"/>
    <w:rsid w:val="00CE1995"/>
    <w:rsid w:val="00CE205C"/>
    <w:rsid w:val="00CE206B"/>
    <w:rsid w:val="00CE242B"/>
    <w:rsid w:val="00CE2660"/>
    <w:rsid w:val="00CE26A9"/>
    <w:rsid w:val="00CE26AA"/>
    <w:rsid w:val="00CE26D1"/>
    <w:rsid w:val="00CE2BA8"/>
    <w:rsid w:val="00CE2DBA"/>
    <w:rsid w:val="00CE35EC"/>
    <w:rsid w:val="00CE38C4"/>
    <w:rsid w:val="00CE3905"/>
    <w:rsid w:val="00CE3C94"/>
    <w:rsid w:val="00CE3FEC"/>
    <w:rsid w:val="00CE412B"/>
    <w:rsid w:val="00CE42BA"/>
    <w:rsid w:val="00CE47B9"/>
    <w:rsid w:val="00CE4C9F"/>
    <w:rsid w:val="00CE4DF7"/>
    <w:rsid w:val="00CE4FBD"/>
    <w:rsid w:val="00CE5133"/>
    <w:rsid w:val="00CE53B7"/>
    <w:rsid w:val="00CE53B9"/>
    <w:rsid w:val="00CE5498"/>
    <w:rsid w:val="00CE54DA"/>
    <w:rsid w:val="00CE5C8E"/>
    <w:rsid w:val="00CE5F1B"/>
    <w:rsid w:val="00CE67C3"/>
    <w:rsid w:val="00CE68D8"/>
    <w:rsid w:val="00CE6CC1"/>
    <w:rsid w:val="00CE70B9"/>
    <w:rsid w:val="00CE70BD"/>
    <w:rsid w:val="00CE7223"/>
    <w:rsid w:val="00CE7827"/>
    <w:rsid w:val="00CE7C83"/>
    <w:rsid w:val="00CF00E5"/>
    <w:rsid w:val="00CF0230"/>
    <w:rsid w:val="00CF033A"/>
    <w:rsid w:val="00CF042D"/>
    <w:rsid w:val="00CF0446"/>
    <w:rsid w:val="00CF0A2D"/>
    <w:rsid w:val="00CF0A54"/>
    <w:rsid w:val="00CF0BC5"/>
    <w:rsid w:val="00CF0CFD"/>
    <w:rsid w:val="00CF0F4A"/>
    <w:rsid w:val="00CF0FEB"/>
    <w:rsid w:val="00CF104E"/>
    <w:rsid w:val="00CF1440"/>
    <w:rsid w:val="00CF19B6"/>
    <w:rsid w:val="00CF19C6"/>
    <w:rsid w:val="00CF1BF5"/>
    <w:rsid w:val="00CF1CA3"/>
    <w:rsid w:val="00CF2069"/>
    <w:rsid w:val="00CF2344"/>
    <w:rsid w:val="00CF284A"/>
    <w:rsid w:val="00CF2E4B"/>
    <w:rsid w:val="00CF321D"/>
    <w:rsid w:val="00CF3C21"/>
    <w:rsid w:val="00CF41A2"/>
    <w:rsid w:val="00CF4406"/>
    <w:rsid w:val="00CF4567"/>
    <w:rsid w:val="00CF4822"/>
    <w:rsid w:val="00CF49E3"/>
    <w:rsid w:val="00CF532F"/>
    <w:rsid w:val="00CF5492"/>
    <w:rsid w:val="00CF5A14"/>
    <w:rsid w:val="00CF606F"/>
    <w:rsid w:val="00CF6135"/>
    <w:rsid w:val="00CF6542"/>
    <w:rsid w:val="00CF6814"/>
    <w:rsid w:val="00CF683B"/>
    <w:rsid w:val="00CF6C1A"/>
    <w:rsid w:val="00CF6CDD"/>
    <w:rsid w:val="00CF700D"/>
    <w:rsid w:val="00CF7757"/>
    <w:rsid w:val="00CF7981"/>
    <w:rsid w:val="00CF798D"/>
    <w:rsid w:val="00CF79B3"/>
    <w:rsid w:val="00CF7A5E"/>
    <w:rsid w:val="00CF7B94"/>
    <w:rsid w:val="00CF7CF6"/>
    <w:rsid w:val="00D0013C"/>
    <w:rsid w:val="00D003C6"/>
    <w:rsid w:val="00D003C7"/>
    <w:rsid w:val="00D00402"/>
    <w:rsid w:val="00D00BB1"/>
    <w:rsid w:val="00D00E5E"/>
    <w:rsid w:val="00D015C9"/>
    <w:rsid w:val="00D018E1"/>
    <w:rsid w:val="00D0199E"/>
    <w:rsid w:val="00D019E1"/>
    <w:rsid w:val="00D01C68"/>
    <w:rsid w:val="00D01C83"/>
    <w:rsid w:val="00D01CA7"/>
    <w:rsid w:val="00D01EA0"/>
    <w:rsid w:val="00D01EEA"/>
    <w:rsid w:val="00D0203E"/>
    <w:rsid w:val="00D025BA"/>
    <w:rsid w:val="00D02D57"/>
    <w:rsid w:val="00D02DBF"/>
    <w:rsid w:val="00D02DFC"/>
    <w:rsid w:val="00D02ECE"/>
    <w:rsid w:val="00D030C1"/>
    <w:rsid w:val="00D03475"/>
    <w:rsid w:val="00D03A71"/>
    <w:rsid w:val="00D043CE"/>
    <w:rsid w:val="00D045DA"/>
    <w:rsid w:val="00D045EC"/>
    <w:rsid w:val="00D047FD"/>
    <w:rsid w:val="00D05054"/>
    <w:rsid w:val="00D051CB"/>
    <w:rsid w:val="00D058A0"/>
    <w:rsid w:val="00D05C37"/>
    <w:rsid w:val="00D063C1"/>
    <w:rsid w:val="00D067AD"/>
    <w:rsid w:val="00D0698B"/>
    <w:rsid w:val="00D06D2C"/>
    <w:rsid w:val="00D06EC4"/>
    <w:rsid w:val="00D06EEC"/>
    <w:rsid w:val="00D072B9"/>
    <w:rsid w:val="00D07CF2"/>
    <w:rsid w:val="00D07EC0"/>
    <w:rsid w:val="00D07FB5"/>
    <w:rsid w:val="00D10074"/>
    <w:rsid w:val="00D10BD0"/>
    <w:rsid w:val="00D10E71"/>
    <w:rsid w:val="00D10ED1"/>
    <w:rsid w:val="00D10F89"/>
    <w:rsid w:val="00D10FA3"/>
    <w:rsid w:val="00D110F3"/>
    <w:rsid w:val="00D111AF"/>
    <w:rsid w:val="00D11345"/>
    <w:rsid w:val="00D11455"/>
    <w:rsid w:val="00D1219F"/>
    <w:rsid w:val="00D123C0"/>
    <w:rsid w:val="00D124E3"/>
    <w:rsid w:val="00D12509"/>
    <w:rsid w:val="00D128A1"/>
    <w:rsid w:val="00D12AFD"/>
    <w:rsid w:val="00D12EA1"/>
    <w:rsid w:val="00D134FC"/>
    <w:rsid w:val="00D13712"/>
    <w:rsid w:val="00D13745"/>
    <w:rsid w:val="00D13D0A"/>
    <w:rsid w:val="00D13EC7"/>
    <w:rsid w:val="00D13FEE"/>
    <w:rsid w:val="00D1418A"/>
    <w:rsid w:val="00D141C3"/>
    <w:rsid w:val="00D149F4"/>
    <w:rsid w:val="00D14B95"/>
    <w:rsid w:val="00D14EBA"/>
    <w:rsid w:val="00D14F16"/>
    <w:rsid w:val="00D14FF1"/>
    <w:rsid w:val="00D1598E"/>
    <w:rsid w:val="00D15D92"/>
    <w:rsid w:val="00D15E3C"/>
    <w:rsid w:val="00D1621D"/>
    <w:rsid w:val="00D164AF"/>
    <w:rsid w:val="00D164EB"/>
    <w:rsid w:val="00D16501"/>
    <w:rsid w:val="00D166A5"/>
    <w:rsid w:val="00D16B9A"/>
    <w:rsid w:val="00D16C5D"/>
    <w:rsid w:val="00D171D9"/>
    <w:rsid w:val="00D17293"/>
    <w:rsid w:val="00D1761E"/>
    <w:rsid w:val="00D17733"/>
    <w:rsid w:val="00D177B4"/>
    <w:rsid w:val="00D17A95"/>
    <w:rsid w:val="00D17D0F"/>
    <w:rsid w:val="00D17E3C"/>
    <w:rsid w:val="00D20A0B"/>
    <w:rsid w:val="00D20A97"/>
    <w:rsid w:val="00D20FDA"/>
    <w:rsid w:val="00D2134D"/>
    <w:rsid w:val="00D21415"/>
    <w:rsid w:val="00D21664"/>
    <w:rsid w:val="00D2197F"/>
    <w:rsid w:val="00D21D6C"/>
    <w:rsid w:val="00D21DAE"/>
    <w:rsid w:val="00D21E3B"/>
    <w:rsid w:val="00D21F44"/>
    <w:rsid w:val="00D22B4F"/>
    <w:rsid w:val="00D22FEC"/>
    <w:rsid w:val="00D2301F"/>
    <w:rsid w:val="00D23171"/>
    <w:rsid w:val="00D2335D"/>
    <w:rsid w:val="00D23433"/>
    <w:rsid w:val="00D23C5D"/>
    <w:rsid w:val="00D23CEB"/>
    <w:rsid w:val="00D23F31"/>
    <w:rsid w:val="00D2444A"/>
    <w:rsid w:val="00D24802"/>
    <w:rsid w:val="00D248EF"/>
    <w:rsid w:val="00D24A89"/>
    <w:rsid w:val="00D2500A"/>
    <w:rsid w:val="00D25130"/>
    <w:rsid w:val="00D2518D"/>
    <w:rsid w:val="00D25512"/>
    <w:rsid w:val="00D258AE"/>
    <w:rsid w:val="00D25B69"/>
    <w:rsid w:val="00D261E0"/>
    <w:rsid w:val="00D2682A"/>
    <w:rsid w:val="00D268D4"/>
    <w:rsid w:val="00D26C05"/>
    <w:rsid w:val="00D26C30"/>
    <w:rsid w:val="00D26C6F"/>
    <w:rsid w:val="00D26C93"/>
    <w:rsid w:val="00D26F99"/>
    <w:rsid w:val="00D2734A"/>
    <w:rsid w:val="00D3059D"/>
    <w:rsid w:val="00D308D7"/>
    <w:rsid w:val="00D30F4D"/>
    <w:rsid w:val="00D31346"/>
    <w:rsid w:val="00D316C9"/>
    <w:rsid w:val="00D317C6"/>
    <w:rsid w:val="00D318EA"/>
    <w:rsid w:val="00D31DE4"/>
    <w:rsid w:val="00D31F08"/>
    <w:rsid w:val="00D321F3"/>
    <w:rsid w:val="00D322D0"/>
    <w:rsid w:val="00D323F8"/>
    <w:rsid w:val="00D3283D"/>
    <w:rsid w:val="00D3372E"/>
    <w:rsid w:val="00D33875"/>
    <w:rsid w:val="00D33BF6"/>
    <w:rsid w:val="00D33D05"/>
    <w:rsid w:val="00D33E29"/>
    <w:rsid w:val="00D33FCA"/>
    <w:rsid w:val="00D34D37"/>
    <w:rsid w:val="00D34FCD"/>
    <w:rsid w:val="00D34FFF"/>
    <w:rsid w:val="00D35828"/>
    <w:rsid w:val="00D358DD"/>
    <w:rsid w:val="00D365D0"/>
    <w:rsid w:val="00D36CF7"/>
    <w:rsid w:val="00D36E7C"/>
    <w:rsid w:val="00D37087"/>
    <w:rsid w:val="00D370D7"/>
    <w:rsid w:val="00D372E9"/>
    <w:rsid w:val="00D373B0"/>
    <w:rsid w:val="00D378A4"/>
    <w:rsid w:val="00D37BDF"/>
    <w:rsid w:val="00D400AE"/>
    <w:rsid w:val="00D4021D"/>
    <w:rsid w:val="00D404D0"/>
    <w:rsid w:val="00D407FE"/>
    <w:rsid w:val="00D40A59"/>
    <w:rsid w:val="00D40F42"/>
    <w:rsid w:val="00D4108A"/>
    <w:rsid w:val="00D4187B"/>
    <w:rsid w:val="00D41BBA"/>
    <w:rsid w:val="00D41E54"/>
    <w:rsid w:val="00D41E89"/>
    <w:rsid w:val="00D420D4"/>
    <w:rsid w:val="00D423AD"/>
    <w:rsid w:val="00D426C6"/>
    <w:rsid w:val="00D4294C"/>
    <w:rsid w:val="00D42B53"/>
    <w:rsid w:val="00D42E27"/>
    <w:rsid w:val="00D42FBE"/>
    <w:rsid w:val="00D43105"/>
    <w:rsid w:val="00D4385E"/>
    <w:rsid w:val="00D43862"/>
    <w:rsid w:val="00D43C6A"/>
    <w:rsid w:val="00D43DEF"/>
    <w:rsid w:val="00D44A1F"/>
    <w:rsid w:val="00D44A6F"/>
    <w:rsid w:val="00D44C15"/>
    <w:rsid w:val="00D44D0A"/>
    <w:rsid w:val="00D44E50"/>
    <w:rsid w:val="00D45001"/>
    <w:rsid w:val="00D4525C"/>
    <w:rsid w:val="00D45326"/>
    <w:rsid w:val="00D45394"/>
    <w:rsid w:val="00D455D5"/>
    <w:rsid w:val="00D458C4"/>
    <w:rsid w:val="00D45EA4"/>
    <w:rsid w:val="00D46464"/>
    <w:rsid w:val="00D464BB"/>
    <w:rsid w:val="00D50022"/>
    <w:rsid w:val="00D50193"/>
    <w:rsid w:val="00D503F0"/>
    <w:rsid w:val="00D5044A"/>
    <w:rsid w:val="00D509EE"/>
    <w:rsid w:val="00D50D40"/>
    <w:rsid w:val="00D51378"/>
    <w:rsid w:val="00D513D5"/>
    <w:rsid w:val="00D513E7"/>
    <w:rsid w:val="00D515CC"/>
    <w:rsid w:val="00D515DD"/>
    <w:rsid w:val="00D518FB"/>
    <w:rsid w:val="00D51ED1"/>
    <w:rsid w:val="00D5222B"/>
    <w:rsid w:val="00D52259"/>
    <w:rsid w:val="00D52A59"/>
    <w:rsid w:val="00D52B80"/>
    <w:rsid w:val="00D52C79"/>
    <w:rsid w:val="00D52F9B"/>
    <w:rsid w:val="00D53057"/>
    <w:rsid w:val="00D53067"/>
    <w:rsid w:val="00D5378D"/>
    <w:rsid w:val="00D537CC"/>
    <w:rsid w:val="00D53919"/>
    <w:rsid w:val="00D539D4"/>
    <w:rsid w:val="00D53A81"/>
    <w:rsid w:val="00D53B45"/>
    <w:rsid w:val="00D53C1B"/>
    <w:rsid w:val="00D53F1D"/>
    <w:rsid w:val="00D54350"/>
    <w:rsid w:val="00D54519"/>
    <w:rsid w:val="00D549B6"/>
    <w:rsid w:val="00D54BAF"/>
    <w:rsid w:val="00D54C41"/>
    <w:rsid w:val="00D54CEA"/>
    <w:rsid w:val="00D54D68"/>
    <w:rsid w:val="00D5537B"/>
    <w:rsid w:val="00D55627"/>
    <w:rsid w:val="00D55AF5"/>
    <w:rsid w:val="00D55D13"/>
    <w:rsid w:val="00D55E9F"/>
    <w:rsid w:val="00D55F44"/>
    <w:rsid w:val="00D562BF"/>
    <w:rsid w:val="00D56371"/>
    <w:rsid w:val="00D564D5"/>
    <w:rsid w:val="00D5670E"/>
    <w:rsid w:val="00D56C32"/>
    <w:rsid w:val="00D56D8A"/>
    <w:rsid w:val="00D56FB3"/>
    <w:rsid w:val="00D572B5"/>
    <w:rsid w:val="00D57581"/>
    <w:rsid w:val="00D576E2"/>
    <w:rsid w:val="00D57752"/>
    <w:rsid w:val="00D57D1A"/>
    <w:rsid w:val="00D57E77"/>
    <w:rsid w:val="00D6020D"/>
    <w:rsid w:val="00D6075D"/>
    <w:rsid w:val="00D60BB9"/>
    <w:rsid w:val="00D60FAF"/>
    <w:rsid w:val="00D60FF3"/>
    <w:rsid w:val="00D61377"/>
    <w:rsid w:val="00D61459"/>
    <w:rsid w:val="00D61554"/>
    <w:rsid w:val="00D61750"/>
    <w:rsid w:val="00D61BB2"/>
    <w:rsid w:val="00D61D98"/>
    <w:rsid w:val="00D62223"/>
    <w:rsid w:val="00D62558"/>
    <w:rsid w:val="00D62A4A"/>
    <w:rsid w:val="00D62A4C"/>
    <w:rsid w:val="00D62EEB"/>
    <w:rsid w:val="00D6398C"/>
    <w:rsid w:val="00D63AE1"/>
    <w:rsid w:val="00D63C0E"/>
    <w:rsid w:val="00D63DCD"/>
    <w:rsid w:val="00D63E8A"/>
    <w:rsid w:val="00D640D3"/>
    <w:rsid w:val="00D64A81"/>
    <w:rsid w:val="00D652D4"/>
    <w:rsid w:val="00D6559D"/>
    <w:rsid w:val="00D65679"/>
    <w:rsid w:val="00D6570F"/>
    <w:rsid w:val="00D65740"/>
    <w:rsid w:val="00D65C76"/>
    <w:rsid w:val="00D65F5E"/>
    <w:rsid w:val="00D66123"/>
    <w:rsid w:val="00D662CE"/>
    <w:rsid w:val="00D6709D"/>
    <w:rsid w:val="00D67297"/>
    <w:rsid w:val="00D673D4"/>
    <w:rsid w:val="00D6771F"/>
    <w:rsid w:val="00D6778A"/>
    <w:rsid w:val="00D6781B"/>
    <w:rsid w:val="00D67971"/>
    <w:rsid w:val="00D67EFD"/>
    <w:rsid w:val="00D704A8"/>
    <w:rsid w:val="00D70B9D"/>
    <w:rsid w:val="00D710D1"/>
    <w:rsid w:val="00D7118C"/>
    <w:rsid w:val="00D7174E"/>
    <w:rsid w:val="00D71A3D"/>
    <w:rsid w:val="00D72325"/>
    <w:rsid w:val="00D72329"/>
    <w:rsid w:val="00D72515"/>
    <w:rsid w:val="00D72A40"/>
    <w:rsid w:val="00D72A45"/>
    <w:rsid w:val="00D72AFB"/>
    <w:rsid w:val="00D72CB9"/>
    <w:rsid w:val="00D72FA6"/>
    <w:rsid w:val="00D732BB"/>
    <w:rsid w:val="00D736D9"/>
    <w:rsid w:val="00D73C11"/>
    <w:rsid w:val="00D73E3D"/>
    <w:rsid w:val="00D74497"/>
    <w:rsid w:val="00D74B71"/>
    <w:rsid w:val="00D74CF7"/>
    <w:rsid w:val="00D758AD"/>
    <w:rsid w:val="00D75BB6"/>
    <w:rsid w:val="00D75F41"/>
    <w:rsid w:val="00D763C8"/>
    <w:rsid w:val="00D765E7"/>
    <w:rsid w:val="00D769EB"/>
    <w:rsid w:val="00D76F5D"/>
    <w:rsid w:val="00D76FBE"/>
    <w:rsid w:val="00D77112"/>
    <w:rsid w:val="00D7714C"/>
    <w:rsid w:val="00D7718E"/>
    <w:rsid w:val="00D772BC"/>
    <w:rsid w:val="00D801C6"/>
    <w:rsid w:val="00D806C8"/>
    <w:rsid w:val="00D809A7"/>
    <w:rsid w:val="00D80B05"/>
    <w:rsid w:val="00D80B57"/>
    <w:rsid w:val="00D80D5B"/>
    <w:rsid w:val="00D816E4"/>
    <w:rsid w:val="00D818E5"/>
    <w:rsid w:val="00D81C6B"/>
    <w:rsid w:val="00D81D0C"/>
    <w:rsid w:val="00D81E97"/>
    <w:rsid w:val="00D820EF"/>
    <w:rsid w:val="00D82597"/>
    <w:rsid w:val="00D82627"/>
    <w:rsid w:val="00D82D5E"/>
    <w:rsid w:val="00D83353"/>
    <w:rsid w:val="00D8341E"/>
    <w:rsid w:val="00D834E7"/>
    <w:rsid w:val="00D83570"/>
    <w:rsid w:val="00D8359A"/>
    <w:rsid w:val="00D84075"/>
    <w:rsid w:val="00D840C3"/>
    <w:rsid w:val="00D84C23"/>
    <w:rsid w:val="00D84C47"/>
    <w:rsid w:val="00D84FFC"/>
    <w:rsid w:val="00D85404"/>
    <w:rsid w:val="00D8543E"/>
    <w:rsid w:val="00D858CA"/>
    <w:rsid w:val="00D85966"/>
    <w:rsid w:val="00D85AE2"/>
    <w:rsid w:val="00D85F2D"/>
    <w:rsid w:val="00D860BD"/>
    <w:rsid w:val="00D863B8"/>
    <w:rsid w:val="00D86624"/>
    <w:rsid w:val="00D86719"/>
    <w:rsid w:val="00D8673E"/>
    <w:rsid w:val="00D86AC9"/>
    <w:rsid w:val="00D86DF1"/>
    <w:rsid w:val="00D86ED6"/>
    <w:rsid w:val="00D87889"/>
    <w:rsid w:val="00D87D43"/>
    <w:rsid w:val="00D87EE1"/>
    <w:rsid w:val="00D90096"/>
    <w:rsid w:val="00D90651"/>
    <w:rsid w:val="00D906F1"/>
    <w:rsid w:val="00D90991"/>
    <w:rsid w:val="00D90B1E"/>
    <w:rsid w:val="00D90B2B"/>
    <w:rsid w:val="00D90B72"/>
    <w:rsid w:val="00D91715"/>
    <w:rsid w:val="00D91AD2"/>
    <w:rsid w:val="00D91DC3"/>
    <w:rsid w:val="00D92FC4"/>
    <w:rsid w:val="00D9303C"/>
    <w:rsid w:val="00D93622"/>
    <w:rsid w:val="00D938B7"/>
    <w:rsid w:val="00D93C8C"/>
    <w:rsid w:val="00D93D28"/>
    <w:rsid w:val="00D93E57"/>
    <w:rsid w:val="00D94038"/>
    <w:rsid w:val="00D941F8"/>
    <w:rsid w:val="00D94542"/>
    <w:rsid w:val="00D947E1"/>
    <w:rsid w:val="00D94C0F"/>
    <w:rsid w:val="00D950EE"/>
    <w:rsid w:val="00D95177"/>
    <w:rsid w:val="00D95370"/>
    <w:rsid w:val="00D954F3"/>
    <w:rsid w:val="00D95509"/>
    <w:rsid w:val="00D95973"/>
    <w:rsid w:val="00D95DC5"/>
    <w:rsid w:val="00D96389"/>
    <w:rsid w:val="00D9659E"/>
    <w:rsid w:val="00D968C7"/>
    <w:rsid w:val="00D96D4A"/>
    <w:rsid w:val="00D9738E"/>
    <w:rsid w:val="00D97761"/>
    <w:rsid w:val="00D97C93"/>
    <w:rsid w:val="00DA0385"/>
    <w:rsid w:val="00DA06E9"/>
    <w:rsid w:val="00DA0736"/>
    <w:rsid w:val="00DA0958"/>
    <w:rsid w:val="00DA0E21"/>
    <w:rsid w:val="00DA0E95"/>
    <w:rsid w:val="00DA0F33"/>
    <w:rsid w:val="00DA1013"/>
    <w:rsid w:val="00DA15BE"/>
    <w:rsid w:val="00DA25B0"/>
    <w:rsid w:val="00DA27EA"/>
    <w:rsid w:val="00DA2AF2"/>
    <w:rsid w:val="00DA2F48"/>
    <w:rsid w:val="00DA338F"/>
    <w:rsid w:val="00DA3431"/>
    <w:rsid w:val="00DA34BF"/>
    <w:rsid w:val="00DA34F0"/>
    <w:rsid w:val="00DA3F22"/>
    <w:rsid w:val="00DA43ED"/>
    <w:rsid w:val="00DA4A78"/>
    <w:rsid w:val="00DA4C1A"/>
    <w:rsid w:val="00DA4C24"/>
    <w:rsid w:val="00DA5200"/>
    <w:rsid w:val="00DA5622"/>
    <w:rsid w:val="00DA59B0"/>
    <w:rsid w:val="00DA5F08"/>
    <w:rsid w:val="00DA5FEE"/>
    <w:rsid w:val="00DA6063"/>
    <w:rsid w:val="00DA607D"/>
    <w:rsid w:val="00DA6A79"/>
    <w:rsid w:val="00DA6CDC"/>
    <w:rsid w:val="00DA7C3C"/>
    <w:rsid w:val="00DA7FA7"/>
    <w:rsid w:val="00DB0539"/>
    <w:rsid w:val="00DB07D3"/>
    <w:rsid w:val="00DB0AB0"/>
    <w:rsid w:val="00DB0B06"/>
    <w:rsid w:val="00DB0B3E"/>
    <w:rsid w:val="00DB1248"/>
    <w:rsid w:val="00DB160A"/>
    <w:rsid w:val="00DB18EC"/>
    <w:rsid w:val="00DB1F57"/>
    <w:rsid w:val="00DB2010"/>
    <w:rsid w:val="00DB2247"/>
    <w:rsid w:val="00DB2522"/>
    <w:rsid w:val="00DB2599"/>
    <w:rsid w:val="00DB2852"/>
    <w:rsid w:val="00DB2AC6"/>
    <w:rsid w:val="00DB2F71"/>
    <w:rsid w:val="00DB2FD6"/>
    <w:rsid w:val="00DB30E2"/>
    <w:rsid w:val="00DB369F"/>
    <w:rsid w:val="00DB44AC"/>
    <w:rsid w:val="00DB4B79"/>
    <w:rsid w:val="00DB4BE2"/>
    <w:rsid w:val="00DB4D89"/>
    <w:rsid w:val="00DB502A"/>
    <w:rsid w:val="00DB50EE"/>
    <w:rsid w:val="00DB57E5"/>
    <w:rsid w:val="00DB590B"/>
    <w:rsid w:val="00DB5FF2"/>
    <w:rsid w:val="00DB63C3"/>
    <w:rsid w:val="00DB63E7"/>
    <w:rsid w:val="00DB6421"/>
    <w:rsid w:val="00DB64B3"/>
    <w:rsid w:val="00DB6AFD"/>
    <w:rsid w:val="00DB6B3C"/>
    <w:rsid w:val="00DB7271"/>
    <w:rsid w:val="00DB7513"/>
    <w:rsid w:val="00DB75D5"/>
    <w:rsid w:val="00DB769C"/>
    <w:rsid w:val="00DB7EC0"/>
    <w:rsid w:val="00DC0151"/>
    <w:rsid w:val="00DC02EC"/>
    <w:rsid w:val="00DC0CC8"/>
    <w:rsid w:val="00DC0DAE"/>
    <w:rsid w:val="00DC0E48"/>
    <w:rsid w:val="00DC0FFF"/>
    <w:rsid w:val="00DC1214"/>
    <w:rsid w:val="00DC135E"/>
    <w:rsid w:val="00DC18FD"/>
    <w:rsid w:val="00DC1B41"/>
    <w:rsid w:val="00DC1CAC"/>
    <w:rsid w:val="00DC233E"/>
    <w:rsid w:val="00DC2BF8"/>
    <w:rsid w:val="00DC2D6A"/>
    <w:rsid w:val="00DC3131"/>
    <w:rsid w:val="00DC326A"/>
    <w:rsid w:val="00DC35FF"/>
    <w:rsid w:val="00DC36E9"/>
    <w:rsid w:val="00DC36F4"/>
    <w:rsid w:val="00DC3B49"/>
    <w:rsid w:val="00DC4564"/>
    <w:rsid w:val="00DC49B9"/>
    <w:rsid w:val="00DC4FC5"/>
    <w:rsid w:val="00DC50E0"/>
    <w:rsid w:val="00DC53C3"/>
    <w:rsid w:val="00DC593F"/>
    <w:rsid w:val="00DC5CC0"/>
    <w:rsid w:val="00DC5EE7"/>
    <w:rsid w:val="00DC6194"/>
    <w:rsid w:val="00DC633A"/>
    <w:rsid w:val="00DC636A"/>
    <w:rsid w:val="00DC664D"/>
    <w:rsid w:val="00DC6A2A"/>
    <w:rsid w:val="00DC6DC2"/>
    <w:rsid w:val="00DC6E0F"/>
    <w:rsid w:val="00DC6FAA"/>
    <w:rsid w:val="00DC7251"/>
    <w:rsid w:val="00DC73A7"/>
    <w:rsid w:val="00DC7762"/>
    <w:rsid w:val="00DC78FE"/>
    <w:rsid w:val="00DC7DF3"/>
    <w:rsid w:val="00DD01E8"/>
    <w:rsid w:val="00DD060E"/>
    <w:rsid w:val="00DD0C1C"/>
    <w:rsid w:val="00DD0D24"/>
    <w:rsid w:val="00DD0D98"/>
    <w:rsid w:val="00DD1BD6"/>
    <w:rsid w:val="00DD1FE7"/>
    <w:rsid w:val="00DD23C1"/>
    <w:rsid w:val="00DD257B"/>
    <w:rsid w:val="00DD2A41"/>
    <w:rsid w:val="00DD2B0C"/>
    <w:rsid w:val="00DD2C4C"/>
    <w:rsid w:val="00DD2D97"/>
    <w:rsid w:val="00DD2E7B"/>
    <w:rsid w:val="00DD2FF8"/>
    <w:rsid w:val="00DD334E"/>
    <w:rsid w:val="00DD3606"/>
    <w:rsid w:val="00DD3630"/>
    <w:rsid w:val="00DD37C0"/>
    <w:rsid w:val="00DD3F11"/>
    <w:rsid w:val="00DD4630"/>
    <w:rsid w:val="00DD4EA3"/>
    <w:rsid w:val="00DD5072"/>
    <w:rsid w:val="00DD55CB"/>
    <w:rsid w:val="00DD5BB9"/>
    <w:rsid w:val="00DD60EF"/>
    <w:rsid w:val="00DD62C1"/>
    <w:rsid w:val="00DD6458"/>
    <w:rsid w:val="00DD6659"/>
    <w:rsid w:val="00DD6F80"/>
    <w:rsid w:val="00DD733F"/>
    <w:rsid w:val="00DD7785"/>
    <w:rsid w:val="00DD77D7"/>
    <w:rsid w:val="00DE04B9"/>
    <w:rsid w:val="00DE0AC2"/>
    <w:rsid w:val="00DE0B14"/>
    <w:rsid w:val="00DE0BA9"/>
    <w:rsid w:val="00DE0E1C"/>
    <w:rsid w:val="00DE12DB"/>
    <w:rsid w:val="00DE139F"/>
    <w:rsid w:val="00DE1513"/>
    <w:rsid w:val="00DE173E"/>
    <w:rsid w:val="00DE1DC3"/>
    <w:rsid w:val="00DE2A2F"/>
    <w:rsid w:val="00DE2AE0"/>
    <w:rsid w:val="00DE2CC6"/>
    <w:rsid w:val="00DE2D63"/>
    <w:rsid w:val="00DE2E8A"/>
    <w:rsid w:val="00DE3000"/>
    <w:rsid w:val="00DE31B5"/>
    <w:rsid w:val="00DE39F4"/>
    <w:rsid w:val="00DE4191"/>
    <w:rsid w:val="00DE4290"/>
    <w:rsid w:val="00DE42A6"/>
    <w:rsid w:val="00DE46E0"/>
    <w:rsid w:val="00DE49CC"/>
    <w:rsid w:val="00DE4F1A"/>
    <w:rsid w:val="00DE526F"/>
    <w:rsid w:val="00DE53A2"/>
    <w:rsid w:val="00DE57FE"/>
    <w:rsid w:val="00DE5908"/>
    <w:rsid w:val="00DE5D4B"/>
    <w:rsid w:val="00DE5E76"/>
    <w:rsid w:val="00DE6495"/>
    <w:rsid w:val="00DE7764"/>
    <w:rsid w:val="00DE7CB6"/>
    <w:rsid w:val="00DF01D8"/>
    <w:rsid w:val="00DF05D0"/>
    <w:rsid w:val="00DF1178"/>
    <w:rsid w:val="00DF1256"/>
    <w:rsid w:val="00DF16B8"/>
    <w:rsid w:val="00DF16D5"/>
    <w:rsid w:val="00DF1EB9"/>
    <w:rsid w:val="00DF2194"/>
    <w:rsid w:val="00DF268B"/>
    <w:rsid w:val="00DF33FB"/>
    <w:rsid w:val="00DF3431"/>
    <w:rsid w:val="00DF381B"/>
    <w:rsid w:val="00DF3BD0"/>
    <w:rsid w:val="00DF45AD"/>
    <w:rsid w:val="00DF4CF5"/>
    <w:rsid w:val="00DF4E42"/>
    <w:rsid w:val="00DF4FCC"/>
    <w:rsid w:val="00DF5782"/>
    <w:rsid w:val="00DF59BA"/>
    <w:rsid w:val="00DF5B86"/>
    <w:rsid w:val="00DF6355"/>
    <w:rsid w:val="00DF6981"/>
    <w:rsid w:val="00DF6CFE"/>
    <w:rsid w:val="00DF72FA"/>
    <w:rsid w:val="00DF7C4A"/>
    <w:rsid w:val="00DF7DC1"/>
    <w:rsid w:val="00E004B0"/>
    <w:rsid w:val="00E00A7A"/>
    <w:rsid w:val="00E00EF0"/>
    <w:rsid w:val="00E00F1D"/>
    <w:rsid w:val="00E011EC"/>
    <w:rsid w:val="00E01418"/>
    <w:rsid w:val="00E01859"/>
    <w:rsid w:val="00E0191A"/>
    <w:rsid w:val="00E01A26"/>
    <w:rsid w:val="00E01A98"/>
    <w:rsid w:val="00E020A6"/>
    <w:rsid w:val="00E02191"/>
    <w:rsid w:val="00E02341"/>
    <w:rsid w:val="00E0379E"/>
    <w:rsid w:val="00E039E2"/>
    <w:rsid w:val="00E03A04"/>
    <w:rsid w:val="00E03A51"/>
    <w:rsid w:val="00E03E09"/>
    <w:rsid w:val="00E03EAA"/>
    <w:rsid w:val="00E03F0D"/>
    <w:rsid w:val="00E0433C"/>
    <w:rsid w:val="00E04527"/>
    <w:rsid w:val="00E04648"/>
    <w:rsid w:val="00E04859"/>
    <w:rsid w:val="00E0490A"/>
    <w:rsid w:val="00E0492C"/>
    <w:rsid w:val="00E0544E"/>
    <w:rsid w:val="00E054C3"/>
    <w:rsid w:val="00E06092"/>
    <w:rsid w:val="00E0611A"/>
    <w:rsid w:val="00E06842"/>
    <w:rsid w:val="00E06B6D"/>
    <w:rsid w:val="00E06D60"/>
    <w:rsid w:val="00E06E5D"/>
    <w:rsid w:val="00E07049"/>
    <w:rsid w:val="00E07161"/>
    <w:rsid w:val="00E10200"/>
    <w:rsid w:val="00E1074E"/>
    <w:rsid w:val="00E10B37"/>
    <w:rsid w:val="00E10C49"/>
    <w:rsid w:val="00E10CC1"/>
    <w:rsid w:val="00E11076"/>
    <w:rsid w:val="00E11108"/>
    <w:rsid w:val="00E11164"/>
    <w:rsid w:val="00E11740"/>
    <w:rsid w:val="00E11DA5"/>
    <w:rsid w:val="00E11DE7"/>
    <w:rsid w:val="00E11F07"/>
    <w:rsid w:val="00E1219E"/>
    <w:rsid w:val="00E12B2E"/>
    <w:rsid w:val="00E12ED0"/>
    <w:rsid w:val="00E1303B"/>
    <w:rsid w:val="00E135D3"/>
    <w:rsid w:val="00E13A25"/>
    <w:rsid w:val="00E13DC5"/>
    <w:rsid w:val="00E13EDD"/>
    <w:rsid w:val="00E13EDF"/>
    <w:rsid w:val="00E14673"/>
    <w:rsid w:val="00E147ED"/>
    <w:rsid w:val="00E14C3D"/>
    <w:rsid w:val="00E150F3"/>
    <w:rsid w:val="00E1593A"/>
    <w:rsid w:val="00E15969"/>
    <w:rsid w:val="00E16252"/>
    <w:rsid w:val="00E16911"/>
    <w:rsid w:val="00E169A7"/>
    <w:rsid w:val="00E16AD3"/>
    <w:rsid w:val="00E16B22"/>
    <w:rsid w:val="00E16C52"/>
    <w:rsid w:val="00E16CBC"/>
    <w:rsid w:val="00E16CCB"/>
    <w:rsid w:val="00E16D65"/>
    <w:rsid w:val="00E17870"/>
    <w:rsid w:val="00E2038F"/>
    <w:rsid w:val="00E2040B"/>
    <w:rsid w:val="00E204F2"/>
    <w:rsid w:val="00E20597"/>
    <w:rsid w:val="00E21470"/>
    <w:rsid w:val="00E21586"/>
    <w:rsid w:val="00E21746"/>
    <w:rsid w:val="00E217E8"/>
    <w:rsid w:val="00E219EA"/>
    <w:rsid w:val="00E21E18"/>
    <w:rsid w:val="00E21F13"/>
    <w:rsid w:val="00E2270D"/>
    <w:rsid w:val="00E22D0D"/>
    <w:rsid w:val="00E22FBA"/>
    <w:rsid w:val="00E230C1"/>
    <w:rsid w:val="00E2328F"/>
    <w:rsid w:val="00E232CE"/>
    <w:rsid w:val="00E23764"/>
    <w:rsid w:val="00E23C5B"/>
    <w:rsid w:val="00E240C4"/>
    <w:rsid w:val="00E243A8"/>
    <w:rsid w:val="00E24426"/>
    <w:rsid w:val="00E2455F"/>
    <w:rsid w:val="00E24AA9"/>
    <w:rsid w:val="00E24C18"/>
    <w:rsid w:val="00E24D73"/>
    <w:rsid w:val="00E250A4"/>
    <w:rsid w:val="00E25D70"/>
    <w:rsid w:val="00E26175"/>
    <w:rsid w:val="00E26DAE"/>
    <w:rsid w:val="00E270F5"/>
    <w:rsid w:val="00E27674"/>
    <w:rsid w:val="00E276B3"/>
    <w:rsid w:val="00E27771"/>
    <w:rsid w:val="00E27A7B"/>
    <w:rsid w:val="00E27EB2"/>
    <w:rsid w:val="00E3022D"/>
    <w:rsid w:val="00E30FDF"/>
    <w:rsid w:val="00E317AE"/>
    <w:rsid w:val="00E31FB6"/>
    <w:rsid w:val="00E32178"/>
    <w:rsid w:val="00E32263"/>
    <w:rsid w:val="00E328BC"/>
    <w:rsid w:val="00E32B45"/>
    <w:rsid w:val="00E32DC7"/>
    <w:rsid w:val="00E32E86"/>
    <w:rsid w:val="00E33036"/>
    <w:rsid w:val="00E33284"/>
    <w:rsid w:val="00E334E7"/>
    <w:rsid w:val="00E33776"/>
    <w:rsid w:val="00E33C79"/>
    <w:rsid w:val="00E33FD3"/>
    <w:rsid w:val="00E342E4"/>
    <w:rsid w:val="00E34308"/>
    <w:rsid w:val="00E34524"/>
    <w:rsid w:val="00E34605"/>
    <w:rsid w:val="00E34A03"/>
    <w:rsid w:val="00E357C8"/>
    <w:rsid w:val="00E35852"/>
    <w:rsid w:val="00E35F96"/>
    <w:rsid w:val="00E368B7"/>
    <w:rsid w:val="00E36B74"/>
    <w:rsid w:val="00E36E82"/>
    <w:rsid w:val="00E36FE9"/>
    <w:rsid w:val="00E3704C"/>
    <w:rsid w:val="00E371BB"/>
    <w:rsid w:val="00E37382"/>
    <w:rsid w:val="00E373D5"/>
    <w:rsid w:val="00E375FF"/>
    <w:rsid w:val="00E37816"/>
    <w:rsid w:val="00E37E31"/>
    <w:rsid w:val="00E37FB3"/>
    <w:rsid w:val="00E40672"/>
    <w:rsid w:val="00E406E6"/>
    <w:rsid w:val="00E40819"/>
    <w:rsid w:val="00E40B3E"/>
    <w:rsid w:val="00E40EAF"/>
    <w:rsid w:val="00E41525"/>
    <w:rsid w:val="00E416BA"/>
    <w:rsid w:val="00E41CFC"/>
    <w:rsid w:val="00E41E60"/>
    <w:rsid w:val="00E41ECC"/>
    <w:rsid w:val="00E42095"/>
    <w:rsid w:val="00E4222A"/>
    <w:rsid w:val="00E42318"/>
    <w:rsid w:val="00E42812"/>
    <w:rsid w:val="00E42AEC"/>
    <w:rsid w:val="00E42D7B"/>
    <w:rsid w:val="00E433E7"/>
    <w:rsid w:val="00E4367A"/>
    <w:rsid w:val="00E43732"/>
    <w:rsid w:val="00E43749"/>
    <w:rsid w:val="00E43905"/>
    <w:rsid w:val="00E43C5F"/>
    <w:rsid w:val="00E43E7F"/>
    <w:rsid w:val="00E44014"/>
    <w:rsid w:val="00E446E2"/>
    <w:rsid w:val="00E44CC5"/>
    <w:rsid w:val="00E45BB1"/>
    <w:rsid w:val="00E45D1B"/>
    <w:rsid w:val="00E45D28"/>
    <w:rsid w:val="00E45E7D"/>
    <w:rsid w:val="00E45F61"/>
    <w:rsid w:val="00E4604C"/>
    <w:rsid w:val="00E460CE"/>
    <w:rsid w:val="00E46475"/>
    <w:rsid w:val="00E4665E"/>
    <w:rsid w:val="00E468FD"/>
    <w:rsid w:val="00E46BB0"/>
    <w:rsid w:val="00E46BBE"/>
    <w:rsid w:val="00E4712F"/>
    <w:rsid w:val="00E471E3"/>
    <w:rsid w:val="00E47896"/>
    <w:rsid w:val="00E47A77"/>
    <w:rsid w:val="00E47CA7"/>
    <w:rsid w:val="00E50186"/>
    <w:rsid w:val="00E503B8"/>
    <w:rsid w:val="00E509C4"/>
    <w:rsid w:val="00E50B57"/>
    <w:rsid w:val="00E50EEA"/>
    <w:rsid w:val="00E513A8"/>
    <w:rsid w:val="00E51513"/>
    <w:rsid w:val="00E51C00"/>
    <w:rsid w:val="00E51E33"/>
    <w:rsid w:val="00E51E4E"/>
    <w:rsid w:val="00E5205D"/>
    <w:rsid w:val="00E521DD"/>
    <w:rsid w:val="00E5242D"/>
    <w:rsid w:val="00E526E3"/>
    <w:rsid w:val="00E528C4"/>
    <w:rsid w:val="00E52A56"/>
    <w:rsid w:val="00E53A01"/>
    <w:rsid w:val="00E53BBC"/>
    <w:rsid w:val="00E54866"/>
    <w:rsid w:val="00E5493B"/>
    <w:rsid w:val="00E54B2B"/>
    <w:rsid w:val="00E54E4A"/>
    <w:rsid w:val="00E550D2"/>
    <w:rsid w:val="00E55452"/>
    <w:rsid w:val="00E554CF"/>
    <w:rsid w:val="00E555FC"/>
    <w:rsid w:val="00E55F48"/>
    <w:rsid w:val="00E56152"/>
    <w:rsid w:val="00E561E6"/>
    <w:rsid w:val="00E5684D"/>
    <w:rsid w:val="00E56B83"/>
    <w:rsid w:val="00E57034"/>
    <w:rsid w:val="00E57293"/>
    <w:rsid w:val="00E573E5"/>
    <w:rsid w:val="00E575DD"/>
    <w:rsid w:val="00E57A5D"/>
    <w:rsid w:val="00E57EB5"/>
    <w:rsid w:val="00E57F27"/>
    <w:rsid w:val="00E60193"/>
    <w:rsid w:val="00E60913"/>
    <w:rsid w:val="00E60E7C"/>
    <w:rsid w:val="00E61159"/>
    <w:rsid w:val="00E614D7"/>
    <w:rsid w:val="00E61A1F"/>
    <w:rsid w:val="00E61D88"/>
    <w:rsid w:val="00E6206F"/>
    <w:rsid w:val="00E625C7"/>
    <w:rsid w:val="00E62AC6"/>
    <w:rsid w:val="00E62BB4"/>
    <w:rsid w:val="00E62D02"/>
    <w:rsid w:val="00E62D9B"/>
    <w:rsid w:val="00E63240"/>
    <w:rsid w:val="00E6352A"/>
    <w:rsid w:val="00E638D3"/>
    <w:rsid w:val="00E63F82"/>
    <w:rsid w:val="00E63FD4"/>
    <w:rsid w:val="00E646D0"/>
    <w:rsid w:val="00E646DC"/>
    <w:rsid w:val="00E64CCC"/>
    <w:rsid w:val="00E64FF2"/>
    <w:rsid w:val="00E65115"/>
    <w:rsid w:val="00E65476"/>
    <w:rsid w:val="00E65ACF"/>
    <w:rsid w:val="00E65BC3"/>
    <w:rsid w:val="00E65FC9"/>
    <w:rsid w:val="00E664EE"/>
    <w:rsid w:val="00E666EB"/>
    <w:rsid w:val="00E66B0D"/>
    <w:rsid w:val="00E675F7"/>
    <w:rsid w:val="00E67811"/>
    <w:rsid w:val="00E67C44"/>
    <w:rsid w:val="00E70852"/>
    <w:rsid w:val="00E70BB9"/>
    <w:rsid w:val="00E712AB"/>
    <w:rsid w:val="00E71482"/>
    <w:rsid w:val="00E71631"/>
    <w:rsid w:val="00E717BA"/>
    <w:rsid w:val="00E72200"/>
    <w:rsid w:val="00E72211"/>
    <w:rsid w:val="00E723C0"/>
    <w:rsid w:val="00E72BAF"/>
    <w:rsid w:val="00E72C7D"/>
    <w:rsid w:val="00E72CC5"/>
    <w:rsid w:val="00E72D69"/>
    <w:rsid w:val="00E736E4"/>
    <w:rsid w:val="00E737CB"/>
    <w:rsid w:val="00E73979"/>
    <w:rsid w:val="00E73BDC"/>
    <w:rsid w:val="00E73CA7"/>
    <w:rsid w:val="00E74200"/>
    <w:rsid w:val="00E74220"/>
    <w:rsid w:val="00E742AF"/>
    <w:rsid w:val="00E74597"/>
    <w:rsid w:val="00E74A49"/>
    <w:rsid w:val="00E74C99"/>
    <w:rsid w:val="00E75265"/>
    <w:rsid w:val="00E758C9"/>
    <w:rsid w:val="00E75DC7"/>
    <w:rsid w:val="00E75E20"/>
    <w:rsid w:val="00E75FE6"/>
    <w:rsid w:val="00E76149"/>
    <w:rsid w:val="00E76BF8"/>
    <w:rsid w:val="00E773A6"/>
    <w:rsid w:val="00E774C3"/>
    <w:rsid w:val="00E77975"/>
    <w:rsid w:val="00E779C1"/>
    <w:rsid w:val="00E80030"/>
    <w:rsid w:val="00E800A3"/>
    <w:rsid w:val="00E803DC"/>
    <w:rsid w:val="00E804D5"/>
    <w:rsid w:val="00E804F3"/>
    <w:rsid w:val="00E805CF"/>
    <w:rsid w:val="00E81788"/>
    <w:rsid w:val="00E819DF"/>
    <w:rsid w:val="00E820B6"/>
    <w:rsid w:val="00E836B5"/>
    <w:rsid w:val="00E83891"/>
    <w:rsid w:val="00E838EC"/>
    <w:rsid w:val="00E83B7E"/>
    <w:rsid w:val="00E83EB2"/>
    <w:rsid w:val="00E8406C"/>
    <w:rsid w:val="00E84309"/>
    <w:rsid w:val="00E849C8"/>
    <w:rsid w:val="00E84CBF"/>
    <w:rsid w:val="00E85F9A"/>
    <w:rsid w:val="00E86206"/>
    <w:rsid w:val="00E8677F"/>
    <w:rsid w:val="00E86781"/>
    <w:rsid w:val="00E867A8"/>
    <w:rsid w:val="00E8686B"/>
    <w:rsid w:val="00E86873"/>
    <w:rsid w:val="00E869AE"/>
    <w:rsid w:val="00E86AAF"/>
    <w:rsid w:val="00E86BD3"/>
    <w:rsid w:val="00E86CF1"/>
    <w:rsid w:val="00E86FC7"/>
    <w:rsid w:val="00E871D7"/>
    <w:rsid w:val="00E872CC"/>
    <w:rsid w:val="00E874B9"/>
    <w:rsid w:val="00E87650"/>
    <w:rsid w:val="00E87E31"/>
    <w:rsid w:val="00E903F2"/>
    <w:rsid w:val="00E90425"/>
    <w:rsid w:val="00E90744"/>
    <w:rsid w:val="00E9106D"/>
    <w:rsid w:val="00E91161"/>
    <w:rsid w:val="00E91B29"/>
    <w:rsid w:val="00E91D36"/>
    <w:rsid w:val="00E91E36"/>
    <w:rsid w:val="00E91E5C"/>
    <w:rsid w:val="00E92138"/>
    <w:rsid w:val="00E921C1"/>
    <w:rsid w:val="00E925E7"/>
    <w:rsid w:val="00E9272E"/>
    <w:rsid w:val="00E92768"/>
    <w:rsid w:val="00E92820"/>
    <w:rsid w:val="00E92A29"/>
    <w:rsid w:val="00E932C6"/>
    <w:rsid w:val="00E9337E"/>
    <w:rsid w:val="00E933FC"/>
    <w:rsid w:val="00E93442"/>
    <w:rsid w:val="00E93DCC"/>
    <w:rsid w:val="00E9419F"/>
    <w:rsid w:val="00E94214"/>
    <w:rsid w:val="00E94A8C"/>
    <w:rsid w:val="00E94B67"/>
    <w:rsid w:val="00E94E49"/>
    <w:rsid w:val="00E94ED2"/>
    <w:rsid w:val="00E9567C"/>
    <w:rsid w:val="00E95D07"/>
    <w:rsid w:val="00E95E0B"/>
    <w:rsid w:val="00E95F55"/>
    <w:rsid w:val="00E95F9A"/>
    <w:rsid w:val="00E96012"/>
    <w:rsid w:val="00E96598"/>
    <w:rsid w:val="00E967F9"/>
    <w:rsid w:val="00E96B4B"/>
    <w:rsid w:val="00E96C3F"/>
    <w:rsid w:val="00E971D6"/>
    <w:rsid w:val="00E97677"/>
    <w:rsid w:val="00EA07C5"/>
    <w:rsid w:val="00EA0845"/>
    <w:rsid w:val="00EA1080"/>
    <w:rsid w:val="00EA11D2"/>
    <w:rsid w:val="00EA127A"/>
    <w:rsid w:val="00EA16E8"/>
    <w:rsid w:val="00EA23B7"/>
    <w:rsid w:val="00EA23BE"/>
    <w:rsid w:val="00EA2508"/>
    <w:rsid w:val="00EA28E1"/>
    <w:rsid w:val="00EA291C"/>
    <w:rsid w:val="00EA2F21"/>
    <w:rsid w:val="00EA3470"/>
    <w:rsid w:val="00EA378F"/>
    <w:rsid w:val="00EA3DC8"/>
    <w:rsid w:val="00EA3F9B"/>
    <w:rsid w:val="00EA414D"/>
    <w:rsid w:val="00EA4178"/>
    <w:rsid w:val="00EA460E"/>
    <w:rsid w:val="00EA47A5"/>
    <w:rsid w:val="00EA49EA"/>
    <w:rsid w:val="00EA4C6B"/>
    <w:rsid w:val="00EA535D"/>
    <w:rsid w:val="00EA5365"/>
    <w:rsid w:val="00EA5638"/>
    <w:rsid w:val="00EA56A5"/>
    <w:rsid w:val="00EA5B0F"/>
    <w:rsid w:val="00EA5CF4"/>
    <w:rsid w:val="00EA5F30"/>
    <w:rsid w:val="00EA60C5"/>
    <w:rsid w:val="00EA60CA"/>
    <w:rsid w:val="00EA617B"/>
    <w:rsid w:val="00EA62D1"/>
    <w:rsid w:val="00EA64D9"/>
    <w:rsid w:val="00EA665D"/>
    <w:rsid w:val="00EA68F3"/>
    <w:rsid w:val="00EA6E33"/>
    <w:rsid w:val="00EA6F6A"/>
    <w:rsid w:val="00EA75DF"/>
    <w:rsid w:val="00EA762B"/>
    <w:rsid w:val="00EA768F"/>
    <w:rsid w:val="00EA7952"/>
    <w:rsid w:val="00EA7AFD"/>
    <w:rsid w:val="00EB030E"/>
    <w:rsid w:val="00EB03A3"/>
    <w:rsid w:val="00EB04EC"/>
    <w:rsid w:val="00EB071D"/>
    <w:rsid w:val="00EB075C"/>
    <w:rsid w:val="00EB084F"/>
    <w:rsid w:val="00EB1A73"/>
    <w:rsid w:val="00EB1BCD"/>
    <w:rsid w:val="00EB1BE2"/>
    <w:rsid w:val="00EB1C5B"/>
    <w:rsid w:val="00EB1F33"/>
    <w:rsid w:val="00EB1F92"/>
    <w:rsid w:val="00EB226C"/>
    <w:rsid w:val="00EB24D1"/>
    <w:rsid w:val="00EB251C"/>
    <w:rsid w:val="00EB2C86"/>
    <w:rsid w:val="00EB30ED"/>
    <w:rsid w:val="00EB3115"/>
    <w:rsid w:val="00EB33C2"/>
    <w:rsid w:val="00EB376F"/>
    <w:rsid w:val="00EB3B36"/>
    <w:rsid w:val="00EB3F96"/>
    <w:rsid w:val="00EB400C"/>
    <w:rsid w:val="00EB4080"/>
    <w:rsid w:val="00EB42AD"/>
    <w:rsid w:val="00EB4A2D"/>
    <w:rsid w:val="00EB58C3"/>
    <w:rsid w:val="00EB58C7"/>
    <w:rsid w:val="00EB59D5"/>
    <w:rsid w:val="00EB5BFF"/>
    <w:rsid w:val="00EB63B8"/>
    <w:rsid w:val="00EB6500"/>
    <w:rsid w:val="00EB66EE"/>
    <w:rsid w:val="00EB6D55"/>
    <w:rsid w:val="00EB6DEE"/>
    <w:rsid w:val="00EB7102"/>
    <w:rsid w:val="00EB753B"/>
    <w:rsid w:val="00EB7609"/>
    <w:rsid w:val="00EB77FB"/>
    <w:rsid w:val="00EB7841"/>
    <w:rsid w:val="00EB7C6F"/>
    <w:rsid w:val="00EC0564"/>
    <w:rsid w:val="00EC084B"/>
    <w:rsid w:val="00EC0A20"/>
    <w:rsid w:val="00EC0F98"/>
    <w:rsid w:val="00EC11C8"/>
    <w:rsid w:val="00EC159E"/>
    <w:rsid w:val="00EC22F0"/>
    <w:rsid w:val="00EC26F1"/>
    <w:rsid w:val="00EC2F30"/>
    <w:rsid w:val="00EC323E"/>
    <w:rsid w:val="00EC4337"/>
    <w:rsid w:val="00EC43DF"/>
    <w:rsid w:val="00EC4510"/>
    <w:rsid w:val="00EC4704"/>
    <w:rsid w:val="00EC4814"/>
    <w:rsid w:val="00EC48D9"/>
    <w:rsid w:val="00EC4BA3"/>
    <w:rsid w:val="00EC4C0A"/>
    <w:rsid w:val="00EC514E"/>
    <w:rsid w:val="00EC5481"/>
    <w:rsid w:val="00EC5575"/>
    <w:rsid w:val="00EC60B6"/>
    <w:rsid w:val="00EC6421"/>
    <w:rsid w:val="00EC6957"/>
    <w:rsid w:val="00EC6DC4"/>
    <w:rsid w:val="00EC7065"/>
    <w:rsid w:val="00EC7093"/>
    <w:rsid w:val="00EC7527"/>
    <w:rsid w:val="00EC78CC"/>
    <w:rsid w:val="00EC7F1B"/>
    <w:rsid w:val="00EC7F94"/>
    <w:rsid w:val="00ED0203"/>
    <w:rsid w:val="00ED025A"/>
    <w:rsid w:val="00ED0308"/>
    <w:rsid w:val="00ED0434"/>
    <w:rsid w:val="00ED058F"/>
    <w:rsid w:val="00ED05D9"/>
    <w:rsid w:val="00ED0AC3"/>
    <w:rsid w:val="00ED0AC7"/>
    <w:rsid w:val="00ED168E"/>
    <w:rsid w:val="00ED1AAF"/>
    <w:rsid w:val="00ED2264"/>
    <w:rsid w:val="00ED254B"/>
    <w:rsid w:val="00ED2C42"/>
    <w:rsid w:val="00ED2D0D"/>
    <w:rsid w:val="00ED312C"/>
    <w:rsid w:val="00ED3440"/>
    <w:rsid w:val="00ED35E9"/>
    <w:rsid w:val="00ED37D6"/>
    <w:rsid w:val="00ED3C42"/>
    <w:rsid w:val="00ED3CCA"/>
    <w:rsid w:val="00ED41E2"/>
    <w:rsid w:val="00ED4C02"/>
    <w:rsid w:val="00ED5066"/>
    <w:rsid w:val="00ED5216"/>
    <w:rsid w:val="00ED59AC"/>
    <w:rsid w:val="00ED5AE6"/>
    <w:rsid w:val="00ED5F0C"/>
    <w:rsid w:val="00ED62BD"/>
    <w:rsid w:val="00ED71DA"/>
    <w:rsid w:val="00ED756D"/>
    <w:rsid w:val="00ED75E8"/>
    <w:rsid w:val="00ED77EC"/>
    <w:rsid w:val="00ED77FA"/>
    <w:rsid w:val="00ED7835"/>
    <w:rsid w:val="00ED78DC"/>
    <w:rsid w:val="00ED78E8"/>
    <w:rsid w:val="00ED7BC5"/>
    <w:rsid w:val="00EE006D"/>
    <w:rsid w:val="00EE0253"/>
    <w:rsid w:val="00EE033B"/>
    <w:rsid w:val="00EE0A15"/>
    <w:rsid w:val="00EE0EAC"/>
    <w:rsid w:val="00EE1717"/>
    <w:rsid w:val="00EE1988"/>
    <w:rsid w:val="00EE1AE1"/>
    <w:rsid w:val="00EE1CCC"/>
    <w:rsid w:val="00EE1D5D"/>
    <w:rsid w:val="00EE1D71"/>
    <w:rsid w:val="00EE1EFA"/>
    <w:rsid w:val="00EE1F84"/>
    <w:rsid w:val="00EE21EC"/>
    <w:rsid w:val="00EE22CB"/>
    <w:rsid w:val="00EE23BF"/>
    <w:rsid w:val="00EE26E5"/>
    <w:rsid w:val="00EE277C"/>
    <w:rsid w:val="00EE27FD"/>
    <w:rsid w:val="00EE29DB"/>
    <w:rsid w:val="00EE2B6C"/>
    <w:rsid w:val="00EE2C3A"/>
    <w:rsid w:val="00EE2FC6"/>
    <w:rsid w:val="00EE34A7"/>
    <w:rsid w:val="00EE3816"/>
    <w:rsid w:val="00EE3BE1"/>
    <w:rsid w:val="00EE40AA"/>
    <w:rsid w:val="00EE41CE"/>
    <w:rsid w:val="00EE45E6"/>
    <w:rsid w:val="00EE4670"/>
    <w:rsid w:val="00EE46DE"/>
    <w:rsid w:val="00EE4927"/>
    <w:rsid w:val="00EE4AEE"/>
    <w:rsid w:val="00EE4BAA"/>
    <w:rsid w:val="00EE4F4F"/>
    <w:rsid w:val="00EE4FB3"/>
    <w:rsid w:val="00EE5C4C"/>
    <w:rsid w:val="00EE60F7"/>
    <w:rsid w:val="00EE61A3"/>
    <w:rsid w:val="00EE6DD1"/>
    <w:rsid w:val="00EE72B0"/>
    <w:rsid w:val="00EE75F6"/>
    <w:rsid w:val="00EE7727"/>
    <w:rsid w:val="00EE7F18"/>
    <w:rsid w:val="00EF023E"/>
    <w:rsid w:val="00EF030E"/>
    <w:rsid w:val="00EF0768"/>
    <w:rsid w:val="00EF0C61"/>
    <w:rsid w:val="00EF13D9"/>
    <w:rsid w:val="00EF14A9"/>
    <w:rsid w:val="00EF18D7"/>
    <w:rsid w:val="00EF1B70"/>
    <w:rsid w:val="00EF1EA9"/>
    <w:rsid w:val="00EF20F7"/>
    <w:rsid w:val="00EF240B"/>
    <w:rsid w:val="00EF2918"/>
    <w:rsid w:val="00EF29C7"/>
    <w:rsid w:val="00EF30FB"/>
    <w:rsid w:val="00EF371E"/>
    <w:rsid w:val="00EF3A5D"/>
    <w:rsid w:val="00EF3BB3"/>
    <w:rsid w:val="00EF3BBD"/>
    <w:rsid w:val="00EF3ED3"/>
    <w:rsid w:val="00EF432F"/>
    <w:rsid w:val="00EF4705"/>
    <w:rsid w:val="00EF4A95"/>
    <w:rsid w:val="00EF4AD1"/>
    <w:rsid w:val="00EF4F27"/>
    <w:rsid w:val="00EF5544"/>
    <w:rsid w:val="00EF55A0"/>
    <w:rsid w:val="00EF5637"/>
    <w:rsid w:val="00EF5645"/>
    <w:rsid w:val="00EF5939"/>
    <w:rsid w:val="00EF5952"/>
    <w:rsid w:val="00EF5A32"/>
    <w:rsid w:val="00EF5BDF"/>
    <w:rsid w:val="00EF5C9F"/>
    <w:rsid w:val="00EF5CD1"/>
    <w:rsid w:val="00EF5FAF"/>
    <w:rsid w:val="00EF67F4"/>
    <w:rsid w:val="00EF697C"/>
    <w:rsid w:val="00EF6A89"/>
    <w:rsid w:val="00EF7594"/>
    <w:rsid w:val="00EF7D3B"/>
    <w:rsid w:val="00F005D4"/>
    <w:rsid w:val="00F0085B"/>
    <w:rsid w:val="00F00D29"/>
    <w:rsid w:val="00F00FE9"/>
    <w:rsid w:val="00F010A6"/>
    <w:rsid w:val="00F014CA"/>
    <w:rsid w:val="00F014DF"/>
    <w:rsid w:val="00F016B5"/>
    <w:rsid w:val="00F0175E"/>
    <w:rsid w:val="00F01EA8"/>
    <w:rsid w:val="00F026C9"/>
    <w:rsid w:val="00F0287A"/>
    <w:rsid w:val="00F03357"/>
    <w:rsid w:val="00F0342D"/>
    <w:rsid w:val="00F035F8"/>
    <w:rsid w:val="00F03E61"/>
    <w:rsid w:val="00F04035"/>
    <w:rsid w:val="00F043A8"/>
    <w:rsid w:val="00F04A92"/>
    <w:rsid w:val="00F04C12"/>
    <w:rsid w:val="00F04C73"/>
    <w:rsid w:val="00F04DAD"/>
    <w:rsid w:val="00F0517A"/>
    <w:rsid w:val="00F056D1"/>
    <w:rsid w:val="00F057DC"/>
    <w:rsid w:val="00F057E5"/>
    <w:rsid w:val="00F058A9"/>
    <w:rsid w:val="00F05BDD"/>
    <w:rsid w:val="00F06450"/>
    <w:rsid w:val="00F06DE9"/>
    <w:rsid w:val="00F06DEC"/>
    <w:rsid w:val="00F06E37"/>
    <w:rsid w:val="00F070AD"/>
    <w:rsid w:val="00F072B0"/>
    <w:rsid w:val="00F07456"/>
    <w:rsid w:val="00F074C3"/>
    <w:rsid w:val="00F07BF9"/>
    <w:rsid w:val="00F07D6E"/>
    <w:rsid w:val="00F10120"/>
    <w:rsid w:val="00F1016A"/>
    <w:rsid w:val="00F1067D"/>
    <w:rsid w:val="00F10E68"/>
    <w:rsid w:val="00F112DA"/>
    <w:rsid w:val="00F11726"/>
    <w:rsid w:val="00F119B1"/>
    <w:rsid w:val="00F12052"/>
    <w:rsid w:val="00F1216F"/>
    <w:rsid w:val="00F12924"/>
    <w:rsid w:val="00F1297C"/>
    <w:rsid w:val="00F12B2D"/>
    <w:rsid w:val="00F130E1"/>
    <w:rsid w:val="00F131EE"/>
    <w:rsid w:val="00F132CC"/>
    <w:rsid w:val="00F137C9"/>
    <w:rsid w:val="00F13D28"/>
    <w:rsid w:val="00F13EAD"/>
    <w:rsid w:val="00F1420A"/>
    <w:rsid w:val="00F1435A"/>
    <w:rsid w:val="00F14405"/>
    <w:rsid w:val="00F14A41"/>
    <w:rsid w:val="00F14AB4"/>
    <w:rsid w:val="00F14D9C"/>
    <w:rsid w:val="00F161A0"/>
    <w:rsid w:val="00F16350"/>
    <w:rsid w:val="00F165B7"/>
    <w:rsid w:val="00F16FAE"/>
    <w:rsid w:val="00F16FD5"/>
    <w:rsid w:val="00F17053"/>
    <w:rsid w:val="00F1721B"/>
    <w:rsid w:val="00F172F4"/>
    <w:rsid w:val="00F1732E"/>
    <w:rsid w:val="00F1789D"/>
    <w:rsid w:val="00F17A4A"/>
    <w:rsid w:val="00F17B5A"/>
    <w:rsid w:val="00F20009"/>
    <w:rsid w:val="00F2107D"/>
    <w:rsid w:val="00F2127D"/>
    <w:rsid w:val="00F213B3"/>
    <w:rsid w:val="00F213CC"/>
    <w:rsid w:val="00F213D6"/>
    <w:rsid w:val="00F216B0"/>
    <w:rsid w:val="00F217D2"/>
    <w:rsid w:val="00F219B3"/>
    <w:rsid w:val="00F219C1"/>
    <w:rsid w:val="00F21A88"/>
    <w:rsid w:val="00F21BB8"/>
    <w:rsid w:val="00F21C59"/>
    <w:rsid w:val="00F22143"/>
    <w:rsid w:val="00F2294F"/>
    <w:rsid w:val="00F232CB"/>
    <w:rsid w:val="00F232E8"/>
    <w:rsid w:val="00F23449"/>
    <w:rsid w:val="00F2377D"/>
    <w:rsid w:val="00F23945"/>
    <w:rsid w:val="00F23BD4"/>
    <w:rsid w:val="00F23D15"/>
    <w:rsid w:val="00F23DD8"/>
    <w:rsid w:val="00F2415D"/>
    <w:rsid w:val="00F2416B"/>
    <w:rsid w:val="00F24177"/>
    <w:rsid w:val="00F247E8"/>
    <w:rsid w:val="00F248BF"/>
    <w:rsid w:val="00F25433"/>
    <w:rsid w:val="00F256FC"/>
    <w:rsid w:val="00F25A07"/>
    <w:rsid w:val="00F25EF8"/>
    <w:rsid w:val="00F25F41"/>
    <w:rsid w:val="00F26485"/>
    <w:rsid w:val="00F26740"/>
    <w:rsid w:val="00F26CFA"/>
    <w:rsid w:val="00F26E03"/>
    <w:rsid w:val="00F27429"/>
    <w:rsid w:val="00F2799C"/>
    <w:rsid w:val="00F303C0"/>
    <w:rsid w:val="00F30DF7"/>
    <w:rsid w:val="00F30F3C"/>
    <w:rsid w:val="00F310AA"/>
    <w:rsid w:val="00F312B9"/>
    <w:rsid w:val="00F31786"/>
    <w:rsid w:val="00F31B94"/>
    <w:rsid w:val="00F31C86"/>
    <w:rsid w:val="00F32389"/>
    <w:rsid w:val="00F32AD3"/>
    <w:rsid w:val="00F32B11"/>
    <w:rsid w:val="00F32B52"/>
    <w:rsid w:val="00F333A8"/>
    <w:rsid w:val="00F339FB"/>
    <w:rsid w:val="00F33B10"/>
    <w:rsid w:val="00F33B82"/>
    <w:rsid w:val="00F33CE6"/>
    <w:rsid w:val="00F3401C"/>
    <w:rsid w:val="00F34091"/>
    <w:rsid w:val="00F34120"/>
    <w:rsid w:val="00F34550"/>
    <w:rsid w:val="00F346EE"/>
    <w:rsid w:val="00F3488E"/>
    <w:rsid w:val="00F34E0E"/>
    <w:rsid w:val="00F3510B"/>
    <w:rsid w:val="00F352EF"/>
    <w:rsid w:val="00F3551E"/>
    <w:rsid w:val="00F35623"/>
    <w:rsid w:val="00F35883"/>
    <w:rsid w:val="00F35C60"/>
    <w:rsid w:val="00F35D47"/>
    <w:rsid w:val="00F35FF1"/>
    <w:rsid w:val="00F36335"/>
    <w:rsid w:val="00F369DB"/>
    <w:rsid w:val="00F36B85"/>
    <w:rsid w:val="00F37241"/>
    <w:rsid w:val="00F3725F"/>
    <w:rsid w:val="00F379D6"/>
    <w:rsid w:val="00F37B41"/>
    <w:rsid w:val="00F37B60"/>
    <w:rsid w:val="00F404DE"/>
    <w:rsid w:val="00F4089B"/>
    <w:rsid w:val="00F40A12"/>
    <w:rsid w:val="00F40B82"/>
    <w:rsid w:val="00F40E66"/>
    <w:rsid w:val="00F40E94"/>
    <w:rsid w:val="00F410E8"/>
    <w:rsid w:val="00F41192"/>
    <w:rsid w:val="00F41AB3"/>
    <w:rsid w:val="00F424C8"/>
    <w:rsid w:val="00F42C46"/>
    <w:rsid w:val="00F43353"/>
    <w:rsid w:val="00F43981"/>
    <w:rsid w:val="00F43AE5"/>
    <w:rsid w:val="00F4419D"/>
    <w:rsid w:val="00F442E2"/>
    <w:rsid w:val="00F44874"/>
    <w:rsid w:val="00F4490E"/>
    <w:rsid w:val="00F44985"/>
    <w:rsid w:val="00F44E90"/>
    <w:rsid w:val="00F44F75"/>
    <w:rsid w:val="00F45082"/>
    <w:rsid w:val="00F459D5"/>
    <w:rsid w:val="00F45A1A"/>
    <w:rsid w:val="00F45FF9"/>
    <w:rsid w:val="00F461F2"/>
    <w:rsid w:val="00F46548"/>
    <w:rsid w:val="00F46733"/>
    <w:rsid w:val="00F46760"/>
    <w:rsid w:val="00F46872"/>
    <w:rsid w:val="00F46CC2"/>
    <w:rsid w:val="00F46E5B"/>
    <w:rsid w:val="00F46FBE"/>
    <w:rsid w:val="00F47418"/>
    <w:rsid w:val="00F47E04"/>
    <w:rsid w:val="00F47E0D"/>
    <w:rsid w:val="00F5015C"/>
    <w:rsid w:val="00F501EB"/>
    <w:rsid w:val="00F50667"/>
    <w:rsid w:val="00F508B8"/>
    <w:rsid w:val="00F50D7E"/>
    <w:rsid w:val="00F51555"/>
    <w:rsid w:val="00F51B00"/>
    <w:rsid w:val="00F51CB7"/>
    <w:rsid w:val="00F51D2B"/>
    <w:rsid w:val="00F52837"/>
    <w:rsid w:val="00F52A1E"/>
    <w:rsid w:val="00F52D9B"/>
    <w:rsid w:val="00F52EAE"/>
    <w:rsid w:val="00F53199"/>
    <w:rsid w:val="00F5326B"/>
    <w:rsid w:val="00F533C5"/>
    <w:rsid w:val="00F54001"/>
    <w:rsid w:val="00F5406C"/>
    <w:rsid w:val="00F54305"/>
    <w:rsid w:val="00F5441B"/>
    <w:rsid w:val="00F54B98"/>
    <w:rsid w:val="00F55339"/>
    <w:rsid w:val="00F554D5"/>
    <w:rsid w:val="00F5550D"/>
    <w:rsid w:val="00F55C4E"/>
    <w:rsid w:val="00F56879"/>
    <w:rsid w:val="00F568A4"/>
    <w:rsid w:val="00F569D3"/>
    <w:rsid w:val="00F56AE8"/>
    <w:rsid w:val="00F56D1A"/>
    <w:rsid w:val="00F570CB"/>
    <w:rsid w:val="00F574F0"/>
    <w:rsid w:val="00F57574"/>
    <w:rsid w:val="00F57DB4"/>
    <w:rsid w:val="00F57F55"/>
    <w:rsid w:val="00F60048"/>
    <w:rsid w:val="00F600AB"/>
    <w:rsid w:val="00F600D5"/>
    <w:rsid w:val="00F600F6"/>
    <w:rsid w:val="00F6016B"/>
    <w:rsid w:val="00F60559"/>
    <w:rsid w:val="00F60B19"/>
    <w:rsid w:val="00F60C77"/>
    <w:rsid w:val="00F60D95"/>
    <w:rsid w:val="00F60EB7"/>
    <w:rsid w:val="00F60FB1"/>
    <w:rsid w:val="00F6161D"/>
    <w:rsid w:val="00F6164C"/>
    <w:rsid w:val="00F616EB"/>
    <w:rsid w:val="00F61A87"/>
    <w:rsid w:val="00F61C14"/>
    <w:rsid w:val="00F61D45"/>
    <w:rsid w:val="00F62265"/>
    <w:rsid w:val="00F62749"/>
    <w:rsid w:val="00F62D81"/>
    <w:rsid w:val="00F62F57"/>
    <w:rsid w:val="00F62F98"/>
    <w:rsid w:val="00F63124"/>
    <w:rsid w:val="00F63240"/>
    <w:rsid w:val="00F6379B"/>
    <w:rsid w:val="00F63884"/>
    <w:rsid w:val="00F6422B"/>
    <w:rsid w:val="00F6422D"/>
    <w:rsid w:val="00F65318"/>
    <w:rsid w:val="00F65387"/>
    <w:rsid w:val="00F654EA"/>
    <w:rsid w:val="00F658C9"/>
    <w:rsid w:val="00F65A5A"/>
    <w:rsid w:val="00F65B46"/>
    <w:rsid w:val="00F65CCD"/>
    <w:rsid w:val="00F66053"/>
    <w:rsid w:val="00F66256"/>
    <w:rsid w:val="00F671BA"/>
    <w:rsid w:val="00F6722F"/>
    <w:rsid w:val="00F67761"/>
    <w:rsid w:val="00F67ED6"/>
    <w:rsid w:val="00F7024C"/>
    <w:rsid w:val="00F706B4"/>
    <w:rsid w:val="00F70A0E"/>
    <w:rsid w:val="00F70EA6"/>
    <w:rsid w:val="00F70EDB"/>
    <w:rsid w:val="00F70F78"/>
    <w:rsid w:val="00F71230"/>
    <w:rsid w:val="00F712FF"/>
    <w:rsid w:val="00F714B9"/>
    <w:rsid w:val="00F71822"/>
    <w:rsid w:val="00F71A5F"/>
    <w:rsid w:val="00F72489"/>
    <w:rsid w:val="00F72A53"/>
    <w:rsid w:val="00F7313C"/>
    <w:rsid w:val="00F7340C"/>
    <w:rsid w:val="00F735B6"/>
    <w:rsid w:val="00F73808"/>
    <w:rsid w:val="00F739D2"/>
    <w:rsid w:val="00F73C3B"/>
    <w:rsid w:val="00F73D9A"/>
    <w:rsid w:val="00F73FBA"/>
    <w:rsid w:val="00F747DA"/>
    <w:rsid w:val="00F74C2C"/>
    <w:rsid w:val="00F751F7"/>
    <w:rsid w:val="00F757C6"/>
    <w:rsid w:val="00F75CCE"/>
    <w:rsid w:val="00F76155"/>
    <w:rsid w:val="00F76946"/>
    <w:rsid w:val="00F7748B"/>
    <w:rsid w:val="00F77DD8"/>
    <w:rsid w:val="00F77E73"/>
    <w:rsid w:val="00F77EA6"/>
    <w:rsid w:val="00F80A30"/>
    <w:rsid w:val="00F80FBB"/>
    <w:rsid w:val="00F810C4"/>
    <w:rsid w:val="00F81458"/>
    <w:rsid w:val="00F8171D"/>
    <w:rsid w:val="00F81F5B"/>
    <w:rsid w:val="00F82196"/>
    <w:rsid w:val="00F8231F"/>
    <w:rsid w:val="00F83E77"/>
    <w:rsid w:val="00F8403E"/>
    <w:rsid w:val="00F84051"/>
    <w:rsid w:val="00F8437A"/>
    <w:rsid w:val="00F851BF"/>
    <w:rsid w:val="00F85B47"/>
    <w:rsid w:val="00F85C4E"/>
    <w:rsid w:val="00F867E5"/>
    <w:rsid w:val="00F86CC7"/>
    <w:rsid w:val="00F86DC5"/>
    <w:rsid w:val="00F87031"/>
    <w:rsid w:val="00F87096"/>
    <w:rsid w:val="00F87814"/>
    <w:rsid w:val="00F9005E"/>
    <w:rsid w:val="00F901A3"/>
    <w:rsid w:val="00F90299"/>
    <w:rsid w:val="00F905D9"/>
    <w:rsid w:val="00F90884"/>
    <w:rsid w:val="00F90E5D"/>
    <w:rsid w:val="00F91216"/>
    <w:rsid w:val="00F916A9"/>
    <w:rsid w:val="00F91D95"/>
    <w:rsid w:val="00F91F91"/>
    <w:rsid w:val="00F92099"/>
    <w:rsid w:val="00F93344"/>
    <w:rsid w:val="00F93657"/>
    <w:rsid w:val="00F93734"/>
    <w:rsid w:val="00F937D6"/>
    <w:rsid w:val="00F9391D"/>
    <w:rsid w:val="00F93976"/>
    <w:rsid w:val="00F939A9"/>
    <w:rsid w:val="00F93C3C"/>
    <w:rsid w:val="00F94CF9"/>
    <w:rsid w:val="00F94D38"/>
    <w:rsid w:val="00F94EF7"/>
    <w:rsid w:val="00F951E8"/>
    <w:rsid w:val="00F957CD"/>
    <w:rsid w:val="00F95904"/>
    <w:rsid w:val="00F96A41"/>
    <w:rsid w:val="00F96FF9"/>
    <w:rsid w:val="00F974E9"/>
    <w:rsid w:val="00F97660"/>
    <w:rsid w:val="00F97D0D"/>
    <w:rsid w:val="00F97FF9"/>
    <w:rsid w:val="00FA0109"/>
    <w:rsid w:val="00FA0401"/>
    <w:rsid w:val="00FA0954"/>
    <w:rsid w:val="00FA0D51"/>
    <w:rsid w:val="00FA0E9D"/>
    <w:rsid w:val="00FA0EBB"/>
    <w:rsid w:val="00FA0ED0"/>
    <w:rsid w:val="00FA162C"/>
    <w:rsid w:val="00FA1794"/>
    <w:rsid w:val="00FA2013"/>
    <w:rsid w:val="00FA2335"/>
    <w:rsid w:val="00FA27BE"/>
    <w:rsid w:val="00FA27F6"/>
    <w:rsid w:val="00FA2845"/>
    <w:rsid w:val="00FA285D"/>
    <w:rsid w:val="00FA2D27"/>
    <w:rsid w:val="00FA36D6"/>
    <w:rsid w:val="00FA3968"/>
    <w:rsid w:val="00FA3A25"/>
    <w:rsid w:val="00FA47B9"/>
    <w:rsid w:val="00FA4BE6"/>
    <w:rsid w:val="00FA4DDD"/>
    <w:rsid w:val="00FA4EC1"/>
    <w:rsid w:val="00FA5773"/>
    <w:rsid w:val="00FA5951"/>
    <w:rsid w:val="00FA5CFE"/>
    <w:rsid w:val="00FA6095"/>
    <w:rsid w:val="00FA6403"/>
    <w:rsid w:val="00FA684B"/>
    <w:rsid w:val="00FA6A7C"/>
    <w:rsid w:val="00FA716B"/>
    <w:rsid w:val="00FA717E"/>
    <w:rsid w:val="00FA73E3"/>
    <w:rsid w:val="00FA74EF"/>
    <w:rsid w:val="00FA78D8"/>
    <w:rsid w:val="00FA7C45"/>
    <w:rsid w:val="00FB013E"/>
    <w:rsid w:val="00FB08CE"/>
    <w:rsid w:val="00FB0C7D"/>
    <w:rsid w:val="00FB0E47"/>
    <w:rsid w:val="00FB1005"/>
    <w:rsid w:val="00FB1105"/>
    <w:rsid w:val="00FB1357"/>
    <w:rsid w:val="00FB154F"/>
    <w:rsid w:val="00FB1AD6"/>
    <w:rsid w:val="00FB2038"/>
    <w:rsid w:val="00FB2B4A"/>
    <w:rsid w:val="00FB2D92"/>
    <w:rsid w:val="00FB2E56"/>
    <w:rsid w:val="00FB2EC2"/>
    <w:rsid w:val="00FB2F9E"/>
    <w:rsid w:val="00FB37B7"/>
    <w:rsid w:val="00FB3F36"/>
    <w:rsid w:val="00FB480D"/>
    <w:rsid w:val="00FB4B87"/>
    <w:rsid w:val="00FB55DF"/>
    <w:rsid w:val="00FB5708"/>
    <w:rsid w:val="00FB5DF9"/>
    <w:rsid w:val="00FB5F5F"/>
    <w:rsid w:val="00FB657F"/>
    <w:rsid w:val="00FB670C"/>
    <w:rsid w:val="00FB6B75"/>
    <w:rsid w:val="00FB6F8C"/>
    <w:rsid w:val="00FB7096"/>
    <w:rsid w:val="00FB720A"/>
    <w:rsid w:val="00FB72EE"/>
    <w:rsid w:val="00FB73EE"/>
    <w:rsid w:val="00FB75A9"/>
    <w:rsid w:val="00FB767B"/>
    <w:rsid w:val="00FB76BB"/>
    <w:rsid w:val="00FB7E31"/>
    <w:rsid w:val="00FB7EB7"/>
    <w:rsid w:val="00FB7EFC"/>
    <w:rsid w:val="00FC0030"/>
    <w:rsid w:val="00FC03B4"/>
    <w:rsid w:val="00FC08E9"/>
    <w:rsid w:val="00FC0FD8"/>
    <w:rsid w:val="00FC0FE7"/>
    <w:rsid w:val="00FC14B0"/>
    <w:rsid w:val="00FC17B9"/>
    <w:rsid w:val="00FC226D"/>
    <w:rsid w:val="00FC24A4"/>
    <w:rsid w:val="00FC2764"/>
    <w:rsid w:val="00FC27C3"/>
    <w:rsid w:val="00FC2D99"/>
    <w:rsid w:val="00FC2E6B"/>
    <w:rsid w:val="00FC3591"/>
    <w:rsid w:val="00FC43E6"/>
    <w:rsid w:val="00FC4987"/>
    <w:rsid w:val="00FC4AE0"/>
    <w:rsid w:val="00FC4BB1"/>
    <w:rsid w:val="00FC4C6B"/>
    <w:rsid w:val="00FC5122"/>
    <w:rsid w:val="00FC557C"/>
    <w:rsid w:val="00FC5E1B"/>
    <w:rsid w:val="00FC619F"/>
    <w:rsid w:val="00FC64DF"/>
    <w:rsid w:val="00FC650E"/>
    <w:rsid w:val="00FC6878"/>
    <w:rsid w:val="00FC6C05"/>
    <w:rsid w:val="00FC6FD5"/>
    <w:rsid w:val="00FC7040"/>
    <w:rsid w:val="00FC7480"/>
    <w:rsid w:val="00FC7677"/>
    <w:rsid w:val="00FC76A0"/>
    <w:rsid w:val="00FC77AB"/>
    <w:rsid w:val="00FD003E"/>
    <w:rsid w:val="00FD00F2"/>
    <w:rsid w:val="00FD02D4"/>
    <w:rsid w:val="00FD0692"/>
    <w:rsid w:val="00FD0892"/>
    <w:rsid w:val="00FD08BD"/>
    <w:rsid w:val="00FD0986"/>
    <w:rsid w:val="00FD0C41"/>
    <w:rsid w:val="00FD1021"/>
    <w:rsid w:val="00FD1376"/>
    <w:rsid w:val="00FD1381"/>
    <w:rsid w:val="00FD142E"/>
    <w:rsid w:val="00FD1C22"/>
    <w:rsid w:val="00FD1CA0"/>
    <w:rsid w:val="00FD1DA8"/>
    <w:rsid w:val="00FD1FFB"/>
    <w:rsid w:val="00FD2842"/>
    <w:rsid w:val="00FD2967"/>
    <w:rsid w:val="00FD29C2"/>
    <w:rsid w:val="00FD2A05"/>
    <w:rsid w:val="00FD3609"/>
    <w:rsid w:val="00FD3641"/>
    <w:rsid w:val="00FD3B13"/>
    <w:rsid w:val="00FD3BC9"/>
    <w:rsid w:val="00FD3BDA"/>
    <w:rsid w:val="00FD4380"/>
    <w:rsid w:val="00FD48E7"/>
    <w:rsid w:val="00FD4FA4"/>
    <w:rsid w:val="00FD5931"/>
    <w:rsid w:val="00FD5A43"/>
    <w:rsid w:val="00FD5B92"/>
    <w:rsid w:val="00FD5C51"/>
    <w:rsid w:val="00FD5F5F"/>
    <w:rsid w:val="00FD63B4"/>
    <w:rsid w:val="00FD6EA4"/>
    <w:rsid w:val="00FD737C"/>
    <w:rsid w:val="00FD77A8"/>
    <w:rsid w:val="00FD785F"/>
    <w:rsid w:val="00FD7AC0"/>
    <w:rsid w:val="00FD7B2B"/>
    <w:rsid w:val="00FD7C7F"/>
    <w:rsid w:val="00FE0B34"/>
    <w:rsid w:val="00FE0D1F"/>
    <w:rsid w:val="00FE0D5C"/>
    <w:rsid w:val="00FE0FD8"/>
    <w:rsid w:val="00FE13B6"/>
    <w:rsid w:val="00FE161B"/>
    <w:rsid w:val="00FE1CE7"/>
    <w:rsid w:val="00FE1EAE"/>
    <w:rsid w:val="00FE23C0"/>
    <w:rsid w:val="00FE242C"/>
    <w:rsid w:val="00FE2B02"/>
    <w:rsid w:val="00FE348E"/>
    <w:rsid w:val="00FE35E6"/>
    <w:rsid w:val="00FE3C31"/>
    <w:rsid w:val="00FE3DA5"/>
    <w:rsid w:val="00FE4574"/>
    <w:rsid w:val="00FE45E6"/>
    <w:rsid w:val="00FE4AF5"/>
    <w:rsid w:val="00FE4C15"/>
    <w:rsid w:val="00FE4E33"/>
    <w:rsid w:val="00FE5058"/>
    <w:rsid w:val="00FE5644"/>
    <w:rsid w:val="00FE5694"/>
    <w:rsid w:val="00FE57E5"/>
    <w:rsid w:val="00FE62ED"/>
    <w:rsid w:val="00FE640A"/>
    <w:rsid w:val="00FE672F"/>
    <w:rsid w:val="00FE7667"/>
    <w:rsid w:val="00FE7DAE"/>
    <w:rsid w:val="00FE7FC5"/>
    <w:rsid w:val="00FF0132"/>
    <w:rsid w:val="00FF0969"/>
    <w:rsid w:val="00FF0A7E"/>
    <w:rsid w:val="00FF0D0C"/>
    <w:rsid w:val="00FF0D96"/>
    <w:rsid w:val="00FF1681"/>
    <w:rsid w:val="00FF1B1A"/>
    <w:rsid w:val="00FF1F27"/>
    <w:rsid w:val="00FF21CE"/>
    <w:rsid w:val="00FF26B9"/>
    <w:rsid w:val="00FF2A36"/>
    <w:rsid w:val="00FF2A57"/>
    <w:rsid w:val="00FF2BD4"/>
    <w:rsid w:val="00FF2BE1"/>
    <w:rsid w:val="00FF2C30"/>
    <w:rsid w:val="00FF358E"/>
    <w:rsid w:val="00FF41A7"/>
    <w:rsid w:val="00FF4449"/>
    <w:rsid w:val="00FF44EB"/>
    <w:rsid w:val="00FF4604"/>
    <w:rsid w:val="00FF471F"/>
    <w:rsid w:val="00FF478B"/>
    <w:rsid w:val="00FF4B78"/>
    <w:rsid w:val="00FF4C22"/>
    <w:rsid w:val="00FF520D"/>
    <w:rsid w:val="00FF5CC5"/>
    <w:rsid w:val="00FF5DE1"/>
    <w:rsid w:val="00FF6371"/>
    <w:rsid w:val="00FF64F6"/>
    <w:rsid w:val="00FF667D"/>
    <w:rsid w:val="00FF6912"/>
    <w:rsid w:val="00FF6A6F"/>
    <w:rsid w:val="00FF7268"/>
    <w:rsid w:val="00FF7557"/>
    <w:rsid w:val="00FF796B"/>
    <w:rsid w:val="00FF7B03"/>
    <w:rsid w:val="00FF7DFF"/>
    <w:rsid w:val="052B5613"/>
    <w:rsid w:val="0B257810"/>
    <w:rsid w:val="118D6399"/>
    <w:rsid w:val="162D0381"/>
    <w:rsid w:val="164A7B96"/>
    <w:rsid w:val="17347DD3"/>
    <w:rsid w:val="304552FC"/>
    <w:rsid w:val="32815617"/>
    <w:rsid w:val="3CF91552"/>
    <w:rsid w:val="442F731C"/>
    <w:rsid w:val="49681E84"/>
    <w:rsid w:val="49BF2A77"/>
    <w:rsid w:val="4EFD7E26"/>
    <w:rsid w:val="7314372A"/>
    <w:rsid w:val="7BC05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99"/>
    <w:pPr>
      <w:keepNext/>
      <w:ind w:firstLine="2100" w:firstLineChars="1050"/>
      <w:jc w:val="center"/>
      <w:outlineLvl w:val="0"/>
    </w:pPr>
    <w:rPr>
      <w:b/>
      <w:bCs/>
      <w:kern w:val="44"/>
      <w:sz w:val="44"/>
      <w:szCs w:val="44"/>
      <w:lang w:val="zh-CN"/>
    </w:rPr>
  </w:style>
  <w:style w:type="paragraph" w:styleId="3">
    <w:name w:val="heading 2"/>
    <w:basedOn w:val="1"/>
    <w:next w:val="1"/>
    <w:link w:val="32"/>
    <w:qFormat/>
    <w:locked/>
    <w:uiPriority w:val="0"/>
    <w:pPr>
      <w:keepNext/>
      <w:keepLines/>
      <w:spacing w:before="260" w:after="260" w:line="416" w:lineRule="auto"/>
      <w:outlineLvl w:val="1"/>
    </w:pPr>
    <w:rPr>
      <w:rFonts w:ascii="Arial" w:hAnsi="Arial" w:eastAsia="黑体"/>
      <w:b/>
      <w:bCs/>
      <w:sz w:val="32"/>
      <w:szCs w:val="32"/>
      <w:lang w:val="zh-CN"/>
    </w:rPr>
  </w:style>
  <w:style w:type="paragraph" w:styleId="4">
    <w:name w:val="heading 3"/>
    <w:basedOn w:val="1"/>
    <w:next w:val="1"/>
    <w:link w:val="33"/>
    <w:semiHidden/>
    <w:unhideWhenUsed/>
    <w:qFormat/>
    <w:locked/>
    <w:uiPriority w:val="0"/>
    <w:pPr>
      <w:keepNext/>
      <w:keepLines/>
      <w:spacing w:before="260" w:after="260" w:line="416" w:lineRule="auto"/>
      <w:outlineLvl w:val="2"/>
    </w:pPr>
    <w:rPr>
      <w:b/>
      <w:bCs/>
      <w:sz w:val="32"/>
      <w:szCs w:val="32"/>
    </w:rPr>
  </w:style>
  <w:style w:type="paragraph" w:styleId="5">
    <w:name w:val="heading 5"/>
    <w:basedOn w:val="1"/>
    <w:next w:val="1"/>
    <w:link w:val="34"/>
    <w:semiHidden/>
    <w:unhideWhenUsed/>
    <w:qFormat/>
    <w:locked/>
    <w:uiPriority w:val="0"/>
    <w:pPr>
      <w:keepNext/>
      <w:keepLines/>
      <w:spacing w:before="280" w:after="290" w:line="376" w:lineRule="auto"/>
      <w:outlineLvl w:val="4"/>
    </w:pPr>
    <w:rPr>
      <w:b/>
      <w:bCs/>
      <w:sz w:val="28"/>
      <w:szCs w:val="28"/>
      <w:lang w:val="zh-CN"/>
    </w:rPr>
  </w:style>
  <w:style w:type="character" w:default="1" w:styleId="26">
    <w:name w:val="Default Paragraph Font"/>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6">
    <w:name w:val="Note Heading"/>
    <w:basedOn w:val="1"/>
    <w:next w:val="1"/>
    <w:link w:val="105"/>
    <w:qFormat/>
    <w:uiPriority w:val="0"/>
    <w:pPr>
      <w:widowControl/>
      <w:spacing w:line="360" w:lineRule="auto"/>
      <w:jc w:val="center"/>
    </w:pPr>
    <w:rPr>
      <w:rFonts w:ascii="宋体"/>
      <w:lang w:val="zh-CN"/>
    </w:rPr>
  </w:style>
  <w:style w:type="paragraph" w:styleId="7">
    <w:name w:val="Normal Indent"/>
    <w:basedOn w:val="1"/>
    <w:link w:val="36"/>
    <w:qFormat/>
    <w:uiPriority w:val="0"/>
    <w:pPr>
      <w:ind w:firstLine="420"/>
    </w:pPr>
    <w:rPr>
      <w:lang w:val="zh-CN"/>
    </w:rPr>
  </w:style>
  <w:style w:type="paragraph" w:styleId="8">
    <w:name w:val="annotation text"/>
    <w:basedOn w:val="1"/>
    <w:link w:val="102"/>
    <w:qFormat/>
    <w:uiPriority w:val="99"/>
    <w:pPr>
      <w:jc w:val="left"/>
    </w:pPr>
  </w:style>
  <w:style w:type="paragraph" w:styleId="9">
    <w:name w:val="Body Text 3"/>
    <w:basedOn w:val="1"/>
    <w:link w:val="37"/>
    <w:qFormat/>
    <w:uiPriority w:val="99"/>
    <w:pPr>
      <w:spacing w:after="120"/>
    </w:pPr>
    <w:rPr>
      <w:kern w:val="0"/>
      <w:sz w:val="16"/>
      <w:szCs w:val="16"/>
      <w:lang w:val="zh-CN"/>
    </w:rPr>
  </w:style>
  <w:style w:type="paragraph" w:styleId="10">
    <w:name w:val="Body Text"/>
    <w:basedOn w:val="1"/>
    <w:link w:val="38"/>
    <w:qFormat/>
    <w:uiPriority w:val="99"/>
    <w:pPr>
      <w:spacing w:line="500" w:lineRule="exact"/>
    </w:pPr>
    <w:rPr>
      <w:kern w:val="0"/>
      <w:sz w:val="20"/>
      <w:lang w:val="zh-CN"/>
    </w:rPr>
  </w:style>
  <w:style w:type="paragraph" w:styleId="11">
    <w:name w:val="Body Text Indent"/>
    <w:basedOn w:val="1"/>
    <w:link w:val="39"/>
    <w:qFormat/>
    <w:uiPriority w:val="99"/>
    <w:pPr>
      <w:spacing w:line="500" w:lineRule="exact"/>
      <w:ind w:firstLine="480"/>
    </w:pPr>
    <w:rPr>
      <w:kern w:val="0"/>
      <w:sz w:val="20"/>
      <w:lang w:val="zh-CN"/>
    </w:rPr>
  </w:style>
  <w:style w:type="paragraph" w:styleId="12">
    <w:name w:val="Plain Text"/>
    <w:basedOn w:val="1"/>
    <w:link w:val="40"/>
    <w:qFormat/>
    <w:uiPriority w:val="0"/>
    <w:rPr>
      <w:rFonts w:ascii="宋体" w:hAnsi="Courier New"/>
      <w:kern w:val="0"/>
      <w:szCs w:val="21"/>
      <w:lang w:val="zh-CN"/>
    </w:rPr>
  </w:style>
  <w:style w:type="paragraph" w:styleId="13">
    <w:name w:val="Date"/>
    <w:basedOn w:val="1"/>
    <w:next w:val="1"/>
    <w:link w:val="41"/>
    <w:qFormat/>
    <w:uiPriority w:val="99"/>
    <w:rPr>
      <w:kern w:val="0"/>
      <w:sz w:val="20"/>
      <w:lang w:val="zh-CN"/>
    </w:rPr>
  </w:style>
  <w:style w:type="paragraph" w:styleId="14">
    <w:name w:val="Body Text Indent 2"/>
    <w:basedOn w:val="1"/>
    <w:link w:val="42"/>
    <w:qFormat/>
    <w:uiPriority w:val="99"/>
    <w:pPr>
      <w:tabs>
        <w:tab w:val="left" w:pos="6855"/>
      </w:tabs>
      <w:ind w:firstLine="560" w:firstLineChars="200"/>
    </w:pPr>
    <w:rPr>
      <w:kern w:val="0"/>
      <w:sz w:val="20"/>
      <w:lang w:val="zh-CN"/>
    </w:rPr>
  </w:style>
  <w:style w:type="paragraph" w:styleId="15">
    <w:name w:val="Balloon Text"/>
    <w:basedOn w:val="1"/>
    <w:link w:val="35"/>
    <w:qFormat/>
    <w:uiPriority w:val="99"/>
    <w:rPr>
      <w:sz w:val="18"/>
      <w:szCs w:val="18"/>
    </w:rPr>
  </w:style>
  <w:style w:type="paragraph" w:styleId="16">
    <w:name w:val="footer"/>
    <w:basedOn w:val="1"/>
    <w:link w:val="43"/>
    <w:qFormat/>
    <w:uiPriority w:val="99"/>
    <w:pPr>
      <w:tabs>
        <w:tab w:val="center" w:pos="4153"/>
        <w:tab w:val="right" w:pos="8306"/>
      </w:tabs>
      <w:snapToGrid w:val="0"/>
      <w:jc w:val="left"/>
    </w:pPr>
    <w:rPr>
      <w:kern w:val="0"/>
      <w:sz w:val="18"/>
      <w:szCs w:val="18"/>
      <w:lang w:val="zh-CN"/>
    </w:rPr>
  </w:style>
  <w:style w:type="paragraph" w:styleId="17">
    <w:name w:val="header"/>
    <w:basedOn w:val="1"/>
    <w:link w:val="44"/>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8">
    <w:name w:val="Subtitle"/>
    <w:basedOn w:val="1"/>
    <w:next w:val="1"/>
    <w:link w:val="45"/>
    <w:qFormat/>
    <w:locked/>
    <w:uiPriority w:val="0"/>
    <w:pPr>
      <w:adjustRightInd w:val="0"/>
      <w:snapToGrid w:val="0"/>
      <w:spacing w:beforeLines="100"/>
      <w:jc w:val="center"/>
    </w:pPr>
    <w:rPr>
      <w:rFonts w:eastAsia="黑体"/>
      <w:bCs/>
      <w:kern w:val="28"/>
      <w:szCs w:val="24"/>
      <w:lang w:val="zh-CN"/>
    </w:rPr>
  </w:style>
  <w:style w:type="paragraph" w:styleId="19">
    <w:name w:val="List"/>
    <w:basedOn w:val="1"/>
    <w:uiPriority w:val="99"/>
    <w:pPr>
      <w:ind w:left="200" w:hanging="200" w:hangingChars="200"/>
    </w:pPr>
  </w:style>
  <w:style w:type="paragraph" w:styleId="20">
    <w:name w:val="Body Text Indent 3"/>
    <w:basedOn w:val="1"/>
    <w:link w:val="46"/>
    <w:qFormat/>
    <w:uiPriority w:val="99"/>
    <w:pPr>
      <w:spacing w:line="460" w:lineRule="exact"/>
      <w:ind w:left="105" w:leftChars="50" w:firstLine="280" w:firstLineChars="100"/>
    </w:pPr>
    <w:rPr>
      <w:kern w:val="0"/>
      <w:sz w:val="16"/>
      <w:szCs w:val="16"/>
      <w:lang w:val="zh-CN"/>
    </w:rPr>
  </w:style>
  <w:style w:type="paragraph" w:styleId="21">
    <w:name w:val="Body Text 2"/>
    <w:basedOn w:val="1"/>
    <w:link w:val="47"/>
    <w:qFormat/>
    <w:uiPriority w:val="99"/>
    <w:rPr>
      <w:kern w:val="0"/>
      <w:sz w:val="20"/>
      <w:lang w:val="zh-CN"/>
    </w:rPr>
  </w:style>
  <w:style w:type="paragraph" w:styleId="22">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23">
    <w:name w:val="annotation subject"/>
    <w:basedOn w:val="8"/>
    <w:next w:val="8"/>
    <w:link w:val="103"/>
    <w:qFormat/>
    <w:uiPriority w:val="99"/>
    <w:rPr>
      <w:b/>
      <w:bCs/>
    </w:rPr>
  </w:style>
  <w:style w:type="table" w:styleId="25">
    <w:name w:val="Table Grid"/>
    <w:basedOn w:val="24"/>
    <w:qFormat/>
    <w:uiPriority w:val="0"/>
    <w:pPr>
      <w:widowControl w:val="0"/>
      <w:spacing w:line="4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99"/>
    <w:rPr>
      <w:rFonts w:cs="Times New Roman"/>
      <w:b/>
      <w:bCs/>
    </w:rPr>
  </w:style>
  <w:style w:type="character" w:styleId="28">
    <w:name w:val="page number"/>
    <w:qFormat/>
    <w:uiPriority w:val="99"/>
    <w:rPr>
      <w:rFonts w:cs="Times New Roman"/>
    </w:rPr>
  </w:style>
  <w:style w:type="character" w:styleId="29">
    <w:name w:val="Hyperlink"/>
    <w:qFormat/>
    <w:uiPriority w:val="99"/>
    <w:rPr>
      <w:rFonts w:cs="Times New Roman"/>
      <w:color w:val="0000FF"/>
      <w:u w:val="single"/>
    </w:rPr>
  </w:style>
  <w:style w:type="character" w:styleId="30">
    <w:name w:val="annotation reference"/>
    <w:basedOn w:val="26"/>
    <w:qFormat/>
    <w:uiPriority w:val="99"/>
    <w:rPr>
      <w:sz w:val="21"/>
      <w:szCs w:val="21"/>
    </w:rPr>
  </w:style>
  <w:style w:type="character" w:customStyle="1" w:styleId="31">
    <w:name w:val="标题 1 字符"/>
    <w:link w:val="2"/>
    <w:qFormat/>
    <w:locked/>
    <w:uiPriority w:val="99"/>
    <w:rPr>
      <w:rFonts w:cs="Times New Roman"/>
      <w:b/>
      <w:bCs/>
      <w:kern w:val="44"/>
      <w:sz w:val="44"/>
      <w:szCs w:val="44"/>
    </w:rPr>
  </w:style>
  <w:style w:type="character" w:customStyle="1" w:styleId="32">
    <w:name w:val="标题 2 字符"/>
    <w:link w:val="3"/>
    <w:qFormat/>
    <w:uiPriority w:val="0"/>
    <w:rPr>
      <w:rFonts w:ascii="Arial" w:hAnsi="Arial" w:eastAsia="黑体"/>
      <w:b/>
      <w:bCs/>
      <w:kern w:val="2"/>
      <w:sz w:val="32"/>
      <w:szCs w:val="32"/>
    </w:rPr>
  </w:style>
  <w:style w:type="character" w:customStyle="1" w:styleId="33">
    <w:name w:val="标题 3 字符"/>
    <w:link w:val="4"/>
    <w:semiHidden/>
    <w:qFormat/>
    <w:uiPriority w:val="0"/>
    <w:rPr>
      <w:b/>
      <w:bCs/>
      <w:kern w:val="2"/>
      <w:sz w:val="32"/>
      <w:szCs w:val="32"/>
    </w:rPr>
  </w:style>
  <w:style w:type="character" w:customStyle="1" w:styleId="34">
    <w:name w:val="标题 5 字符"/>
    <w:link w:val="5"/>
    <w:semiHidden/>
    <w:qFormat/>
    <w:uiPriority w:val="0"/>
    <w:rPr>
      <w:b/>
      <w:bCs/>
      <w:kern w:val="2"/>
      <w:sz w:val="28"/>
      <w:szCs w:val="28"/>
    </w:rPr>
  </w:style>
  <w:style w:type="character" w:customStyle="1" w:styleId="35">
    <w:name w:val="批注框文本 字符"/>
    <w:basedOn w:val="26"/>
    <w:link w:val="15"/>
    <w:uiPriority w:val="99"/>
    <w:rPr>
      <w:kern w:val="2"/>
      <w:sz w:val="18"/>
      <w:szCs w:val="18"/>
    </w:rPr>
  </w:style>
  <w:style w:type="character" w:customStyle="1" w:styleId="36">
    <w:name w:val="正文缩进 字符"/>
    <w:link w:val="7"/>
    <w:qFormat/>
    <w:uiPriority w:val="0"/>
    <w:rPr>
      <w:kern w:val="2"/>
      <w:sz w:val="21"/>
    </w:rPr>
  </w:style>
  <w:style w:type="character" w:customStyle="1" w:styleId="37">
    <w:name w:val="正文文本 3 字符"/>
    <w:link w:val="9"/>
    <w:semiHidden/>
    <w:qFormat/>
    <w:locked/>
    <w:uiPriority w:val="99"/>
    <w:rPr>
      <w:rFonts w:cs="Times New Roman"/>
      <w:sz w:val="16"/>
      <w:szCs w:val="16"/>
    </w:rPr>
  </w:style>
  <w:style w:type="character" w:customStyle="1" w:styleId="38">
    <w:name w:val="正文文本 字符"/>
    <w:link w:val="10"/>
    <w:semiHidden/>
    <w:qFormat/>
    <w:locked/>
    <w:uiPriority w:val="99"/>
    <w:rPr>
      <w:rFonts w:cs="Times New Roman"/>
      <w:sz w:val="20"/>
      <w:szCs w:val="20"/>
    </w:rPr>
  </w:style>
  <w:style w:type="character" w:customStyle="1" w:styleId="39">
    <w:name w:val="正文文本缩进 字符"/>
    <w:link w:val="11"/>
    <w:semiHidden/>
    <w:qFormat/>
    <w:locked/>
    <w:uiPriority w:val="99"/>
    <w:rPr>
      <w:rFonts w:cs="Times New Roman"/>
      <w:sz w:val="20"/>
      <w:szCs w:val="20"/>
    </w:rPr>
  </w:style>
  <w:style w:type="character" w:customStyle="1" w:styleId="40">
    <w:name w:val="纯文本 字符"/>
    <w:link w:val="12"/>
    <w:qFormat/>
    <w:locked/>
    <w:uiPriority w:val="0"/>
    <w:rPr>
      <w:rFonts w:ascii="宋体" w:hAnsi="Courier New" w:cs="Times New Roman"/>
      <w:sz w:val="21"/>
      <w:szCs w:val="21"/>
    </w:rPr>
  </w:style>
  <w:style w:type="character" w:customStyle="1" w:styleId="41">
    <w:name w:val="日期 字符"/>
    <w:link w:val="13"/>
    <w:semiHidden/>
    <w:qFormat/>
    <w:locked/>
    <w:uiPriority w:val="99"/>
    <w:rPr>
      <w:rFonts w:cs="Times New Roman"/>
      <w:sz w:val="20"/>
      <w:szCs w:val="20"/>
    </w:rPr>
  </w:style>
  <w:style w:type="character" w:customStyle="1" w:styleId="42">
    <w:name w:val="正文文本缩进 2 字符"/>
    <w:link w:val="14"/>
    <w:semiHidden/>
    <w:qFormat/>
    <w:locked/>
    <w:uiPriority w:val="99"/>
    <w:rPr>
      <w:rFonts w:cs="Times New Roman"/>
      <w:sz w:val="20"/>
      <w:szCs w:val="20"/>
    </w:rPr>
  </w:style>
  <w:style w:type="character" w:customStyle="1" w:styleId="43">
    <w:name w:val="页脚 字符"/>
    <w:link w:val="16"/>
    <w:semiHidden/>
    <w:qFormat/>
    <w:locked/>
    <w:uiPriority w:val="99"/>
    <w:rPr>
      <w:rFonts w:cs="Times New Roman"/>
      <w:sz w:val="18"/>
      <w:szCs w:val="18"/>
    </w:rPr>
  </w:style>
  <w:style w:type="character" w:customStyle="1" w:styleId="44">
    <w:name w:val="页眉 字符"/>
    <w:link w:val="17"/>
    <w:semiHidden/>
    <w:locked/>
    <w:uiPriority w:val="99"/>
    <w:rPr>
      <w:rFonts w:cs="Times New Roman"/>
      <w:sz w:val="18"/>
      <w:szCs w:val="18"/>
    </w:rPr>
  </w:style>
  <w:style w:type="character" w:customStyle="1" w:styleId="45">
    <w:name w:val="副标题 字符"/>
    <w:link w:val="18"/>
    <w:qFormat/>
    <w:uiPriority w:val="0"/>
    <w:rPr>
      <w:rFonts w:eastAsia="黑体" w:cs="Arial"/>
      <w:bCs/>
      <w:kern w:val="28"/>
      <w:sz w:val="21"/>
      <w:szCs w:val="24"/>
    </w:rPr>
  </w:style>
  <w:style w:type="character" w:customStyle="1" w:styleId="46">
    <w:name w:val="正文文本缩进 3 字符"/>
    <w:link w:val="20"/>
    <w:semiHidden/>
    <w:qFormat/>
    <w:locked/>
    <w:uiPriority w:val="99"/>
    <w:rPr>
      <w:rFonts w:cs="Times New Roman"/>
      <w:sz w:val="16"/>
      <w:szCs w:val="16"/>
    </w:rPr>
  </w:style>
  <w:style w:type="character" w:customStyle="1" w:styleId="47">
    <w:name w:val="正文文本 2 字符"/>
    <w:link w:val="21"/>
    <w:semiHidden/>
    <w:qFormat/>
    <w:locked/>
    <w:uiPriority w:val="99"/>
    <w:rPr>
      <w:rFonts w:cs="Times New Roman"/>
      <w:sz w:val="20"/>
      <w:szCs w:val="20"/>
    </w:rPr>
  </w:style>
  <w:style w:type="character" w:customStyle="1" w:styleId="48">
    <w:name w:val="正文-ls Char"/>
    <w:link w:val="49"/>
    <w:qFormat/>
    <w:uiPriority w:val="0"/>
    <w:rPr>
      <w:rFonts w:hAnsi="宋体" w:eastAsia="宋体"/>
      <w:kern w:val="2"/>
      <w:sz w:val="24"/>
      <w:lang w:bidi="ar-SA"/>
    </w:rPr>
  </w:style>
  <w:style w:type="paragraph" w:customStyle="1" w:styleId="49">
    <w:name w:val="正文-ls"/>
    <w:basedOn w:val="1"/>
    <w:link w:val="48"/>
    <w:qFormat/>
    <w:uiPriority w:val="0"/>
    <w:pPr>
      <w:spacing w:line="360" w:lineRule="auto"/>
      <w:ind w:firstLine="200" w:firstLineChars="200"/>
    </w:pPr>
    <w:rPr>
      <w:rFonts w:hAnsi="宋体"/>
      <w:sz w:val="24"/>
      <w:lang w:val="zh-CN"/>
    </w:rPr>
  </w:style>
  <w:style w:type="character" w:customStyle="1" w:styleId="50">
    <w:name w:val="样式 样式 样式 样式 首行缩进:  1 字符 + 首行缩进:  2 字符2 + 首行缩进:  2 字符 + Char"/>
    <w:link w:val="51"/>
    <w:qFormat/>
    <w:locked/>
    <w:uiPriority w:val="99"/>
    <w:rPr>
      <w:rFonts w:cs="宋体"/>
      <w:kern w:val="0"/>
      <w:sz w:val="20"/>
      <w:szCs w:val="20"/>
    </w:rPr>
  </w:style>
  <w:style w:type="paragraph" w:customStyle="1" w:styleId="51">
    <w:name w:val="样式 样式 样式 样式 首行缩进:  1 字符 + 首行缩进:  2 字符2 + 首行缩进:  2 字符 +"/>
    <w:basedOn w:val="1"/>
    <w:link w:val="50"/>
    <w:qFormat/>
    <w:uiPriority w:val="99"/>
    <w:pPr>
      <w:spacing w:line="360" w:lineRule="auto"/>
      <w:ind w:firstLine="480" w:firstLineChars="200"/>
    </w:pPr>
    <w:rPr>
      <w:kern w:val="0"/>
      <w:sz w:val="20"/>
      <w:lang w:val="zh-CN"/>
    </w:rPr>
  </w:style>
  <w:style w:type="character" w:customStyle="1" w:styleId="52">
    <w:name w:val="unnamed11"/>
    <w:qFormat/>
    <w:uiPriority w:val="99"/>
    <w:rPr>
      <w:rFonts w:cs="Times New Roman"/>
      <w:sz w:val="21"/>
    </w:rPr>
  </w:style>
  <w:style w:type="character" w:customStyle="1" w:styleId="53">
    <w:name w:val="特点标题 Char1"/>
    <w:semiHidden/>
    <w:locked/>
    <w:uiPriority w:val="0"/>
    <w:rPr>
      <w:rFonts w:cs="Times New Roman"/>
      <w:sz w:val="20"/>
      <w:szCs w:val="20"/>
    </w:rPr>
  </w:style>
  <w:style w:type="character" w:customStyle="1" w:styleId="54">
    <w:name w:val="tpc_content1"/>
    <w:qFormat/>
    <w:uiPriority w:val="99"/>
    <w:rPr>
      <w:rFonts w:cs="Times New Roman"/>
      <w:sz w:val="18"/>
    </w:rPr>
  </w:style>
  <w:style w:type="paragraph" w:customStyle="1" w:styleId="55">
    <w:name w:val="Char1"/>
    <w:basedOn w:val="1"/>
    <w:qFormat/>
    <w:uiPriority w:val="0"/>
    <w:rPr>
      <w:rFonts w:ascii="仿宋_GB2312" w:eastAsia="仿宋_GB2312"/>
      <w:b/>
      <w:sz w:val="32"/>
      <w:szCs w:val="32"/>
    </w:rPr>
  </w:style>
  <w:style w:type="paragraph" w:styleId="56">
    <w:name w:val="List Paragraph"/>
    <w:basedOn w:val="1"/>
    <w:qFormat/>
    <w:uiPriority w:val="34"/>
    <w:pPr>
      <w:ind w:firstLine="420" w:firstLineChars="200"/>
    </w:pPr>
  </w:style>
  <w:style w:type="paragraph" w:customStyle="1" w:styleId="57">
    <w:name w:val="表格式"/>
    <w:basedOn w:val="19"/>
    <w:qFormat/>
    <w:uiPriority w:val="99"/>
    <w:pPr>
      <w:spacing w:beforeLines="50" w:afterLines="50" w:line="240" w:lineRule="exact"/>
      <w:ind w:left="0" w:firstLine="0" w:firstLineChars="0"/>
      <w:jc w:val="center"/>
    </w:pPr>
  </w:style>
  <w:style w:type="paragraph" w:customStyle="1" w:styleId="58">
    <w:name w:val="Char Char Char Char Char Char Char Char Char Char Char Char Char Char Char Char"/>
    <w:basedOn w:val="1"/>
    <w:semiHidden/>
    <w:qFormat/>
    <w:uiPriority w:val="99"/>
    <w:pPr>
      <w:adjustRightInd w:val="0"/>
      <w:snapToGrid w:val="0"/>
      <w:spacing w:line="360" w:lineRule="auto"/>
      <w:ind w:firstLine="200" w:firstLineChars="200"/>
    </w:pPr>
    <w:rPr>
      <w:rFonts w:ascii="宋体" w:hAnsi="宋体" w:cs="宋体"/>
      <w:sz w:val="24"/>
      <w:szCs w:val="26"/>
    </w:rPr>
  </w:style>
  <w:style w:type="paragraph" w:customStyle="1" w:styleId="59">
    <w:name w:val="应填表格"/>
    <w:basedOn w:val="1"/>
    <w:qFormat/>
    <w:uiPriority w:val="99"/>
    <w:pPr>
      <w:adjustRightInd w:val="0"/>
      <w:spacing w:before="40" w:after="40"/>
      <w:jc w:val="left"/>
      <w:textAlignment w:val="baseline"/>
    </w:pPr>
    <w:rPr>
      <w:kern w:val="0"/>
      <w:sz w:val="24"/>
    </w:rPr>
  </w:style>
  <w:style w:type="paragraph" w:customStyle="1" w:styleId="60">
    <w:name w:val="表格正文"/>
    <w:basedOn w:val="1"/>
    <w:next w:val="1"/>
    <w:qFormat/>
    <w:uiPriority w:val="0"/>
    <w:pPr>
      <w:adjustRightInd w:val="0"/>
      <w:snapToGrid w:val="0"/>
      <w:jc w:val="center"/>
      <w:textAlignment w:val="baseline"/>
    </w:pPr>
    <w:rPr>
      <w:rFonts w:ascii="宋体" w:hAnsi="宋体"/>
      <w:spacing w:val="4"/>
      <w:w w:val="90"/>
      <w:kern w:val="0"/>
    </w:rPr>
  </w:style>
  <w:style w:type="paragraph" w:customStyle="1" w:styleId="61">
    <w:name w:val="Char Char Char Char Char2 Char Char Char Char"/>
    <w:basedOn w:val="1"/>
    <w:qFormat/>
    <w:uiPriority w:val="99"/>
    <w:pPr>
      <w:adjustRightInd w:val="0"/>
      <w:snapToGrid w:val="0"/>
      <w:spacing w:line="360" w:lineRule="auto"/>
      <w:ind w:firstLine="200" w:firstLineChars="200"/>
    </w:pPr>
  </w:style>
  <w:style w:type="paragraph" w:customStyle="1" w:styleId="62">
    <w:name w:val="样式1"/>
    <w:basedOn w:val="1"/>
    <w:qFormat/>
    <w:uiPriority w:val="99"/>
    <w:pPr>
      <w:spacing w:after="40" w:line="300" w:lineRule="atLeast"/>
      <w:jc w:val="center"/>
      <w:outlineLvl w:val="2"/>
    </w:pPr>
    <w:rPr>
      <w:rFonts w:eastAsia="楷体_GB2312"/>
    </w:rPr>
  </w:style>
  <w:style w:type="paragraph" w:customStyle="1" w:styleId="63">
    <w:name w:val="中文报告书"/>
    <w:basedOn w:val="1"/>
    <w:qFormat/>
    <w:uiPriority w:val="0"/>
    <w:pPr>
      <w:adjustRightInd w:val="0"/>
      <w:spacing w:after="80" w:line="420" w:lineRule="atLeast"/>
      <w:jc w:val="left"/>
      <w:textAlignment w:val="baseline"/>
    </w:pPr>
    <w:rPr>
      <w:kern w:val="0"/>
      <w:sz w:val="24"/>
    </w:rPr>
  </w:style>
  <w:style w:type="paragraph" w:customStyle="1" w:styleId="64">
    <w:name w:val="xl24"/>
    <w:basedOn w:val="1"/>
    <w:qFormat/>
    <w:uiPriority w:val="99"/>
    <w:pPr>
      <w:widowControl/>
      <w:spacing w:before="100" w:beforeAutospacing="1" w:after="100" w:afterAutospacing="1"/>
      <w:jc w:val="center"/>
    </w:pPr>
    <w:rPr>
      <w:rFonts w:ascii="宋体" w:hAnsi="宋体"/>
      <w:kern w:val="0"/>
      <w:sz w:val="24"/>
    </w:rPr>
  </w:style>
  <w:style w:type="paragraph" w:customStyle="1" w:styleId="65">
    <w:name w:val="Char"/>
    <w:basedOn w:val="1"/>
    <w:qFormat/>
    <w:uiPriority w:val="99"/>
  </w:style>
  <w:style w:type="paragraph" w:customStyle="1" w:styleId="66">
    <w:name w:val="2007表格"/>
    <w:basedOn w:val="1"/>
    <w:qFormat/>
    <w:uiPriority w:val="0"/>
    <w:pPr>
      <w:widowControl/>
      <w:spacing w:line="400" w:lineRule="exact"/>
      <w:jc w:val="center"/>
    </w:pPr>
    <w:rPr>
      <w:rFonts w:ascii="宋体" w:hAnsi="宋体" w:cs="宋体"/>
      <w:color w:val="000000"/>
      <w:kern w:val="0"/>
      <w:sz w:val="24"/>
      <w:lang w:val="en-GB"/>
    </w:rPr>
  </w:style>
  <w:style w:type="paragraph" w:customStyle="1" w:styleId="67">
    <w:name w:val="Char Char Char Char1"/>
    <w:basedOn w:val="1"/>
    <w:qFormat/>
    <w:uiPriority w:val="0"/>
    <w:pPr>
      <w:spacing w:after="156" w:afterLines="50" w:line="560" w:lineRule="exact"/>
    </w:pPr>
    <w:rPr>
      <w:rFonts w:eastAsia="黑体"/>
      <w:sz w:val="30"/>
      <w:szCs w:val="30"/>
    </w:rPr>
  </w:style>
  <w:style w:type="paragraph" w:customStyle="1" w:styleId="68">
    <w:name w:val="文本正文"/>
    <w:basedOn w:val="1"/>
    <w:qFormat/>
    <w:uiPriority w:val="0"/>
    <w:pPr>
      <w:autoSpaceDE w:val="0"/>
      <w:autoSpaceDN w:val="0"/>
      <w:adjustRightInd w:val="0"/>
      <w:spacing w:line="360" w:lineRule="auto"/>
      <w:ind w:firstLine="200" w:firstLineChars="200"/>
      <w:textAlignment w:val="baseline"/>
    </w:pPr>
    <w:rPr>
      <w:rFonts w:ascii="宋体" w:hAnsi="宋体"/>
      <w:snapToGrid w:val="0"/>
      <w:color w:val="000000"/>
      <w:spacing w:val="4"/>
      <w:kern w:val="18"/>
      <w:sz w:val="24"/>
      <w:szCs w:val="24"/>
    </w:rPr>
  </w:style>
  <w:style w:type="paragraph" w:customStyle="1" w:styleId="69">
    <w:name w:val="默认段落字体 Para Char Char"/>
    <w:basedOn w:val="1"/>
    <w:qFormat/>
    <w:uiPriority w:val="0"/>
    <w:rPr>
      <w:szCs w:val="24"/>
    </w:rPr>
  </w:style>
  <w:style w:type="paragraph" w:customStyle="1" w:styleId="70">
    <w:name w:val="Char Char Char Char Char Char Char Char Char Char Char Char Char Char Char Char1"/>
    <w:basedOn w:val="1"/>
    <w:semiHidden/>
    <w:qFormat/>
    <w:uiPriority w:val="0"/>
    <w:pPr>
      <w:adjustRightInd w:val="0"/>
      <w:snapToGrid w:val="0"/>
      <w:spacing w:line="360" w:lineRule="auto"/>
      <w:ind w:firstLine="200" w:firstLineChars="200"/>
    </w:pPr>
    <w:rPr>
      <w:rFonts w:ascii="宋体" w:hAnsi="宋体" w:cs="宋体"/>
      <w:sz w:val="24"/>
      <w:szCs w:val="26"/>
    </w:rPr>
  </w:style>
  <w:style w:type="paragraph" w:customStyle="1" w:styleId="71">
    <w:name w:val="表内容"/>
    <w:basedOn w:val="12"/>
    <w:link w:val="72"/>
    <w:qFormat/>
    <w:uiPriority w:val="0"/>
    <w:rPr>
      <w:rFonts w:ascii="Times New Roman" w:hAnsi="Times New Roman"/>
      <w:kern w:val="2"/>
      <w:szCs w:val="20"/>
    </w:rPr>
  </w:style>
  <w:style w:type="character" w:customStyle="1" w:styleId="72">
    <w:name w:val="表内容 Char"/>
    <w:link w:val="71"/>
    <w:qFormat/>
    <w:uiPriority w:val="0"/>
    <w:rPr>
      <w:kern w:val="2"/>
      <w:sz w:val="21"/>
    </w:rPr>
  </w:style>
  <w:style w:type="paragraph" w:customStyle="1" w:styleId="73">
    <w:name w:val="Char Char"/>
    <w:basedOn w:val="1"/>
    <w:qFormat/>
    <w:uiPriority w:val="0"/>
  </w:style>
  <w:style w:type="paragraph" w:customStyle="1" w:styleId="74">
    <w:name w:val="Char Char Char Char Char Char Char"/>
    <w:basedOn w:val="1"/>
    <w:qFormat/>
    <w:uiPriority w:val="0"/>
    <w:rPr>
      <w:sz w:val="24"/>
      <w:szCs w:val="24"/>
    </w:rPr>
  </w:style>
  <w:style w:type="character" w:customStyle="1" w:styleId="75">
    <w:name w:val="表格内容 Char"/>
    <w:link w:val="76"/>
    <w:qFormat/>
    <w:uiPriority w:val="0"/>
    <w:rPr>
      <w:rFonts w:hAnsi="宋体"/>
    </w:rPr>
  </w:style>
  <w:style w:type="paragraph" w:customStyle="1" w:styleId="76">
    <w:name w:val="表格内容"/>
    <w:basedOn w:val="1"/>
    <w:link w:val="75"/>
    <w:qFormat/>
    <w:uiPriority w:val="0"/>
    <w:pPr>
      <w:tabs>
        <w:tab w:val="left" w:pos="2340"/>
      </w:tabs>
      <w:snapToGrid w:val="0"/>
      <w:jc w:val="center"/>
    </w:pPr>
    <w:rPr>
      <w:rFonts w:hAnsi="宋体"/>
      <w:kern w:val="0"/>
      <w:sz w:val="20"/>
      <w:lang w:val="zh-CN"/>
    </w:rPr>
  </w:style>
  <w:style w:type="paragraph" w:customStyle="1" w:styleId="77">
    <w:name w:val="敏感表"/>
    <w:basedOn w:val="1"/>
    <w:next w:val="1"/>
    <w:qFormat/>
    <w:uiPriority w:val="0"/>
    <w:pPr>
      <w:topLinePunct/>
      <w:adjustRightInd w:val="0"/>
      <w:spacing w:line="240" w:lineRule="atLeast"/>
      <w:jc w:val="center"/>
      <w:textAlignment w:val="bottom"/>
    </w:pPr>
    <w:rPr>
      <w:kern w:val="0"/>
    </w:rPr>
  </w:style>
  <w:style w:type="character" w:customStyle="1" w:styleId="78">
    <w:name w:val="副标题 Char1"/>
    <w:qFormat/>
    <w:uiPriority w:val="0"/>
    <w:rPr>
      <w:rFonts w:ascii="Cambria" w:hAnsi="Cambria" w:cs="Times New Roman"/>
      <w:b/>
      <w:bCs/>
      <w:kern w:val="28"/>
      <w:sz w:val="32"/>
      <w:szCs w:val="32"/>
    </w:rPr>
  </w:style>
  <w:style w:type="paragraph" w:customStyle="1" w:styleId="79">
    <w:name w:val="清源正文"/>
    <w:basedOn w:val="1"/>
    <w:qFormat/>
    <w:uiPriority w:val="0"/>
    <w:pPr>
      <w:spacing w:line="440" w:lineRule="exact"/>
      <w:ind w:firstLine="480" w:firstLineChars="200"/>
    </w:pPr>
    <w:rPr>
      <w:rFonts w:ascii="宋体" w:hAnsi="宋体"/>
      <w:kern w:val="0"/>
      <w:sz w:val="24"/>
      <w:szCs w:val="28"/>
    </w:rPr>
  </w:style>
  <w:style w:type="paragraph" w:customStyle="1" w:styleId="80">
    <w:name w:val="表格修改"/>
    <w:basedOn w:val="1"/>
    <w:link w:val="81"/>
    <w:qFormat/>
    <w:uiPriority w:val="0"/>
    <w:pPr>
      <w:spacing w:before="40" w:after="40"/>
      <w:jc w:val="center"/>
    </w:pPr>
    <w:rPr>
      <w:rFonts w:hAnsi="宋体"/>
      <w:sz w:val="24"/>
      <w:szCs w:val="24"/>
      <w:lang w:val="zh-CN"/>
    </w:rPr>
  </w:style>
  <w:style w:type="character" w:customStyle="1" w:styleId="81">
    <w:name w:val="表格修改 Char"/>
    <w:link w:val="80"/>
    <w:qFormat/>
    <w:uiPriority w:val="0"/>
    <w:rPr>
      <w:rFonts w:hAnsi="宋体"/>
      <w:kern w:val="2"/>
      <w:sz w:val="24"/>
      <w:szCs w:val="24"/>
      <w:lang w:val="zh-CN" w:eastAsia="zh-CN"/>
    </w:rPr>
  </w:style>
  <w:style w:type="paragraph" w:customStyle="1" w:styleId="82">
    <w:name w:val="正文样式1"/>
    <w:basedOn w:val="1"/>
    <w:semiHidden/>
    <w:qFormat/>
    <w:uiPriority w:val="0"/>
    <w:pPr>
      <w:adjustRightInd w:val="0"/>
      <w:spacing w:line="288" w:lineRule="auto"/>
      <w:ind w:firstLine="360" w:firstLineChars="150"/>
      <w:textAlignment w:val="baseline"/>
    </w:pPr>
    <w:rPr>
      <w:kern w:val="0"/>
      <w:sz w:val="24"/>
    </w:rPr>
  </w:style>
  <w:style w:type="paragraph" w:customStyle="1" w:styleId="83">
    <w:name w:val="表格内正文"/>
    <w:basedOn w:val="1"/>
    <w:qFormat/>
    <w:uiPriority w:val="0"/>
    <w:pPr>
      <w:spacing w:line="360" w:lineRule="auto"/>
      <w:ind w:firstLine="493"/>
    </w:pPr>
    <w:rPr>
      <w:rFonts w:ascii="宋体" w:hAnsi="宋体"/>
      <w:spacing w:val="4"/>
      <w:kern w:val="18"/>
      <w:sz w:val="24"/>
      <w:szCs w:val="24"/>
    </w:rPr>
  </w:style>
  <w:style w:type="character" w:customStyle="1" w:styleId="84">
    <w:name w:val="纯文本 Char2"/>
    <w:qFormat/>
    <w:uiPriority w:val="0"/>
    <w:rPr>
      <w:rFonts w:ascii="宋体" w:hAnsi="Courier New" w:eastAsia="宋体"/>
      <w:kern w:val="2"/>
      <w:sz w:val="28"/>
      <w:lang w:val="en-US" w:eastAsia="zh-CN" w:bidi="ar-SA"/>
    </w:rPr>
  </w:style>
  <w:style w:type="paragraph" w:customStyle="1" w:styleId="85">
    <w:name w:val="Char Char Char Char Char Char Char Char Char Char Char Char Char Char Char Char Char Char Char Char Char"/>
    <w:basedOn w:val="1"/>
    <w:qFormat/>
    <w:uiPriority w:val="0"/>
    <w:pPr>
      <w:spacing w:line="360" w:lineRule="auto"/>
      <w:ind w:firstLine="200" w:firstLineChars="200"/>
    </w:pPr>
  </w:style>
  <w:style w:type="paragraph" w:customStyle="1" w:styleId="86">
    <w:name w:val="Char2"/>
    <w:basedOn w:val="1"/>
    <w:qFormat/>
    <w:uiPriority w:val="0"/>
    <w:pPr>
      <w:spacing w:line="360" w:lineRule="auto"/>
      <w:ind w:firstLine="200" w:firstLineChars="200"/>
    </w:pPr>
    <w:rPr>
      <w:rFonts w:ascii="宋体" w:hAnsi="宋体" w:cs="宋体"/>
      <w:sz w:val="24"/>
      <w:szCs w:val="24"/>
    </w:rPr>
  </w:style>
  <w:style w:type="paragraph" w:customStyle="1" w:styleId="87">
    <w:name w:val="管道表格内容"/>
    <w:basedOn w:val="1"/>
    <w:link w:val="88"/>
    <w:qFormat/>
    <w:uiPriority w:val="0"/>
    <w:pPr>
      <w:adjustRightInd w:val="0"/>
      <w:snapToGrid w:val="0"/>
      <w:jc w:val="center"/>
    </w:pPr>
    <w:rPr>
      <w:szCs w:val="21"/>
    </w:rPr>
  </w:style>
  <w:style w:type="character" w:customStyle="1" w:styleId="88">
    <w:name w:val="管道表格内容 Char"/>
    <w:link w:val="87"/>
    <w:qFormat/>
    <w:uiPriority w:val="0"/>
    <w:rPr>
      <w:kern w:val="2"/>
      <w:sz w:val="21"/>
      <w:szCs w:val="21"/>
    </w:rPr>
  </w:style>
  <w:style w:type="paragraph" w:customStyle="1" w:styleId="89">
    <w:name w:val="正文。"/>
    <w:basedOn w:val="1"/>
    <w:link w:val="90"/>
    <w:qFormat/>
    <w:uiPriority w:val="0"/>
    <w:pPr>
      <w:spacing w:line="460" w:lineRule="exact"/>
      <w:ind w:firstLine="480" w:firstLineChars="200"/>
    </w:pPr>
    <w:rPr>
      <w:sz w:val="24"/>
      <w:szCs w:val="24"/>
    </w:rPr>
  </w:style>
  <w:style w:type="character" w:customStyle="1" w:styleId="90">
    <w:name w:val="正文。 Char"/>
    <w:link w:val="89"/>
    <w:qFormat/>
    <w:uiPriority w:val="0"/>
    <w:rPr>
      <w:kern w:val="2"/>
      <w:sz w:val="24"/>
      <w:szCs w:val="24"/>
    </w:rPr>
  </w:style>
  <w:style w:type="paragraph" w:customStyle="1" w:styleId="91">
    <w:name w:val="正文  1"/>
    <w:basedOn w:val="1"/>
    <w:link w:val="92"/>
    <w:qFormat/>
    <w:uiPriority w:val="0"/>
    <w:pPr>
      <w:snapToGrid w:val="0"/>
      <w:spacing w:line="360" w:lineRule="auto"/>
      <w:ind w:firstLine="480" w:firstLineChars="200"/>
    </w:pPr>
    <w:rPr>
      <w:bCs/>
      <w:sz w:val="24"/>
      <w:szCs w:val="24"/>
    </w:rPr>
  </w:style>
  <w:style w:type="character" w:customStyle="1" w:styleId="92">
    <w:name w:val="正文  1 Char"/>
    <w:link w:val="91"/>
    <w:qFormat/>
    <w:uiPriority w:val="0"/>
    <w:rPr>
      <w:bCs/>
      <w:kern w:val="2"/>
      <w:sz w:val="24"/>
      <w:szCs w:val="24"/>
    </w:rPr>
  </w:style>
  <w:style w:type="character" w:customStyle="1" w:styleId="93">
    <w:name w:val="无间隔 字符"/>
    <w:link w:val="94"/>
    <w:qFormat/>
    <w:locked/>
    <w:uiPriority w:val="0"/>
    <w:rPr>
      <w:kern w:val="2"/>
      <w:sz w:val="21"/>
      <w:szCs w:val="24"/>
    </w:rPr>
  </w:style>
  <w:style w:type="paragraph" w:styleId="94">
    <w:name w:val="No Spacing"/>
    <w:link w:val="93"/>
    <w:qFormat/>
    <w:uiPriority w:val="0"/>
    <w:pPr>
      <w:widowControl w:val="0"/>
      <w:jc w:val="center"/>
    </w:pPr>
    <w:rPr>
      <w:rFonts w:ascii="Times New Roman" w:hAnsi="Times New Roman" w:eastAsia="宋体" w:cs="Times New Roman"/>
      <w:kern w:val="2"/>
      <w:sz w:val="21"/>
      <w:szCs w:val="24"/>
      <w:lang w:val="en-US" w:eastAsia="zh-CN" w:bidi="ar-SA"/>
    </w:rPr>
  </w:style>
  <w:style w:type="paragraph" w:customStyle="1" w:styleId="95">
    <w:name w:val="表头  1"/>
    <w:basedOn w:val="91"/>
    <w:link w:val="96"/>
    <w:qFormat/>
    <w:uiPriority w:val="0"/>
    <w:pPr>
      <w:jc w:val="center"/>
    </w:pPr>
    <w:rPr>
      <w:rFonts w:eastAsia="黑体"/>
      <w:sz w:val="21"/>
    </w:rPr>
  </w:style>
  <w:style w:type="character" w:customStyle="1" w:styleId="96">
    <w:name w:val="表头  1 Char"/>
    <w:link w:val="95"/>
    <w:qFormat/>
    <w:uiPriority w:val="0"/>
    <w:rPr>
      <w:rFonts w:eastAsia="黑体"/>
      <w:bCs/>
      <w:kern w:val="2"/>
      <w:sz w:val="21"/>
      <w:szCs w:val="24"/>
    </w:rPr>
  </w:style>
  <w:style w:type="paragraph" w:customStyle="1" w:styleId="97">
    <w:name w:val="六表内容"/>
    <w:basedOn w:val="1"/>
    <w:qFormat/>
    <w:uiPriority w:val="0"/>
    <w:pPr>
      <w:spacing w:line="340" w:lineRule="exact"/>
      <w:jc w:val="center"/>
    </w:pPr>
    <w:rPr>
      <w:szCs w:val="21"/>
    </w:rPr>
  </w:style>
  <w:style w:type="character" w:customStyle="1" w:styleId="98">
    <w:name w:val="图表标题 Char Char"/>
    <w:link w:val="99"/>
    <w:qFormat/>
    <w:uiPriority w:val="0"/>
    <w:rPr>
      <w:rFonts w:eastAsia="黑体"/>
      <w:kern w:val="2"/>
      <w:sz w:val="21"/>
      <w:szCs w:val="24"/>
    </w:rPr>
  </w:style>
  <w:style w:type="paragraph" w:customStyle="1" w:styleId="99">
    <w:name w:val="图表标题"/>
    <w:link w:val="98"/>
    <w:qFormat/>
    <w:uiPriority w:val="0"/>
    <w:pPr>
      <w:snapToGrid w:val="0"/>
      <w:spacing w:beforeLines="100"/>
      <w:jc w:val="center"/>
    </w:pPr>
    <w:rPr>
      <w:rFonts w:ascii="Times New Roman" w:hAnsi="Times New Roman" w:eastAsia="黑体" w:cs="Times New Roman"/>
      <w:kern w:val="2"/>
      <w:sz w:val="21"/>
      <w:szCs w:val="24"/>
      <w:lang w:val="en-US" w:eastAsia="zh-CN" w:bidi="ar-SA"/>
    </w:rPr>
  </w:style>
  <w:style w:type="paragraph" w:customStyle="1" w:styleId="100">
    <w:name w:val="表格内容。"/>
    <w:basedOn w:val="80"/>
    <w:link w:val="101"/>
    <w:qFormat/>
    <w:uiPriority w:val="0"/>
    <w:pPr>
      <w:spacing w:before="0" w:after="0"/>
    </w:pPr>
    <w:rPr>
      <w:rFonts w:hAnsi="Times New Roman"/>
      <w:sz w:val="21"/>
      <w:lang w:val="en-US"/>
    </w:rPr>
  </w:style>
  <w:style w:type="character" w:customStyle="1" w:styleId="101">
    <w:name w:val="表格内容。 Char"/>
    <w:link w:val="100"/>
    <w:qFormat/>
    <w:uiPriority w:val="0"/>
    <w:rPr>
      <w:kern w:val="2"/>
      <w:sz w:val="21"/>
      <w:szCs w:val="24"/>
    </w:rPr>
  </w:style>
  <w:style w:type="character" w:customStyle="1" w:styleId="102">
    <w:name w:val="批注文字 字符"/>
    <w:basedOn w:val="26"/>
    <w:link w:val="8"/>
    <w:qFormat/>
    <w:uiPriority w:val="99"/>
    <w:rPr>
      <w:kern w:val="2"/>
      <w:sz w:val="21"/>
    </w:rPr>
  </w:style>
  <w:style w:type="character" w:customStyle="1" w:styleId="103">
    <w:name w:val="批注主题 字符"/>
    <w:basedOn w:val="102"/>
    <w:link w:val="23"/>
    <w:qFormat/>
    <w:uiPriority w:val="99"/>
    <w:rPr>
      <w:b/>
      <w:bCs/>
      <w:kern w:val="2"/>
      <w:sz w:val="21"/>
    </w:rPr>
  </w:style>
  <w:style w:type="paragraph" w:customStyle="1" w:styleId="104">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5">
    <w:name w:val="注释标题 字符"/>
    <w:basedOn w:val="26"/>
    <w:link w:val="6"/>
    <w:qFormat/>
    <w:uiPriority w:val="0"/>
    <w:rPr>
      <w:rFonts w:ascii="宋体"/>
      <w:kern w:val="2"/>
      <w:sz w:val="21"/>
      <w:lang w:val="zh-CN"/>
    </w:rPr>
  </w:style>
  <w:style w:type="character" w:customStyle="1" w:styleId="106">
    <w:name w:val="表头 Char Char"/>
    <w:link w:val="107"/>
    <w:qFormat/>
    <w:locked/>
    <w:uiPriority w:val="0"/>
    <w:rPr>
      <w:rFonts w:ascii="宋体" w:hAnsi="宋体"/>
      <w:color w:val="000000"/>
      <w:spacing w:val="-20"/>
      <w:kern w:val="2"/>
      <w:sz w:val="24"/>
      <w:szCs w:val="24"/>
    </w:rPr>
  </w:style>
  <w:style w:type="paragraph" w:customStyle="1" w:styleId="107">
    <w:name w:val="表头"/>
    <w:basedOn w:val="1"/>
    <w:link w:val="106"/>
    <w:qFormat/>
    <w:uiPriority w:val="0"/>
    <w:pPr>
      <w:spacing w:line="360" w:lineRule="auto"/>
      <w:ind w:firstLine="294" w:firstLineChars="147"/>
    </w:pPr>
    <w:rPr>
      <w:rFonts w:ascii="宋体" w:hAnsi="宋体"/>
      <w:color w:val="000000"/>
      <w:spacing w:val="-20"/>
      <w:sz w:val="24"/>
      <w:szCs w:val="24"/>
    </w:rPr>
  </w:style>
  <w:style w:type="paragraph" w:customStyle="1" w:styleId="108">
    <w:name w:val="正文01"/>
    <w:basedOn w:val="1"/>
    <w:link w:val="111"/>
    <w:qFormat/>
    <w:uiPriority w:val="0"/>
    <w:pPr>
      <w:spacing w:before="60" w:line="460" w:lineRule="exact"/>
      <w:ind w:firstLine="200" w:firstLineChars="200"/>
    </w:pPr>
    <w:rPr>
      <w:sz w:val="24"/>
      <w:szCs w:val="24"/>
      <w:lang w:val="zh-CN"/>
    </w:rPr>
  </w:style>
  <w:style w:type="paragraph" w:customStyle="1" w:styleId="109">
    <w:name w:val="表头1"/>
    <w:basedOn w:val="1"/>
    <w:link w:val="110"/>
    <w:qFormat/>
    <w:uiPriority w:val="0"/>
    <w:pPr>
      <w:spacing w:beforeLines="50"/>
      <w:jc w:val="center"/>
    </w:pPr>
    <w:rPr>
      <w:rFonts w:ascii="宋体" w:hAnsi="宋体"/>
      <w:b/>
      <w:sz w:val="24"/>
      <w:szCs w:val="24"/>
      <w:lang w:val="zh-CN"/>
    </w:rPr>
  </w:style>
  <w:style w:type="character" w:customStyle="1" w:styleId="110">
    <w:name w:val="表头1 Char"/>
    <w:link w:val="109"/>
    <w:qFormat/>
    <w:uiPriority w:val="0"/>
    <w:rPr>
      <w:rFonts w:ascii="宋体" w:hAnsi="宋体"/>
      <w:b/>
      <w:kern w:val="2"/>
      <w:sz w:val="24"/>
      <w:szCs w:val="24"/>
      <w:lang w:val="zh-CN"/>
    </w:rPr>
  </w:style>
  <w:style w:type="character" w:customStyle="1" w:styleId="111">
    <w:name w:val="正文01 Char2"/>
    <w:link w:val="108"/>
    <w:qFormat/>
    <w:uiPriority w:val="0"/>
    <w:rPr>
      <w:kern w:val="2"/>
      <w:sz w:val="24"/>
      <w:szCs w:val="24"/>
      <w:lang w:val="zh-CN"/>
    </w:rPr>
  </w:style>
  <w:style w:type="table" w:customStyle="1" w:styleId="112">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13">
    <w:name w:val="Table Paragraph"/>
    <w:basedOn w:val="1"/>
    <w:qFormat/>
    <w:uiPriority w:val="1"/>
    <w:pPr>
      <w:autoSpaceDE w:val="0"/>
      <w:autoSpaceDN w:val="0"/>
      <w:jc w:val="left"/>
    </w:pPr>
    <w:rPr>
      <w:rFonts w:ascii="宋体" w:hAnsi="宋体" w:cs="宋体"/>
      <w:kern w:val="0"/>
      <w:sz w:val="22"/>
      <w:szCs w:val="22"/>
      <w:lang w:eastAsia="en-US"/>
    </w:rPr>
  </w:style>
  <w:style w:type="paragraph" w:customStyle="1" w:styleId="114">
    <w:name w:val="管线表头"/>
    <w:basedOn w:val="1"/>
    <w:link w:val="115"/>
    <w:qFormat/>
    <w:uiPriority w:val="0"/>
    <w:pPr>
      <w:adjustRightInd w:val="0"/>
      <w:snapToGrid w:val="0"/>
      <w:jc w:val="center"/>
    </w:pPr>
    <w:rPr>
      <w:b/>
      <w:szCs w:val="21"/>
      <w:lang w:val="zh-CN"/>
    </w:rPr>
  </w:style>
  <w:style w:type="character" w:customStyle="1" w:styleId="115">
    <w:name w:val="管线表头 Char"/>
    <w:basedOn w:val="26"/>
    <w:link w:val="114"/>
    <w:qFormat/>
    <w:uiPriority w:val="0"/>
    <w:rPr>
      <w:b/>
      <w:kern w:val="2"/>
      <w:sz w:val="21"/>
      <w:szCs w:val="21"/>
      <w:lang w:val="zh-CN"/>
    </w:rPr>
  </w:style>
  <w:style w:type="paragraph" w:customStyle="1" w:styleId="116">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1.wmf"/><Relationship Id="rId25" Type="http://schemas.openxmlformats.org/officeDocument/2006/relationships/oleObject" Target="embeddings/oleObject9.bin"/><Relationship Id="rId24" Type="http://schemas.openxmlformats.org/officeDocument/2006/relationships/image" Target="media/image10.wmf"/><Relationship Id="rId23" Type="http://schemas.openxmlformats.org/officeDocument/2006/relationships/oleObject" Target="embeddings/oleObject8.bin"/><Relationship Id="rId22" Type="http://schemas.openxmlformats.org/officeDocument/2006/relationships/image" Target="media/image9.wmf"/><Relationship Id="rId21" Type="http://schemas.openxmlformats.org/officeDocument/2006/relationships/oleObject" Target="embeddings/oleObject7.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7.wmf"/><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png"/><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9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E0753-EBD8-43E3-9E49-6A47C9960450}">
  <ds:schemaRefs/>
</ds:datastoreItem>
</file>

<file path=docProps/app.xml><?xml version="1.0" encoding="utf-8"?>
<Properties xmlns="http://schemas.openxmlformats.org/officeDocument/2006/extended-properties" xmlns:vt="http://schemas.openxmlformats.org/officeDocument/2006/docPropsVTypes">
  <Template>Normal.dotm</Template>
  <Company>小熔工作室</Company>
  <Pages>79</Pages>
  <Words>9036</Words>
  <Characters>51510</Characters>
  <Lines>429</Lines>
  <Paragraphs>120</Paragraphs>
  <TotalTime>2108</TotalTime>
  <ScaleCrop>false</ScaleCrop>
  <LinksUpToDate>false</LinksUpToDate>
  <CharactersWithSpaces>60426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2018-05-14T01:42:00Z</dcterms:created>
  <dc:creator>JUJUMAO</dc:creator>
  <cp:lastModifiedBy>DJ_MC_BGM</cp:lastModifiedBy>
  <cp:lastPrinted>2018-01-23T00:31:00Z</cp:lastPrinted>
  <dcterms:modified xsi:type="dcterms:W3CDTF">2019-11-16T09:21:57Z</dcterms:modified>
  <dc:title>目  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