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EE" w:rsidRDefault="002760D7">
      <w:pPr>
        <w:spacing w:line="560" w:lineRule="exact"/>
        <w:ind w:firstLineChars="690" w:firstLine="3048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核 心 提 示</w:t>
      </w:r>
    </w:p>
    <w:p w:rsidR="004232EE" w:rsidRDefault="004232EE">
      <w:pPr>
        <w:spacing w:line="360" w:lineRule="auto"/>
        <w:rPr>
          <w:rFonts w:ascii="黑体" w:eastAsia="黑体"/>
          <w:b/>
          <w:color w:val="FF0000"/>
          <w:sz w:val="44"/>
        </w:rPr>
      </w:pPr>
    </w:p>
    <w:p w:rsidR="004232EE" w:rsidRDefault="002760D7">
      <w:pPr>
        <w:tabs>
          <w:tab w:val="left" w:pos="3285"/>
        </w:tabs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★</w:t>
      </w:r>
      <w:r>
        <w:rPr>
          <w:rFonts w:ascii="宋体" w:hAnsi="宋体" w:hint="eastAsia"/>
          <w:sz w:val="32"/>
          <w:szCs w:val="32"/>
        </w:rPr>
        <w:t>2017年我市环境空气质量达到《环境空气质量标准》（GB 3095-2012）二级以上的天数为</w:t>
      </w:r>
      <w:r>
        <w:rPr>
          <w:rFonts w:ascii="仿宋" w:eastAsia="仿宋" w:hAnsi="仿宋" w:hint="eastAsia"/>
          <w:sz w:val="32"/>
          <w:szCs w:val="32"/>
        </w:rPr>
        <w:t>180天，</w:t>
      </w:r>
      <w:r>
        <w:rPr>
          <w:rFonts w:ascii="宋体" w:hAnsi="宋体" w:hint="eastAsia"/>
          <w:sz w:val="32"/>
          <w:szCs w:val="32"/>
        </w:rPr>
        <w:t>达标天数占总天数的</w:t>
      </w:r>
      <w:r>
        <w:rPr>
          <w:rFonts w:ascii="仿宋" w:eastAsia="仿宋" w:hAnsi="仿宋" w:hint="eastAsia"/>
          <w:sz w:val="32"/>
          <w:szCs w:val="32"/>
        </w:rPr>
        <w:t>49.3%</w:t>
      </w:r>
      <w:r>
        <w:rPr>
          <w:rFonts w:ascii="宋体" w:hAnsi="宋体" w:hint="eastAsia"/>
          <w:sz w:val="32"/>
          <w:szCs w:val="32"/>
        </w:rPr>
        <w:t>。降尘年均值为</w:t>
      </w:r>
      <w:r>
        <w:rPr>
          <w:rFonts w:asciiTheme="majorEastAsia" w:eastAsiaTheme="majorEastAsia" w:hAnsiTheme="majorEastAsia" w:hint="eastAsia"/>
          <w:sz w:val="32"/>
          <w:szCs w:val="32"/>
        </w:rPr>
        <w:t>13.2吨/（平方公里·30天），</w:t>
      </w:r>
      <w:r>
        <w:rPr>
          <w:rFonts w:ascii="宋体" w:hAnsi="宋体" w:hint="eastAsia"/>
          <w:sz w:val="32"/>
          <w:szCs w:val="32"/>
        </w:rPr>
        <w:t>比上年下降了5.0%。降水</w:t>
      </w:r>
      <w:r>
        <w:rPr>
          <w:rFonts w:ascii="宋体" w:hAnsi="宋体" w:hint="eastAsia"/>
          <w:bCs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pH均值为6.7，未出现酸雨样本。</w:t>
      </w:r>
    </w:p>
    <w:p w:rsidR="004232EE" w:rsidRDefault="004232EE">
      <w:pPr>
        <w:spacing w:line="360" w:lineRule="auto"/>
        <w:rPr>
          <w:rFonts w:ascii="宋体" w:hAnsi="宋体"/>
          <w:bCs/>
          <w:sz w:val="32"/>
          <w:szCs w:val="32"/>
        </w:rPr>
      </w:pPr>
    </w:p>
    <w:p w:rsidR="004232EE" w:rsidRDefault="002760D7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★</w:t>
      </w:r>
      <w:r>
        <w:rPr>
          <w:rFonts w:ascii="宋体" w:hAnsi="宋体" w:hint="eastAsia"/>
          <w:sz w:val="32"/>
          <w:szCs w:val="32"/>
        </w:rPr>
        <w:t>2017年全市河流整体水质污染减轻，</w:t>
      </w:r>
      <w:r>
        <w:rPr>
          <w:rFonts w:ascii="宋体" w:hAnsi="宋体" w:hint="eastAsia"/>
          <w:kern w:val="0"/>
          <w:sz w:val="32"/>
          <w:szCs w:val="32"/>
        </w:rPr>
        <w:t>综合污染指数较上年同期下降19.9%。15条河流水质污染状况由重至轻依次为：</w:t>
      </w:r>
      <w:r>
        <w:rPr>
          <w:rFonts w:hint="eastAsia"/>
          <w:sz w:val="32"/>
          <w:szCs w:val="32"/>
        </w:rPr>
        <w:t>皂河〉新河〉临河〉泾河〉滈河〉潏河〉石川河〉零河〉渭河〉沣河〉浐河〉灞河〉黑河〉涝河〉辋川河。</w:t>
      </w:r>
      <w:r>
        <w:rPr>
          <w:rFonts w:ascii="宋体" w:hAnsi="宋体" w:hint="eastAsia"/>
          <w:sz w:val="32"/>
          <w:szCs w:val="32"/>
        </w:rPr>
        <w:t>按水环境功能区划类别进行评价全市有16个监测断面水质达标。饮用水源地水质达标率为98.1%。</w:t>
      </w:r>
    </w:p>
    <w:p w:rsidR="004232EE" w:rsidRDefault="004232EE">
      <w:pPr>
        <w:spacing w:line="360" w:lineRule="auto"/>
        <w:rPr>
          <w:rFonts w:ascii="宋体" w:hAnsi="宋体"/>
          <w:color w:val="FF0000"/>
          <w:sz w:val="32"/>
          <w:szCs w:val="32"/>
        </w:rPr>
      </w:pPr>
    </w:p>
    <w:p w:rsidR="004232EE" w:rsidRDefault="002760D7">
      <w:pPr>
        <w:ind w:firstLineChars="192" w:firstLine="614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★</w:t>
      </w:r>
      <w:r>
        <w:rPr>
          <w:rFonts w:asciiTheme="majorEastAsia" w:eastAsiaTheme="majorEastAsia" w:hAnsiTheme="majorEastAsia" w:hint="eastAsia"/>
          <w:sz w:val="32"/>
          <w:szCs w:val="32"/>
        </w:rPr>
        <w:t>2017年全市功能区噪声与上年相比，除个别区域受建筑施工影响噪声污染状况有所加重外，整体基本稳定。与国标相比，5个功能区中昼间噪声有4个功能区达标，夜间有1个功能区达标。</w:t>
      </w:r>
    </w:p>
    <w:p w:rsidR="004232EE" w:rsidRDefault="004232EE">
      <w:pPr>
        <w:ind w:firstLineChars="192" w:firstLine="614"/>
        <w:jc w:val="left"/>
        <w:rPr>
          <w:rFonts w:ascii="宋体" w:hAnsi="宋体"/>
          <w:color w:val="FF0000"/>
          <w:sz w:val="32"/>
          <w:szCs w:val="32"/>
        </w:rPr>
      </w:pPr>
    </w:p>
    <w:p w:rsidR="004232EE" w:rsidRDefault="004232EE">
      <w:pPr>
        <w:spacing w:line="360" w:lineRule="auto"/>
        <w:ind w:left="442" w:hangingChars="100" w:hanging="442"/>
        <w:rPr>
          <w:rFonts w:ascii="宋体" w:hAnsi="宋体"/>
          <w:b/>
          <w:color w:val="FF0000"/>
          <w:sz w:val="44"/>
        </w:rPr>
      </w:pPr>
    </w:p>
    <w:p w:rsidR="004232EE" w:rsidRDefault="004232EE">
      <w:pPr>
        <w:spacing w:line="560" w:lineRule="exact"/>
        <w:rPr>
          <w:rFonts w:ascii="黑体" w:eastAsia="黑体"/>
          <w:b/>
          <w:color w:val="FF0000"/>
          <w:sz w:val="44"/>
        </w:rPr>
      </w:pPr>
    </w:p>
    <w:p w:rsidR="004232EE" w:rsidRDefault="002760D7">
      <w:pPr>
        <w:spacing w:line="360" w:lineRule="auto"/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2017年环境质量监测分析</w:t>
      </w:r>
    </w:p>
    <w:p w:rsidR="004232EE" w:rsidRDefault="004232EE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4232EE" w:rsidRDefault="002760D7">
      <w:pPr>
        <w:spacing w:line="360" w:lineRule="auto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◆环境空气质量状况</w:t>
      </w:r>
    </w:p>
    <w:p w:rsidR="004232EE" w:rsidRDefault="002760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2017年监测365天，西安市环境空气质量达到二级以上的天数为180天，达标率为49.3%。环境空气质量</w:t>
      </w:r>
      <w:r>
        <w:rPr>
          <w:rFonts w:ascii="仿宋" w:eastAsia="仿宋" w:hAnsi="仿宋" w:hint="eastAsia"/>
          <w:color w:val="000000"/>
          <w:sz w:val="32"/>
          <w:szCs w:val="32"/>
        </w:rPr>
        <w:t>情况如下：优16天、</w:t>
      </w:r>
      <w:r>
        <w:rPr>
          <w:rFonts w:ascii="仿宋" w:eastAsia="仿宋" w:hAnsi="仿宋" w:hint="eastAsia"/>
          <w:sz w:val="32"/>
          <w:szCs w:val="32"/>
        </w:rPr>
        <w:t>良164天、轻度污染110天、中度污染36天、重度污染24天、严重污染15天，分别占监测总天数的4.4%、44.9%、30.1%、9.9%、6.6%和4.1%。</w:t>
      </w:r>
    </w:p>
    <w:p w:rsidR="004232EE" w:rsidRDefault="002760D7" w:rsidP="00B92E47">
      <w:pPr>
        <w:spacing w:line="360" w:lineRule="auto"/>
        <w:ind w:firstLineChars="225" w:firstLine="473"/>
        <w:rPr>
          <w:rFonts w:ascii="宋体" w:hAnsi="宋体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486275" cy="2181225"/>
            <wp:effectExtent l="0" t="0" r="0" b="0"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EE" w:rsidRDefault="002760D7">
      <w:pPr>
        <w:spacing w:line="600" w:lineRule="exact"/>
        <w:ind w:firstLineChars="1000" w:firstLine="240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sz w:val="24"/>
        </w:rPr>
        <w:t>图1  2017年环境空气质量分级比例</w:t>
      </w:r>
    </w:p>
    <w:p w:rsidR="004232EE" w:rsidRDefault="004232E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232EE" w:rsidRDefault="002760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2016年监测366天，西安市环境空气质量达到二级以上的天数为192天，达标率为52.5%。环境空气质量</w:t>
      </w:r>
      <w:r>
        <w:rPr>
          <w:rFonts w:ascii="仿宋" w:eastAsia="仿宋" w:hAnsi="仿宋" w:hint="eastAsia"/>
          <w:color w:val="000000"/>
          <w:sz w:val="32"/>
          <w:szCs w:val="32"/>
        </w:rPr>
        <w:t>情况如下：优17天、</w:t>
      </w:r>
      <w:r>
        <w:rPr>
          <w:rFonts w:ascii="仿宋" w:eastAsia="仿宋" w:hAnsi="仿宋" w:hint="eastAsia"/>
          <w:sz w:val="32"/>
          <w:szCs w:val="32"/>
        </w:rPr>
        <w:t>良175天、轻度污染97天、中度污染41天、重度污染29天、严重污染7天，分别占监测总天数的4.6%、47.8%、26.5%、11.2%、7.9%和1.9%。</w:t>
      </w:r>
    </w:p>
    <w:p w:rsidR="004232EE" w:rsidRDefault="002760D7" w:rsidP="00B92E47">
      <w:pPr>
        <w:spacing w:line="360" w:lineRule="auto"/>
        <w:ind w:firstLineChars="225" w:firstLine="473"/>
        <w:rPr>
          <w:rFonts w:ascii="宋体" w:hAnsi="宋体"/>
          <w:sz w:val="28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486275" cy="2181225"/>
            <wp:effectExtent l="0" t="0" r="0" b="0"/>
            <wp:docPr id="282" name="图片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EE" w:rsidRDefault="002760D7">
      <w:pPr>
        <w:spacing w:line="600" w:lineRule="exact"/>
        <w:ind w:firstLineChars="1000" w:firstLine="240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sz w:val="24"/>
        </w:rPr>
        <w:t>图2  2016年环境空气质量分级比例</w:t>
      </w:r>
    </w:p>
    <w:p w:rsidR="004232EE" w:rsidRDefault="004232EE">
      <w:pPr>
        <w:spacing w:line="600" w:lineRule="exact"/>
        <w:ind w:firstLineChars="1000" w:firstLine="3200"/>
        <w:rPr>
          <w:rFonts w:ascii="宋体" w:hAnsi="宋体"/>
          <w:bCs/>
          <w:sz w:val="32"/>
          <w:szCs w:val="32"/>
        </w:rPr>
      </w:pPr>
    </w:p>
    <w:p w:rsidR="004232EE" w:rsidRDefault="002760D7">
      <w:pPr>
        <w:spacing w:line="600" w:lineRule="exac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◆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环境空气质量监测</w:t>
      </w:r>
    </w:p>
    <w:p w:rsidR="004232EE" w:rsidRDefault="002760D7">
      <w:pPr>
        <w:ind w:firstLineChars="202" w:firstLine="646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西安市环境空气质量国控城市点共有13个，分别为高压开关厂、兴庆小区、纺织城、小寨、市人民体育场、高新西区、经开区、长安区、阎良区、临潼区、曲江文化产业集团、广运潭和草滩（清洁对照点）。</w:t>
      </w:r>
    </w:p>
    <w:p w:rsidR="004232EE" w:rsidRDefault="002760D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1、二氧化硫</w:t>
      </w:r>
    </w:p>
    <w:p w:rsidR="004232EE" w:rsidRDefault="002760D7">
      <w:pPr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本年度全市二氧化硫年平均值为19微克/立方米，低于国家环境空气质量二级标准0.68倍，与上年度相比年均值下降了5.0%。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24小时平均第98百分位数的浓度为48微克/立方米，</w:t>
      </w:r>
      <w:r>
        <w:rPr>
          <w:rFonts w:ascii="仿宋" w:eastAsia="仿宋" w:hAnsi="仿宋" w:hint="eastAsia"/>
          <w:sz w:val="32"/>
          <w:szCs w:val="32"/>
        </w:rPr>
        <w:t>低于国家环境空气质量日平均值二级标准0.68倍,比2016年下降5.9%。日达标率为100%。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监测点位日平均值范围为5-57微克/立方米，无超标样本。</w:t>
      </w:r>
      <w:r>
        <w:rPr>
          <w:rFonts w:ascii="仿宋" w:eastAsia="仿宋" w:hAnsi="仿宋" w:hint="eastAsia"/>
          <w:sz w:val="32"/>
          <w:szCs w:val="32"/>
        </w:rPr>
        <w:t>详见图3、图4。</w:t>
      </w:r>
    </w:p>
    <w:p w:rsidR="004232EE" w:rsidRDefault="002760D7">
      <w:pPr>
        <w:ind w:leftChars="1" w:left="1052" w:hangingChars="500" w:hanging="1050"/>
      </w:pPr>
      <w:r>
        <w:rPr>
          <w:noProof/>
        </w:rPr>
        <w:lastRenderedPageBreak/>
        <w:drawing>
          <wp:inline distT="0" distB="0" distL="0" distR="0">
            <wp:extent cx="5267325" cy="2228850"/>
            <wp:effectExtent l="19050" t="0" r="9525" b="0"/>
            <wp:docPr id="283" name="图片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28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图3  2017年、2016年国控城市点二氧化硫年平均值对比</w:t>
      </w:r>
    </w:p>
    <w:p w:rsidR="004232EE" w:rsidRDefault="004232EE"/>
    <w:p w:rsidR="004232EE" w:rsidRDefault="002760D7">
      <w:pPr>
        <w:tabs>
          <w:tab w:val="left" w:pos="840"/>
          <w:tab w:val="left" w:pos="1365"/>
        </w:tabs>
        <w:ind w:leftChars="350" w:left="1785" w:hangingChars="500" w:hanging="1050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4800600" cy="2009775"/>
            <wp:effectExtent l="19050" t="0" r="0" b="0"/>
            <wp:docPr id="284" name="图片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图4   2017年、2016年二氧化硫季平均值曲线图</w:t>
      </w:r>
    </w:p>
    <w:p w:rsidR="004232EE" w:rsidRDefault="004232EE">
      <w:pPr>
        <w:tabs>
          <w:tab w:val="left" w:pos="840"/>
          <w:tab w:val="left" w:pos="1365"/>
        </w:tabs>
        <w:ind w:firstLineChars="202" w:firstLine="646"/>
        <w:rPr>
          <w:rFonts w:ascii="仿宋_GB2312" w:eastAsia="仿宋_GB2312"/>
          <w:sz w:val="32"/>
          <w:szCs w:val="32"/>
        </w:rPr>
      </w:pPr>
    </w:p>
    <w:p w:rsidR="004232EE" w:rsidRDefault="002760D7">
      <w:pPr>
        <w:tabs>
          <w:tab w:val="left" w:pos="840"/>
          <w:tab w:val="left" w:pos="1365"/>
        </w:tabs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图3中可以看出，纺织城、市人民体育场、长安区、阎良区点位的二氧化硫年平均值都高于上年，其余各国控城市点二氧化硫年平均值都低于上年，阎良区二氧化硫年平均值最高，曲江文化产业集团二氧化硫年平均值最低。图4显示，2017年各季度监测结果与上年总体相当，一季度二氧化硫季平均值明显高于其它季度。</w:t>
      </w:r>
    </w:p>
    <w:p w:rsidR="004232EE" w:rsidRDefault="002760D7">
      <w:pPr>
        <w:tabs>
          <w:tab w:val="left" w:pos="840"/>
          <w:tab w:val="left" w:pos="1365"/>
        </w:tabs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2、二氧化氮</w:t>
      </w:r>
    </w:p>
    <w:p w:rsidR="004232EE" w:rsidRDefault="002760D7">
      <w:pPr>
        <w:tabs>
          <w:tab w:val="left" w:pos="840"/>
          <w:tab w:val="left" w:pos="1365"/>
        </w:tabs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本年度全市二氧化氮年平均浓度值为59微克/立方米，</w:t>
      </w:r>
      <w:r>
        <w:rPr>
          <w:rFonts w:ascii="仿宋" w:eastAsia="仿宋" w:hAnsi="仿宋" w:hint="eastAsia"/>
          <w:sz w:val="32"/>
          <w:szCs w:val="32"/>
        </w:rPr>
        <w:lastRenderedPageBreak/>
        <w:t>超过国家环境空气质量二级标准0.48倍，与上年相比年均值上升了11.3%。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24小时平均第98百分位数的浓度为108微克/立方米，</w:t>
      </w:r>
      <w:r>
        <w:rPr>
          <w:rFonts w:ascii="仿宋" w:eastAsia="仿宋" w:hAnsi="仿宋" w:hint="eastAsia"/>
          <w:sz w:val="32"/>
          <w:szCs w:val="32"/>
        </w:rPr>
        <w:t>超过国家环境空气质量日平均值二级标准0.35倍，比2016年上升9.1%。日达标率为84.4%。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监测点位日平均值范围为24-127微克/立方米，最大超标倍数为0.59倍</w:t>
      </w:r>
      <w:r>
        <w:rPr>
          <w:rFonts w:ascii="仿宋" w:eastAsia="仿宋" w:hAnsi="仿宋" w:hint="eastAsia"/>
          <w:sz w:val="32"/>
          <w:szCs w:val="32"/>
        </w:rPr>
        <w:t>。详见图5、图6。</w:t>
      </w:r>
    </w:p>
    <w:p w:rsidR="004232EE" w:rsidRDefault="002760D7">
      <w:pPr>
        <w:tabs>
          <w:tab w:val="left" w:pos="840"/>
          <w:tab w:val="left" w:pos="1365"/>
        </w:tabs>
        <w:ind w:left="1260" w:hangingChars="600" w:hanging="126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057775" cy="2390775"/>
            <wp:effectExtent l="19050" t="0" r="9525" b="0"/>
            <wp:docPr id="285" name="图片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图5  2017年、2016年国控城市点二氧化氮年平均值对比</w:t>
      </w:r>
    </w:p>
    <w:p w:rsidR="004232EE" w:rsidRDefault="004232EE">
      <w:pPr>
        <w:tabs>
          <w:tab w:val="left" w:pos="525"/>
        </w:tabs>
        <w:ind w:firstLineChars="200" w:firstLine="640"/>
        <w:rPr>
          <w:rFonts w:ascii="仿宋_GB2312" w:eastAsia="仿宋_GB2312"/>
          <w:sz w:val="32"/>
          <w:szCs w:val="32"/>
        </w:rPr>
      </w:pPr>
    </w:p>
    <w:p w:rsidR="004232EE" w:rsidRDefault="002760D7">
      <w:pPr>
        <w:tabs>
          <w:tab w:val="left" w:pos="525"/>
        </w:tabs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4914900" cy="2028825"/>
            <wp:effectExtent l="19050" t="0" r="0" b="0"/>
            <wp:docPr id="286" name="图片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EE" w:rsidRDefault="002760D7" w:rsidP="00B92E47">
      <w:pPr>
        <w:tabs>
          <w:tab w:val="left" w:pos="525"/>
        </w:tabs>
        <w:ind w:leftChars="257" w:left="2220" w:hangingChars="700" w:hanging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图6   2017年、2016年二氧化氮季平均值曲线图</w:t>
      </w:r>
    </w:p>
    <w:p w:rsidR="004232EE" w:rsidRDefault="004232EE">
      <w:pPr>
        <w:tabs>
          <w:tab w:val="left" w:pos="525"/>
        </w:tabs>
        <w:ind w:firstLineChars="200" w:firstLine="640"/>
        <w:rPr>
          <w:rFonts w:ascii="仿宋_GB2312" w:eastAsia="仿宋_GB2312"/>
          <w:sz w:val="32"/>
          <w:szCs w:val="32"/>
        </w:rPr>
      </w:pPr>
    </w:p>
    <w:p w:rsidR="004232EE" w:rsidRDefault="002760D7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从图中可以看出，除高新西区点位外，其余国控城市点</w:t>
      </w:r>
      <w:r>
        <w:rPr>
          <w:rFonts w:ascii="仿宋" w:eastAsia="仿宋" w:hAnsi="仿宋" w:hint="eastAsia"/>
          <w:sz w:val="32"/>
          <w:szCs w:val="32"/>
        </w:rPr>
        <w:lastRenderedPageBreak/>
        <w:t>的二氧化氮年均值都高于上年。2017年各个季度的二氧化氮季均值均高于上年同期，一季度季均值最高。</w:t>
      </w:r>
    </w:p>
    <w:p w:rsidR="004232EE" w:rsidRDefault="002760D7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4232EE" w:rsidRDefault="002760D7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本年度全市颗粒物（PM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）年平均浓度值为130微克/立方米，超过国家环境空气质量二级标准0.86倍，与上年相比年均值下降了5.1%。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24小时平均第95百分位数的浓度为319微克/立方米，</w:t>
      </w:r>
      <w:r>
        <w:rPr>
          <w:rFonts w:ascii="仿宋" w:eastAsia="仿宋" w:hAnsi="仿宋" w:hint="eastAsia"/>
          <w:sz w:val="32"/>
          <w:szCs w:val="32"/>
        </w:rPr>
        <w:t>超过国家环境空气质量日平均值二级标准1.13倍，比2016年上升5.3%。日达标率为74.8%。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监测点位日平均值范围为16-589微克/立方米，最大超标倍数为2.93倍</w:t>
      </w:r>
      <w:r>
        <w:rPr>
          <w:rFonts w:ascii="仿宋" w:eastAsia="仿宋" w:hAnsi="仿宋" w:hint="eastAsia"/>
          <w:sz w:val="32"/>
          <w:szCs w:val="32"/>
        </w:rPr>
        <w:t>。详见图7、图8。</w:t>
      </w:r>
    </w:p>
    <w:p w:rsidR="004232EE" w:rsidRDefault="002760D7">
      <w:pPr>
        <w:tabs>
          <w:tab w:val="left" w:pos="525"/>
        </w:tabs>
        <w:ind w:left="840" w:hangingChars="400" w:hanging="84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76850" cy="2152650"/>
            <wp:effectExtent l="19050" t="0" r="0" b="0"/>
            <wp:docPr id="287" name="图片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图7  2017年、2016年国控城市点颗粒物PM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年平均值对比</w:t>
      </w:r>
    </w:p>
    <w:p w:rsidR="004232EE" w:rsidRDefault="004232EE">
      <w:pPr>
        <w:ind w:firstLineChars="750" w:firstLine="1800"/>
        <w:rPr>
          <w:rFonts w:ascii="宋体" w:hAnsi="宋体"/>
          <w:sz w:val="24"/>
        </w:rPr>
      </w:pPr>
    </w:p>
    <w:p w:rsidR="004232EE" w:rsidRDefault="002760D7">
      <w:pPr>
        <w:ind w:leftChars="257" w:left="1800" w:hangingChars="600" w:hanging="1260"/>
        <w:rPr>
          <w:rFonts w:ascii="宋体" w:hAnsi="宋体"/>
          <w:color w:val="FF0000"/>
          <w:sz w:val="24"/>
        </w:rPr>
      </w:pPr>
      <w:r>
        <w:rPr>
          <w:noProof/>
        </w:rPr>
        <w:lastRenderedPageBreak/>
        <w:drawing>
          <wp:inline distT="0" distB="0" distL="0" distR="0">
            <wp:extent cx="4914900" cy="2371725"/>
            <wp:effectExtent l="19050" t="0" r="0" b="0"/>
            <wp:docPr id="288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图8  2017年、2016年颗粒物PM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季平均值曲线图</w:t>
      </w:r>
    </w:p>
    <w:p w:rsidR="004232EE" w:rsidRDefault="004232EE">
      <w:pPr>
        <w:ind w:firstLineChars="171" w:firstLine="547"/>
        <w:rPr>
          <w:rFonts w:ascii="仿宋_GB2312" w:eastAsia="仿宋_GB2312"/>
          <w:sz w:val="32"/>
          <w:szCs w:val="32"/>
        </w:rPr>
      </w:pPr>
    </w:p>
    <w:p w:rsidR="004232EE" w:rsidRDefault="002760D7">
      <w:pPr>
        <w:ind w:firstLineChars="171" w:firstLine="54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从图中可以看出，除小寨、阎良区点位外，其余国控城市点的颗粒物（PM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）年平均值都低于上年。一季度的季平均值高于去年同期，四季度的季平均值低于去年同期，一季度颗粒物（PM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）浓度值最高。</w:t>
      </w:r>
    </w:p>
    <w:p w:rsidR="004232EE" w:rsidRDefault="002760D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4232EE" w:rsidRDefault="002760D7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本年度全市颗粒物（PM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）年平均浓度值为73微克/立方米，超过国家环境空气质量二级标准1.09倍，与上年相比年均值上升了2.8%。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24小时平均第95百分位数的浓度为215微克/立方米，</w:t>
      </w:r>
      <w:r>
        <w:rPr>
          <w:rFonts w:ascii="仿宋" w:eastAsia="仿宋" w:hAnsi="仿宋" w:hint="eastAsia"/>
          <w:sz w:val="32"/>
          <w:szCs w:val="32"/>
        </w:rPr>
        <w:t>超过国家环境空气质量日平均值二级标准1.87倍，比2016年上升10.8%。日达标率为70.4%。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监测点位日平均值范围为9-493微克/立方米，最大超标倍数为5.57倍</w:t>
      </w:r>
      <w:r>
        <w:rPr>
          <w:rFonts w:ascii="仿宋" w:eastAsia="仿宋" w:hAnsi="仿宋" w:hint="eastAsia"/>
          <w:sz w:val="32"/>
          <w:szCs w:val="32"/>
        </w:rPr>
        <w:t>。详见图9、图10。</w:t>
      </w:r>
    </w:p>
    <w:p w:rsidR="004232EE" w:rsidRDefault="002760D7">
      <w:pPr>
        <w:tabs>
          <w:tab w:val="left" w:pos="525"/>
        </w:tabs>
        <w:ind w:firstLineChars="200" w:firstLine="420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5114925" cy="2371725"/>
            <wp:effectExtent l="19050" t="0" r="9525" b="0"/>
            <wp:docPr id="28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图9  2017年、2016年国控城市点颗粒物PM</w:t>
      </w:r>
      <w:r>
        <w:rPr>
          <w:rFonts w:ascii="宋体" w:hAnsi="宋体" w:hint="eastAsia"/>
          <w:sz w:val="24"/>
          <w:vertAlign w:val="subscript"/>
        </w:rPr>
        <w:t>2.5</w:t>
      </w:r>
      <w:r>
        <w:rPr>
          <w:rFonts w:ascii="宋体" w:hAnsi="宋体" w:hint="eastAsia"/>
          <w:sz w:val="24"/>
        </w:rPr>
        <w:t>年平均值对比</w:t>
      </w:r>
    </w:p>
    <w:p w:rsidR="004232EE" w:rsidRDefault="004232EE">
      <w:pPr>
        <w:rPr>
          <w:rFonts w:ascii="宋体" w:hAnsi="宋体"/>
          <w:sz w:val="24"/>
        </w:rPr>
      </w:pPr>
    </w:p>
    <w:p w:rsidR="004232EE" w:rsidRDefault="002760D7">
      <w:pPr>
        <w:ind w:leftChars="228" w:left="1319" w:hangingChars="400" w:hanging="840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4905375" cy="2028825"/>
            <wp:effectExtent l="19050" t="0" r="9525" b="0"/>
            <wp:docPr id="290" name="图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29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图10  2017年、2016年颗粒物PM</w:t>
      </w:r>
      <w:r>
        <w:rPr>
          <w:rFonts w:ascii="宋体" w:hAnsi="宋体" w:hint="eastAsia"/>
          <w:sz w:val="24"/>
          <w:vertAlign w:val="subscript"/>
        </w:rPr>
        <w:t>2.5</w:t>
      </w:r>
      <w:r>
        <w:rPr>
          <w:rFonts w:ascii="宋体" w:hAnsi="宋体" w:hint="eastAsia"/>
          <w:sz w:val="24"/>
        </w:rPr>
        <w:t>季平均值曲线图</w:t>
      </w:r>
    </w:p>
    <w:p w:rsidR="004232EE" w:rsidRDefault="004232EE" w:rsidP="00B92E47">
      <w:pPr>
        <w:ind w:firstLineChars="171" w:firstLine="479"/>
        <w:rPr>
          <w:sz w:val="28"/>
        </w:rPr>
      </w:pPr>
    </w:p>
    <w:p w:rsidR="004232EE" w:rsidRDefault="002760D7">
      <w:pPr>
        <w:ind w:firstLineChars="171" w:firstLine="547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32"/>
          <w:szCs w:val="32"/>
        </w:rPr>
        <w:t>从图中可以看出，纺织城、小寨、高新西区、长安区、阎良区国控城市点的颗粒物（PM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）年平均值都高于上年，市人民体育场、经开区、临潼区、广运潭、清洁对照点的颗粒物（PM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）年平均值都低于上年。一季度季平均值高于去年同期，四季度季平均值低于去年同期，一季度颗粒物（PM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）浓度值最高。</w:t>
      </w:r>
    </w:p>
    <w:p w:rsidR="004232EE" w:rsidRDefault="002760D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5、一氧化碳</w:t>
      </w:r>
    </w:p>
    <w:p w:rsidR="004232EE" w:rsidRDefault="002760D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本年度全市一氧化碳日平均最大值为</w:t>
      </w:r>
      <w:r>
        <w:rPr>
          <w:rFonts w:ascii="仿宋" w:eastAsia="仿宋" w:hAnsi="仿宋" w:cs="宋体" w:hint="eastAsia"/>
          <w:kern w:val="0"/>
          <w:sz w:val="32"/>
          <w:szCs w:val="32"/>
        </w:rPr>
        <w:t>4.9毫克/立方米。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24小时平均第95百分位数的浓度为2.8毫克/立方米，低于</w:t>
      </w:r>
      <w:r>
        <w:rPr>
          <w:rFonts w:ascii="仿宋" w:eastAsia="仿宋" w:hAnsi="仿宋" w:hint="eastAsia"/>
          <w:sz w:val="32"/>
          <w:szCs w:val="32"/>
        </w:rPr>
        <w:t>国家环境空气质量日平均值二级标准0.30倍，比2016年下降了9.7%。日达标率为99.2%。</w:t>
      </w:r>
      <w:r>
        <w:rPr>
          <w:rFonts w:ascii="仿宋" w:eastAsia="仿宋" w:hAnsi="仿宋" w:cs="宋体" w:hint="eastAsia"/>
          <w:kern w:val="0"/>
          <w:sz w:val="32"/>
          <w:szCs w:val="32"/>
        </w:rPr>
        <w:t>监测点位日平均值范围为0.8-4.9毫克/立方米，最大超标倍数为0.23倍。</w:t>
      </w:r>
    </w:p>
    <w:p w:rsidR="004232EE" w:rsidRDefault="002760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6、臭氧日最大8小时平均值 </w:t>
      </w:r>
    </w:p>
    <w:p w:rsidR="004232EE" w:rsidRDefault="002760D7">
      <w:pPr>
        <w:tabs>
          <w:tab w:val="left" w:pos="525"/>
        </w:tabs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本年度全市臭氧日最大8小时平均值的最大值为268微克/立方米。日最大8小时</w:t>
      </w:r>
      <w:r>
        <w:rPr>
          <w:rFonts w:ascii="仿宋" w:eastAsia="仿宋" w:hAnsi="仿宋" w:cs="宋体" w:hint="eastAsia"/>
          <w:kern w:val="0"/>
          <w:sz w:val="32"/>
          <w:szCs w:val="32"/>
        </w:rPr>
        <w:t>平均第90百分位数的浓度为185微克/立方米，高于</w:t>
      </w:r>
      <w:r>
        <w:rPr>
          <w:rFonts w:ascii="仿宋" w:eastAsia="仿宋" w:hAnsi="仿宋" w:hint="eastAsia"/>
          <w:sz w:val="32"/>
          <w:szCs w:val="32"/>
        </w:rPr>
        <w:t>国家环境空气质量二级标准0.16倍，比2016年上升了14.2%。日达标率为83.3%。日最大8小时平均值的范围为</w:t>
      </w:r>
      <w:r>
        <w:rPr>
          <w:rFonts w:ascii="仿宋" w:eastAsia="仿宋" w:hAnsi="仿宋" w:cs="宋体" w:hint="eastAsia"/>
          <w:kern w:val="0"/>
          <w:sz w:val="32"/>
          <w:szCs w:val="32"/>
        </w:rPr>
        <w:t>8-268微克/立方米，最大超标倍数为0.68倍。</w:t>
      </w:r>
    </w:p>
    <w:p w:rsidR="004232EE" w:rsidRDefault="002760D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7、降尘</w:t>
      </w:r>
    </w:p>
    <w:p w:rsidR="004232EE" w:rsidRDefault="002760D7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2017年度降尘监测点位14个，</w:t>
      </w:r>
      <w:r>
        <w:rPr>
          <w:rFonts w:ascii="仿宋" w:eastAsia="仿宋" w:hAnsi="仿宋" w:hint="eastAsia"/>
          <w:sz w:val="32"/>
          <w:szCs w:val="32"/>
        </w:rPr>
        <w:t>取得有效数据166个，自然降尘量月平均值范围在4.5-47.8吨/（平方公里·30天）之间，年平均值为13.2吨/（平方公里·30天）。与上年度相比，降尘年平均浓度下降了5.0%，</w:t>
      </w:r>
      <w:r>
        <w:rPr>
          <w:rFonts w:ascii="仿宋" w:eastAsia="仿宋" w:hAnsi="仿宋" w:hint="eastAsia"/>
          <w:color w:val="000000"/>
          <w:sz w:val="32"/>
          <w:szCs w:val="32"/>
        </w:rPr>
        <w:t>详见图11。</w:t>
      </w:r>
    </w:p>
    <w:p w:rsidR="004232EE" w:rsidRDefault="002760D7">
      <w:pPr>
        <w:ind w:leftChars="200" w:left="630" w:hangingChars="100" w:hanging="210"/>
        <w:rPr>
          <w:rFonts w:ascii="仿宋_GB2312" w:eastAsia="仿宋_GB2312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914900" cy="2190750"/>
            <wp:effectExtent l="19050" t="0" r="0" b="0"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9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EE" w:rsidRDefault="002760D7">
      <w:pPr>
        <w:ind w:leftChars="352" w:left="739" w:firstLineChars="550" w:firstLine="13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图11    2017年降尘量与上年同期比较</w:t>
      </w:r>
    </w:p>
    <w:p w:rsidR="004232EE" w:rsidRDefault="004232EE">
      <w:pPr>
        <w:ind w:leftChars="352" w:left="739"/>
        <w:rPr>
          <w:rFonts w:ascii="仿宋" w:eastAsia="仿宋" w:hAnsi="仿宋"/>
          <w:sz w:val="32"/>
          <w:szCs w:val="32"/>
        </w:rPr>
      </w:pPr>
    </w:p>
    <w:p w:rsidR="004232EE" w:rsidRDefault="002760D7">
      <w:pPr>
        <w:ind w:leftChars="352" w:left="73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8、降水</w:t>
      </w:r>
    </w:p>
    <w:p w:rsidR="004232EE" w:rsidRDefault="002760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市有3个降水监测点位，分别是莲湖区站、省气象局和市监测站。共获取降水样本123个，无酸雨样本数。全年降水pH值监测范围为5.7-7.4，pH年平均值为6.7，酸雨发生频率为0。2016年降水pH值监测范围为6.1-7.1，pH年平均值为6.7，获取降水样本108个，无酸雨样本数。</w:t>
      </w:r>
    </w:p>
    <w:p w:rsidR="004232EE" w:rsidRDefault="002760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9、小结</w:t>
      </w:r>
    </w:p>
    <w:p w:rsidR="004232EE" w:rsidRDefault="002760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监测结果表明，2017年我市环境空气中的二氧化硫、一氧化碳达到国家环境空气质量二级标准，二氧化氮、颗粒物（PM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）、颗粒物（PM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）和臭氧均超过国家环境空气质量二级标准，且二氧化氮和臭氧浓度与2016年相比增加明显。降尘年平均值与上年相比略有下降。无酸雨污染。颗粒物为环境空气中的首要污染物。</w:t>
      </w:r>
    </w:p>
    <w:p w:rsidR="004232EE" w:rsidRDefault="004232EE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4232EE" w:rsidRDefault="002760D7"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水环境质量监测分析</w:t>
      </w:r>
    </w:p>
    <w:p w:rsidR="004232EE" w:rsidRDefault="002760D7">
      <w:pPr>
        <w:spacing w:line="360" w:lineRule="auto"/>
        <w:ind w:firstLineChars="200" w:firstLine="640"/>
        <w:outlineLvl w:val="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7年对西安市15条河流的32个断面、排污渠系的3个断面、河流源头的18个断面以及饮用水源地的4个监测点位分别进行了常规监测。</w:t>
      </w:r>
    </w:p>
    <w:p w:rsidR="004232EE" w:rsidRDefault="002760D7">
      <w:pPr>
        <w:spacing w:line="360" w:lineRule="auto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、评价因子</w:t>
      </w:r>
    </w:p>
    <w:p w:rsidR="004232EE" w:rsidRDefault="002760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选取《地表水环境质量标准》表1中除水温、粪大肠菌群、总氮外的二十一项(</w:t>
      </w:r>
      <w:r>
        <w:rPr>
          <w:rFonts w:ascii="仿宋" w:eastAsia="仿宋" w:hAnsi="仿宋" w:hint="eastAsia"/>
          <w:kern w:val="0"/>
          <w:sz w:val="32"/>
          <w:szCs w:val="32"/>
        </w:rPr>
        <w:t>pH、溶解氧、高锰酸盐指数、化学需氧量、生化需氧量、氨氮、总磷、铜、锌、氟化物、硒、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砷、汞、镉、铬(六价)、铅、氰化物、挥发酚、石油类、阴离子表面活性剂和硫化物)</w:t>
      </w:r>
      <w:r>
        <w:rPr>
          <w:rFonts w:ascii="仿宋" w:eastAsia="仿宋" w:hAnsi="仿宋" w:hint="eastAsia"/>
          <w:sz w:val="32"/>
          <w:szCs w:val="32"/>
        </w:rPr>
        <w:t>为评价因子，进行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7年水质状况评价，并与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6年同期水质做以比较。</w:t>
      </w:r>
    </w:p>
    <w:p w:rsidR="004232EE" w:rsidRDefault="002760D7">
      <w:pPr>
        <w:spacing w:line="360" w:lineRule="auto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、评价标准</w:t>
      </w:r>
    </w:p>
    <w:p w:rsidR="004232EE" w:rsidRDefault="002760D7">
      <w:pPr>
        <w:autoSpaceDE w:val="0"/>
        <w:autoSpaceDN w:val="0"/>
        <w:adjustRightInd w:val="0"/>
        <w:spacing w:line="360" w:lineRule="auto"/>
        <w:ind w:firstLine="56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各河流</w:t>
      </w:r>
      <w:r>
        <w:rPr>
          <w:rFonts w:ascii="仿宋" w:eastAsia="仿宋" w:hAnsi="仿宋" w:hint="eastAsia"/>
          <w:kern w:val="0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河流源头</w:t>
      </w:r>
      <w:r>
        <w:rPr>
          <w:rFonts w:ascii="仿宋" w:eastAsia="仿宋" w:hAnsi="仿宋" w:hint="eastAsia"/>
          <w:kern w:val="0"/>
          <w:sz w:val="32"/>
          <w:szCs w:val="32"/>
        </w:rPr>
        <w:t>的水质状况根据《地表水环境质量标准》（GB3838-2002）按功能区划分类别进行评价；饮用水源地水质分别按照《地表水环境质量标准》（GB3838-2002）Ⅲ类标准和《地下水质量标准》（GB/T14848-93）Ⅲ类标准进行评价；排污渠系3个断面的水质按照《地表水环境质量标准》（GB3838-2002）的Ⅳ类标准进行评价。</w:t>
      </w:r>
    </w:p>
    <w:p w:rsidR="004232EE" w:rsidRDefault="002760D7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、评价结果</w:t>
      </w:r>
    </w:p>
    <w:p w:rsidR="004232EE" w:rsidRDefault="002760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河流水质评价结果见表1和图12，排污渠系水质综合评价结果见表2，河流主要污染物评价结果见图13，河源水质评价结果见图14。</w:t>
      </w:r>
    </w:p>
    <w:tbl>
      <w:tblPr>
        <w:tblpPr w:leftFromText="180" w:rightFromText="180" w:vertAnchor="text" w:horzAnchor="margin" w:tblpY="346"/>
        <w:tblW w:w="8118" w:type="dxa"/>
        <w:tblBorders>
          <w:top w:val="single" w:sz="4" w:space="0" w:color="339966"/>
          <w:bottom w:val="thinThickSmallGap" w:sz="24" w:space="0" w:color="339966"/>
          <w:insideH w:val="single" w:sz="4" w:space="0" w:color="339966"/>
          <w:insideV w:val="single" w:sz="4" w:space="0" w:color="339966"/>
        </w:tblBorders>
        <w:tblLayout w:type="fixed"/>
        <w:tblLook w:val="04A0"/>
      </w:tblPr>
      <w:tblGrid>
        <w:gridCol w:w="2194"/>
        <w:gridCol w:w="1975"/>
        <w:gridCol w:w="3949"/>
      </w:tblGrid>
      <w:tr w:rsidR="004232EE">
        <w:trPr>
          <w:trHeight w:val="645"/>
        </w:trPr>
        <w:tc>
          <w:tcPr>
            <w:tcW w:w="8118" w:type="dxa"/>
            <w:gridSpan w:val="3"/>
            <w:shd w:val="clear" w:color="auto" w:fill="339966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240" w:lineRule="atLeast"/>
              <w:ind w:firstLineChars="494" w:firstLine="1190"/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表12017年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度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河流水质类别评价结果</w:t>
            </w:r>
          </w:p>
        </w:tc>
      </w:tr>
      <w:tr w:rsidR="004232EE">
        <w:trPr>
          <w:trHeight w:val="400"/>
        </w:trPr>
        <w:tc>
          <w:tcPr>
            <w:tcW w:w="2194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水质类别</w:t>
            </w:r>
          </w:p>
        </w:tc>
        <w:tc>
          <w:tcPr>
            <w:tcW w:w="1975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断面个数（个）</w:t>
            </w:r>
          </w:p>
        </w:tc>
        <w:tc>
          <w:tcPr>
            <w:tcW w:w="3949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占监测断面的百分比（</w:t>
            </w:r>
            <w:r>
              <w:rPr>
                <w:rFonts w:ascii="宋体" w:hAnsi="宋体"/>
                <w:kern w:val="0"/>
                <w:sz w:val="24"/>
              </w:rPr>
              <w:t>%）</w:t>
            </w:r>
          </w:p>
        </w:tc>
      </w:tr>
      <w:tr w:rsidR="004232EE">
        <w:trPr>
          <w:trHeight w:val="400"/>
        </w:trPr>
        <w:tc>
          <w:tcPr>
            <w:tcW w:w="2194" w:type="dxa"/>
            <w:vAlign w:val="center"/>
          </w:tcPr>
          <w:p w:rsidR="004232EE" w:rsidRDefault="00B6787A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 w:rsidR="002760D7">
              <w:rPr>
                <w:rFonts w:ascii="宋体" w:hAnsi="宋体" w:hint="eastAsia"/>
                <w:kern w:val="0"/>
                <w:sz w:val="24"/>
              </w:rPr>
              <w:instrText>= 2 \* ROMAN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 w:rsidR="002760D7">
              <w:rPr>
                <w:rFonts w:ascii="宋体" w:hAnsi="宋体"/>
                <w:kern w:val="0"/>
                <w:sz w:val="24"/>
              </w:rPr>
              <w:t>II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 w:rsidR="002760D7"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3949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25.0</w:t>
            </w:r>
          </w:p>
        </w:tc>
      </w:tr>
      <w:tr w:rsidR="004232EE">
        <w:trPr>
          <w:trHeight w:val="400"/>
        </w:trPr>
        <w:tc>
          <w:tcPr>
            <w:tcW w:w="2194" w:type="dxa"/>
            <w:vAlign w:val="center"/>
          </w:tcPr>
          <w:p w:rsidR="004232EE" w:rsidRDefault="00B6787A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 w:rsidR="002760D7">
              <w:rPr>
                <w:rFonts w:ascii="宋体" w:hAnsi="宋体" w:hint="eastAsia"/>
                <w:kern w:val="0"/>
                <w:sz w:val="24"/>
              </w:rPr>
              <w:instrText>= 3 \* ROMAN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 w:rsidR="002760D7">
              <w:rPr>
                <w:rFonts w:ascii="宋体" w:hAnsi="宋体"/>
                <w:kern w:val="0"/>
                <w:sz w:val="24"/>
              </w:rPr>
              <w:t>III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 w:rsidR="002760D7"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15.6</w:t>
            </w:r>
          </w:p>
        </w:tc>
      </w:tr>
      <w:tr w:rsidR="004232EE">
        <w:trPr>
          <w:trHeight w:val="349"/>
        </w:trPr>
        <w:tc>
          <w:tcPr>
            <w:tcW w:w="2194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IV类</w:t>
            </w:r>
          </w:p>
        </w:tc>
        <w:tc>
          <w:tcPr>
            <w:tcW w:w="1975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15.6</w:t>
            </w:r>
          </w:p>
        </w:tc>
      </w:tr>
      <w:tr w:rsidR="004232EE">
        <w:trPr>
          <w:trHeight w:val="257"/>
        </w:trPr>
        <w:tc>
          <w:tcPr>
            <w:tcW w:w="2194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V类</w:t>
            </w:r>
          </w:p>
        </w:tc>
        <w:tc>
          <w:tcPr>
            <w:tcW w:w="1975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12.5</w:t>
            </w:r>
          </w:p>
        </w:tc>
      </w:tr>
      <w:tr w:rsidR="004232EE">
        <w:trPr>
          <w:trHeight w:val="579"/>
        </w:trPr>
        <w:tc>
          <w:tcPr>
            <w:tcW w:w="2194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劣</w:t>
            </w:r>
            <w:r>
              <w:rPr>
                <w:rFonts w:ascii="宋体" w:hAnsi="宋体"/>
                <w:kern w:val="0"/>
                <w:sz w:val="24"/>
              </w:rPr>
              <w:t>V类</w:t>
            </w:r>
          </w:p>
        </w:tc>
        <w:tc>
          <w:tcPr>
            <w:tcW w:w="1975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3949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31.3</w:t>
            </w:r>
          </w:p>
        </w:tc>
      </w:tr>
    </w:tbl>
    <w:p w:rsidR="004232EE" w:rsidRDefault="004232EE">
      <w:pPr>
        <w:spacing w:line="360" w:lineRule="auto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4232EE" w:rsidRDefault="002760D7">
      <w:pPr>
        <w:spacing w:line="360" w:lineRule="auto"/>
        <w:rPr>
          <w:rFonts w:ascii="仿宋_GB2312" w:eastAsia="仿宋_GB2312"/>
          <w:color w:val="FF0000"/>
          <w:sz w:val="32"/>
          <w:szCs w:val="32"/>
        </w:rPr>
      </w:pPr>
      <w:r>
        <w:rPr>
          <w:noProof/>
          <w:szCs w:val="3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-47625</wp:posOffset>
            </wp:positionV>
            <wp:extent cx="5481955" cy="3952875"/>
            <wp:effectExtent l="19050" t="0" r="4445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8806"/>
        <w:tblW w:w="8322" w:type="dxa"/>
        <w:tblBorders>
          <w:top w:val="single" w:sz="6" w:space="0" w:color="339966"/>
          <w:bottom w:val="single" w:sz="6" w:space="0" w:color="339966"/>
          <w:insideH w:val="single" w:sz="6" w:space="0" w:color="339966"/>
          <w:insideV w:val="single" w:sz="6" w:space="0" w:color="339966"/>
        </w:tblBorders>
        <w:tblLayout w:type="fixed"/>
        <w:tblLook w:val="04A0"/>
      </w:tblPr>
      <w:tblGrid>
        <w:gridCol w:w="657"/>
        <w:gridCol w:w="1152"/>
        <w:gridCol w:w="1134"/>
        <w:gridCol w:w="1134"/>
        <w:gridCol w:w="1134"/>
        <w:gridCol w:w="3111"/>
      </w:tblGrid>
      <w:tr w:rsidR="004232EE">
        <w:trPr>
          <w:trHeight w:val="645"/>
        </w:trPr>
        <w:tc>
          <w:tcPr>
            <w:tcW w:w="8322" w:type="dxa"/>
            <w:gridSpan w:val="6"/>
            <w:shd w:val="clear" w:color="auto" w:fill="339966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color w:val="FFFFFF" w:themeColor="background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表22017年度排污渠系水质综合评价结果</w:t>
            </w:r>
          </w:p>
        </w:tc>
      </w:tr>
      <w:tr w:rsidR="004232EE">
        <w:trPr>
          <w:cantSplit/>
          <w:trHeight w:val="412"/>
        </w:trPr>
        <w:tc>
          <w:tcPr>
            <w:tcW w:w="657" w:type="dxa"/>
            <w:vMerge w:val="restart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断面</w:t>
            </w:r>
          </w:p>
          <w:p w:rsidR="004232EE" w:rsidRDefault="002760D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152" w:type="dxa"/>
            <w:vMerge w:val="restart"/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断面</w:t>
            </w:r>
          </w:p>
          <w:p w:rsidR="004232EE" w:rsidRDefault="002760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68" w:type="dxa"/>
            <w:gridSpan w:val="2"/>
            <w:vAlign w:val="center"/>
          </w:tcPr>
          <w:p w:rsidR="004232EE" w:rsidRDefault="002760D7" w:rsidP="00B92E47">
            <w:pPr>
              <w:autoSpaceDE w:val="0"/>
              <w:autoSpaceDN w:val="0"/>
              <w:adjustRightInd w:val="0"/>
              <w:ind w:firstLineChars="99" w:firstLine="208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污染综合指数</w:t>
            </w:r>
          </w:p>
        </w:tc>
        <w:tc>
          <w:tcPr>
            <w:tcW w:w="1134" w:type="dxa"/>
            <w:vMerge w:val="restart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变化百分比(%)</w:t>
            </w:r>
          </w:p>
        </w:tc>
        <w:tc>
          <w:tcPr>
            <w:tcW w:w="3111" w:type="dxa"/>
            <w:vMerge w:val="restart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主要污染物</w:t>
            </w:r>
          </w:p>
        </w:tc>
      </w:tr>
      <w:tr w:rsidR="004232EE">
        <w:trPr>
          <w:cantSplit/>
          <w:trHeight w:val="615"/>
        </w:trPr>
        <w:tc>
          <w:tcPr>
            <w:tcW w:w="657" w:type="dxa"/>
            <w:vMerge/>
            <w:vAlign w:val="center"/>
          </w:tcPr>
          <w:p w:rsidR="004232EE" w:rsidRDefault="004232E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4232EE" w:rsidRDefault="004232E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2016年</w:t>
            </w:r>
          </w:p>
        </w:tc>
        <w:tc>
          <w:tcPr>
            <w:tcW w:w="1134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2017年</w:t>
            </w:r>
          </w:p>
        </w:tc>
        <w:tc>
          <w:tcPr>
            <w:tcW w:w="1134" w:type="dxa"/>
            <w:vMerge/>
            <w:vAlign w:val="center"/>
          </w:tcPr>
          <w:p w:rsidR="004232EE" w:rsidRDefault="004232EE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111" w:type="dxa"/>
            <w:vMerge/>
            <w:vAlign w:val="center"/>
          </w:tcPr>
          <w:p w:rsidR="004232EE" w:rsidRDefault="004232E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232EE">
        <w:trPr>
          <w:trHeight w:val="628"/>
        </w:trPr>
        <w:tc>
          <w:tcPr>
            <w:tcW w:w="657" w:type="dxa"/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92</w:t>
            </w:r>
          </w:p>
        </w:tc>
        <w:tc>
          <w:tcPr>
            <w:tcW w:w="1152" w:type="dxa"/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贾家滩</w:t>
            </w:r>
          </w:p>
        </w:tc>
        <w:tc>
          <w:tcPr>
            <w:tcW w:w="1134" w:type="dxa"/>
            <w:vAlign w:val="center"/>
          </w:tcPr>
          <w:p w:rsidR="004232EE" w:rsidRDefault="002760D7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4.36</w:t>
            </w:r>
          </w:p>
        </w:tc>
        <w:tc>
          <w:tcPr>
            <w:tcW w:w="1134" w:type="dxa"/>
            <w:vAlign w:val="center"/>
          </w:tcPr>
          <w:p w:rsidR="004232EE" w:rsidRDefault="002760D7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3.72</w:t>
            </w:r>
          </w:p>
        </w:tc>
        <w:tc>
          <w:tcPr>
            <w:tcW w:w="1134" w:type="dxa"/>
            <w:vAlign w:val="center"/>
          </w:tcPr>
          <w:p w:rsidR="004232EE" w:rsidRDefault="002760D7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-14.7</w:t>
            </w:r>
          </w:p>
        </w:tc>
        <w:tc>
          <w:tcPr>
            <w:tcW w:w="3111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</w:t>
            </w:r>
          </w:p>
        </w:tc>
      </w:tr>
      <w:tr w:rsidR="004232EE">
        <w:trPr>
          <w:trHeight w:val="608"/>
        </w:trPr>
        <w:tc>
          <w:tcPr>
            <w:tcW w:w="657" w:type="dxa"/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1152" w:type="dxa"/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西兴隆</w:t>
            </w:r>
          </w:p>
        </w:tc>
        <w:tc>
          <w:tcPr>
            <w:tcW w:w="1134" w:type="dxa"/>
            <w:vAlign w:val="center"/>
          </w:tcPr>
          <w:p w:rsidR="004232EE" w:rsidRDefault="002760D7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7.02</w:t>
            </w:r>
          </w:p>
        </w:tc>
        <w:tc>
          <w:tcPr>
            <w:tcW w:w="1134" w:type="dxa"/>
            <w:vAlign w:val="center"/>
          </w:tcPr>
          <w:p w:rsidR="004232EE" w:rsidRDefault="002760D7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5.27</w:t>
            </w:r>
          </w:p>
        </w:tc>
        <w:tc>
          <w:tcPr>
            <w:tcW w:w="1134" w:type="dxa"/>
            <w:vAlign w:val="center"/>
          </w:tcPr>
          <w:p w:rsidR="004232EE" w:rsidRDefault="002760D7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-24.9</w:t>
            </w:r>
          </w:p>
        </w:tc>
        <w:tc>
          <w:tcPr>
            <w:tcW w:w="3111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氨氮</w:t>
            </w:r>
          </w:p>
        </w:tc>
      </w:tr>
      <w:tr w:rsidR="004232EE">
        <w:trPr>
          <w:trHeight w:val="615"/>
        </w:trPr>
        <w:tc>
          <w:tcPr>
            <w:tcW w:w="657" w:type="dxa"/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121</w:t>
            </w:r>
          </w:p>
        </w:tc>
        <w:tc>
          <w:tcPr>
            <w:tcW w:w="1152" w:type="dxa"/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小北门</w:t>
            </w:r>
          </w:p>
        </w:tc>
        <w:tc>
          <w:tcPr>
            <w:tcW w:w="1134" w:type="dxa"/>
            <w:vAlign w:val="center"/>
          </w:tcPr>
          <w:p w:rsidR="004232EE" w:rsidRDefault="002760D7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15.39</w:t>
            </w:r>
          </w:p>
        </w:tc>
        <w:tc>
          <w:tcPr>
            <w:tcW w:w="1134" w:type="dxa"/>
            <w:vAlign w:val="center"/>
          </w:tcPr>
          <w:p w:rsidR="004232EE" w:rsidRDefault="002760D7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14.28</w:t>
            </w:r>
          </w:p>
        </w:tc>
        <w:tc>
          <w:tcPr>
            <w:tcW w:w="1134" w:type="dxa"/>
            <w:vAlign w:val="center"/>
          </w:tcPr>
          <w:p w:rsidR="004232EE" w:rsidRDefault="002760D7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-7.2</w:t>
            </w:r>
          </w:p>
        </w:tc>
        <w:tc>
          <w:tcPr>
            <w:tcW w:w="3111" w:type="dxa"/>
            <w:vAlign w:val="center"/>
          </w:tcPr>
          <w:p w:rsidR="004232EE" w:rsidRDefault="002760D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氨氮、总磷、化学需氧量、生化需氧量、高锰酸盐指数</w:t>
            </w:r>
          </w:p>
        </w:tc>
      </w:tr>
      <w:tr w:rsidR="004232EE">
        <w:trPr>
          <w:trHeight w:val="610"/>
        </w:trPr>
        <w:tc>
          <w:tcPr>
            <w:tcW w:w="1809" w:type="dxa"/>
            <w:gridSpan w:val="2"/>
            <w:tcBorders>
              <w:bottom w:val="thinThickSmallGap" w:sz="24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 计</w:t>
            </w:r>
          </w:p>
        </w:tc>
        <w:tc>
          <w:tcPr>
            <w:tcW w:w="1134" w:type="dxa"/>
            <w:tcBorders>
              <w:bottom w:val="thinThickSmallGap" w:sz="24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26.77</w:t>
            </w:r>
          </w:p>
        </w:tc>
        <w:tc>
          <w:tcPr>
            <w:tcW w:w="1134" w:type="dxa"/>
            <w:tcBorders>
              <w:bottom w:val="thinThickSmallGap" w:sz="24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23.27</w:t>
            </w:r>
          </w:p>
        </w:tc>
        <w:tc>
          <w:tcPr>
            <w:tcW w:w="1134" w:type="dxa"/>
            <w:tcBorders>
              <w:bottom w:val="thinThickSmallGap" w:sz="24" w:space="0" w:color="339966"/>
            </w:tcBorders>
            <w:vAlign w:val="center"/>
          </w:tcPr>
          <w:p w:rsidR="004232EE" w:rsidRDefault="002760D7">
            <w:pPr>
              <w:ind w:firstLineChars="100" w:firstLine="210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-13.1 </w:t>
            </w:r>
          </w:p>
        </w:tc>
        <w:tc>
          <w:tcPr>
            <w:tcW w:w="3111" w:type="dxa"/>
            <w:tcBorders>
              <w:bottom w:val="thinThickSmallGap" w:sz="24" w:space="0" w:color="339966"/>
            </w:tcBorders>
            <w:vAlign w:val="center"/>
          </w:tcPr>
          <w:p w:rsidR="004232EE" w:rsidRDefault="004232E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4232EE" w:rsidRDefault="004232EE">
      <w:pPr>
        <w:spacing w:line="360" w:lineRule="auto"/>
        <w:rPr>
          <w:rFonts w:ascii="仿宋_GB2312" w:eastAsia="仿宋_GB2312"/>
          <w:color w:val="FF0000"/>
          <w:sz w:val="32"/>
          <w:szCs w:val="32"/>
        </w:rPr>
      </w:pPr>
    </w:p>
    <w:p w:rsidR="004232EE" w:rsidRDefault="004232EE">
      <w:pPr>
        <w:spacing w:line="360" w:lineRule="auto"/>
        <w:rPr>
          <w:rFonts w:ascii="仿宋_GB2312" w:eastAsia="仿宋_GB2312"/>
          <w:color w:val="FF0000"/>
          <w:sz w:val="32"/>
          <w:szCs w:val="32"/>
        </w:rPr>
      </w:pPr>
    </w:p>
    <w:p w:rsidR="004232EE" w:rsidRDefault="004232EE">
      <w:pPr>
        <w:spacing w:line="360" w:lineRule="auto"/>
        <w:rPr>
          <w:rFonts w:ascii="仿宋_GB2312" w:eastAsia="仿宋_GB2312"/>
          <w:color w:val="FF0000"/>
          <w:sz w:val="32"/>
          <w:szCs w:val="32"/>
        </w:rPr>
      </w:pPr>
    </w:p>
    <w:p w:rsidR="004232EE" w:rsidRDefault="004232EE">
      <w:pPr>
        <w:spacing w:line="360" w:lineRule="auto"/>
        <w:rPr>
          <w:rFonts w:ascii="仿宋_GB2312" w:eastAsia="仿宋_GB2312"/>
          <w:color w:val="FF0000"/>
          <w:sz w:val="32"/>
          <w:szCs w:val="32"/>
        </w:rPr>
      </w:pPr>
    </w:p>
    <w:p w:rsidR="004232EE" w:rsidRDefault="004232EE">
      <w:pPr>
        <w:spacing w:line="360" w:lineRule="auto"/>
        <w:rPr>
          <w:rFonts w:ascii="仿宋_GB2312" w:eastAsia="仿宋_GB2312"/>
          <w:color w:val="FF0000"/>
          <w:sz w:val="32"/>
          <w:szCs w:val="32"/>
        </w:rPr>
      </w:pPr>
    </w:p>
    <w:p w:rsidR="004232EE" w:rsidRDefault="004232EE">
      <w:pPr>
        <w:spacing w:line="360" w:lineRule="auto"/>
        <w:rPr>
          <w:rFonts w:ascii="仿宋_GB2312" w:eastAsia="仿宋_GB2312"/>
          <w:color w:val="FF0000"/>
          <w:sz w:val="32"/>
          <w:szCs w:val="32"/>
        </w:rPr>
      </w:pPr>
    </w:p>
    <w:p w:rsidR="004232EE" w:rsidRDefault="004232EE">
      <w:pPr>
        <w:spacing w:line="360" w:lineRule="auto"/>
        <w:rPr>
          <w:rFonts w:ascii="仿宋_GB2312" w:eastAsia="仿宋_GB2312"/>
          <w:color w:val="FF0000"/>
          <w:sz w:val="32"/>
          <w:szCs w:val="32"/>
        </w:rPr>
      </w:pPr>
    </w:p>
    <w:p w:rsidR="004232EE" w:rsidRDefault="004232EE">
      <w:pPr>
        <w:spacing w:line="360" w:lineRule="auto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4232EE" w:rsidRDefault="004232EE">
      <w:pPr>
        <w:ind w:firstLineChars="800" w:firstLine="1920"/>
        <w:rPr>
          <w:rFonts w:ascii="宋体" w:hAnsi="宋体"/>
          <w:color w:val="FF0000"/>
          <w:sz w:val="24"/>
        </w:rPr>
      </w:pPr>
    </w:p>
    <w:p w:rsidR="004232EE" w:rsidRDefault="004232EE">
      <w:pPr>
        <w:rPr>
          <w:rFonts w:ascii="宋体" w:hAnsi="宋体"/>
          <w:color w:val="FF0000"/>
          <w:sz w:val="24"/>
        </w:rPr>
      </w:pPr>
    </w:p>
    <w:p w:rsidR="004232EE" w:rsidRDefault="002760D7">
      <w:pPr>
        <w:ind w:firstLineChars="650" w:firstLine="1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图12   2017年度河流水质与上年同期比较</w:t>
      </w:r>
    </w:p>
    <w:p w:rsidR="004232EE" w:rsidRDefault="004232EE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232EE" w:rsidRDefault="004232E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232EE" w:rsidRDefault="004232E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232EE" w:rsidRDefault="004232EE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232EE" w:rsidRDefault="002760D7">
      <w:pPr>
        <w:spacing w:line="360" w:lineRule="auto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81625" cy="3238500"/>
            <wp:effectExtent l="19050" t="0" r="9525" b="0"/>
            <wp:wrapNone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2EE" w:rsidRDefault="004232E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232EE" w:rsidRDefault="004232E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232EE" w:rsidRDefault="004232EE">
      <w:pPr>
        <w:ind w:firstLineChars="600" w:firstLine="1440"/>
        <w:rPr>
          <w:rFonts w:ascii="宋体" w:hAnsi="宋体"/>
          <w:sz w:val="24"/>
        </w:rPr>
      </w:pPr>
    </w:p>
    <w:p w:rsidR="004232EE" w:rsidRDefault="004232EE">
      <w:pPr>
        <w:ind w:firstLineChars="600" w:firstLine="1440"/>
        <w:rPr>
          <w:rFonts w:ascii="宋体" w:hAnsi="宋体"/>
          <w:sz w:val="24"/>
        </w:rPr>
      </w:pPr>
    </w:p>
    <w:p w:rsidR="004232EE" w:rsidRDefault="004232EE">
      <w:pPr>
        <w:ind w:firstLineChars="600" w:firstLine="1440"/>
        <w:rPr>
          <w:rFonts w:ascii="宋体" w:hAnsi="宋体"/>
          <w:sz w:val="24"/>
        </w:rPr>
      </w:pPr>
    </w:p>
    <w:p w:rsidR="004232EE" w:rsidRDefault="004232E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232EE" w:rsidRDefault="004232EE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232EE" w:rsidRDefault="004232E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232EE" w:rsidRDefault="004232E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232EE" w:rsidRDefault="002760D7">
      <w:pPr>
        <w:ind w:firstLineChars="650" w:firstLine="1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图13  2017年度河流主要污染物与上年同期比较</w:t>
      </w:r>
    </w:p>
    <w:p w:rsidR="004232EE" w:rsidRDefault="002760D7">
      <w:pPr>
        <w:spacing w:line="360" w:lineRule="auto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5482590" cy="4467225"/>
            <wp:effectExtent l="19050" t="0" r="3947" b="0"/>
            <wp:wrapNone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446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2EE" w:rsidRDefault="004232E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232EE" w:rsidRDefault="004232EE">
      <w:pPr>
        <w:spacing w:line="360" w:lineRule="auto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4232EE" w:rsidRDefault="004232EE">
      <w:pPr>
        <w:autoSpaceDE w:val="0"/>
        <w:autoSpaceDN w:val="0"/>
        <w:adjustRightInd w:val="0"/>
        <w:spacing w:line="360" w:lineRule="auto"/>
        <w:ind w:firstLine="560"/>
        <w:rPr>
          <w:rFonts w:ascii="仿宋_GB2312" w:eastAsia="仿宋_GB2312"/>
          <w:color w:val="FF0000"/>
          <w:kern w:val="0"/>
          <w:sz w:val="32"/>
          <w:szCs w:val="32"/>
        </w:rPr>
      </w:pPr>
    </w:p>
    <w:p w:rsidR="004232EE" w:rsidRDefault="004232EE">
      <w:pPr>
        <w:autoSpaceDE w:val="0"/>
        <w:autoSpaceDN w:val="0"/>
        <w:adjustRightInd w:val="0"/>
        <w:spacing w:line="360" w:lineRule="auto"/>
        <w:ind w:firstLine="560"/>
        <w:rPr>
          <w:rFonts w:ascii="仿宋_GB2312" w:eastAsia="仿宋_GB2312"/>
          <w:color w:val="FF0000"/>
          <w:kern w:val="0"/>
          <w:sz w:val="32"/>
          <w:szCs w:val="32"/>
        </w:rPr>
      </w:pPr>
    </w:p>
    <w:p w:rsidR="004232EE" w:rsidRDefault="004232EE">
      <w:pPr>
        <w:autoSpaceDE w:val="0"/>
        <w:autoSpaceDN w:val="0"/>
        <w:adjustRightInd w:val="0"/>
        <w:spacing w:line="360" w:lineRule="auto"/>
        <w:ind w:firstLine="560"/>
        <w:rPr>
          <w:rFonts w:ascii="仿宋_GB2312" w:eastAsia="仿宋_GB2312"/>
          <w:color w:val="FF0000"/>
          <w:kern w:val="0"/>
          <w:sz w:val="32"/>
          <w:szCs w:val="32"/>
        </w:rPr>
      </w:pPr>
    </w:p>
    <w:p w:rsidR="004232EE" w:rsidRDefault="004232EE">
      <w:pPr>
        <w:autoSpaceDE w:val="0"/>
        <w:autoSpaceDN w:val="0"/>
        <w:adjustRightInd w:val="0"/>
        <w:spacing w:line="360" w:lineRule="auto"/>
        <w:ind w:firstLine="560"/>
        <w:rPr>
          <w:rFonts w:ascii="仿宋_GB2312" w:eastAsia="仿宋_GB2312"/>
          <w:color w:val="FF0000"/>
          <w:kern w:val="0"/>
          <w:sz w:val="32"/>
          <w:szCs w:val="32"/>
        </w:rPr>
      </w:pPr>
    </w:p>
    <w:p w:rsidR="004232EE" w:rsidRDefault="004232EE">
      <w:pPr>
        <w:rPr>
          <w:rFonts w:ascii="宋体" w:hAnsi="宋体"/>
          <w:color w:val="FF0000"/>
          <w:sz w:val="24"/>
        </w:rPr>
      </w:pPr>
    </w:p>
    <w:p w:rsidR="004232EE" w:rsidRDefault="004232EE">
      <w:pPr>
        <w:ind w:leftChars="352" w:left="739" w:firstLineChars="550" w:firstLine="1320"/>
        <w:rPr>
          <w:rFonts w:ascii="宋体" w:hAnsi="宋体"/>
          <w:color w:val="FF0000"/>
          <w:sz w:val="24"/>
        </w:rPr>
      </w:pPr>
    </w:p>
    <w:p w:rsidR="004232EE" w:rsidRDefault="004232EE">
      <w:pPr>
        <w:ind w:leftChars="352" w:left="739" w:firstLineChars="550" w:firstLine="1320"/>
        <w:rPr>
          <w:rFonts w:ascii="宋体" w:hAnsi="宋体"/>
          <w:color w:val="FF0000"/>
          <w:sz w:val="24"/>
        </w:rPr>
      </w:pPr>
    </w:p>
    <w:p w:rsidR="004232EE" w:rsidRDefault="004232EE">
      <w:pPr>
        <w:ind w:leftChars="352" w:left="739" w:firstLineChars="550" w:firstLine="1320"/>
        <w:rPr>
          <w:rFonts w:ascii="宋体" w:hAnsi="宋体"/>
          <w:color w:val="FF0000"/>
          <w:sz w:val="24"/>
        </w:rPr>
      </w:pPr>
    </w:p>
    <w:p w:rsidR="004232EE" w:rsidRDefault="004232EE">
      <w:pPr>
        <w:ind w:leftChars="352" w:left="739" w:firstLineChars="550" w:firstLine="1320"/>
        <w:rPr>
          <w:rFonts w:ascii="宋体" w:hAnsi="宋体"/>
          <w:color w:val="FF0000"/>
          <w:sz w:val="24"/>
        </w:rPr>
      </w:pPr>
    </w:p>
    <w:p w:rsidR="004232EE" w:rsidRDefault="004232EE">
      <w:pPr>
        <w:ind w:leftChars="352" w:left="739" w:firstLineChars="550" w:firstLine="1320"/>
        <w:rPr>
          <w:rFonts w:ascii="宋体" w:hAnsi="宋体"/>
          <w:color w:val="FF0000"/>
          <w:sz w:val="24"/>
        </w:rPr>
      </w:pPr>
    </w:p>
    <w:p w:rsidR="004232EE" w:rsidRDefault="004232EE">
      <w:pPr>
        <w:ind w:leftChars="352" w:left="739" w:firstLineChars="550" w:firstLine="1320"/>
        <w:rPr>
          <w:rFonts w:ascii="宋体" w:hAnsi="宋体"/>
          <w:color w:val="FF0000"/>
          <w:sz w:val="24"/>
        </w:rPr>
      </w:pPr>
    </w:p>
    <w:p w:rsidR="004232EE" w:rsidRDefault="004232EE">
      <w:pPr>
        <w:ind w:leftChars="352" w:left="739" w:firstLineChars="550" w:firstLine="1320"/>
        <w:rPr>
          <w:rFonts w:ascii="宋体" w:hAnsi="宋体"/>
          <w:color w:val="FF0000"/>
          <w:sz w:val="24"/>
        </w:rPr>
      </w:pPr>
    </w:p>
    <w:p w:rsidR="004232EE" w:rsidRDefault="004232EE">
      <w:pPr>
        <w:ind w:leftChars="352" w:left="739" w:firstLineChars="550" w:firstLine="1320"/>
        <w:rPr>
          <w:rFonts w:ascii="宋体" w:hAnsi="宋体"/>
          <w:color w:val="FF0000"/>
          <w:sz w:val="24"/>
        </w:rPr>
      </w:pPr>
    </w:p>
    <w:p w:rsidR="004232EE" w:rsidRDefault="002760D7">
      <w:pPr>
        <w:ind w:leftChars="352" w:left="739" w:firstLineChars="550" w:firstLine="13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图14   2017年度河源水质与上年同期比较</w:t>
      </w:r>
    </w:p>
    <w:p w:rsidR="004232EE" w:rsidRDefault="004232EE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color w:val="FF0000"/>
          <w:kern w:val="0"/>
          <w:sz w:val="32"/>
          <w:szCs w:val="32"/>
        </w:rPr>
      </w:pPr>
    </w:p>
    <w:p w:rsidR="004232EE" w:rsidRDefault="002760D7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监测结果表明：</w:t>
      </w:r>
    </w:p>
    <w:p w:rsidR="004232EE" w:rsidRDefault="002760D7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2017年西安市河流整体水质污染有所减轻，综合污染指数较上年同期下降19.9%。15条河流中，除皂河污染有所加重外，其余14条河流污染状况均有不同程度地减轻，其综合污染指数较上年同期降幅在4.9%～48.2%之间。15条河流水质污染状况由重至轻依次为：</w:t>
      </w:r>
      <w:r>
        <w:rPr>
          <w:rFonts w:ascii="仿宋" w:eastAsia="仿宋" w:hAnsi="仿宋" w:hint="eastAsia"/>
          <w:sz w:val="32"/>
          <w:szCs w:val="32"/>
        </w:rPr>
        <w:t>皂河〉新河〉临河〉泾河〉滈河〉潏河〉石川河〉零河〉渭河〉沣河〉浐河〉灞河〉黑河〉涝河〉辋川河。</w:t>
      </w:r>
    </w:p>
    <w:p w:rsidR="004232EE" w:rsidRDefault="002760D7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15条河流的32个监测断面中，有16个监测断面的水质达到其功能区划分类别，它们分别是咸阳铁桥、艾蒿坪、田峪口、</w:t>
      </w:r>
      <w:r>
        <w:rPr>
          <w:rFonts w:ascii="仿宋" w:eastAsia="仿宋" w:hAnsi="仿宋" w:cs="宋体" w:hint="eastAsia"/>
          <w:kern w:val="0"/>
          <w:sz w:val="32"/>
          <w:szCs w:val="32"/>
        </w:rPr>
        <w:t>黑河入渭口、</w:t>
      </w:r>
      <w:r>
        <w:rPr>
          <w:rFonts w:ascii="仿宋" w:eastAsia="仿宋" w:hAnsi="仿宋" w:hint="eastAsia"/>
          <w:kern w:val="0"/>
          <w:sz w:val="32"/>
          <w:szCs w:val="32"/>
        </w:rPr>
        <w:t>涝河入渭口、孙家卫桥、严家渠、三里桥、蓝田县城、马渡王、灞河口、高桥、田家湾、杜曲、石川河入渭和白家坪。在32个监测断面中，有8个断面达到Ⅱ类水质，5个断面达到Ⅲ类水质，5个断面达到Ⅳ类水质，4个断面为V类水质，其余10个断面均为劣</w:t>
      </w:r>
      <w:r>
        <w:rPr>
          <w:rFonts w:ascii="仿宋" w:eastAsia="仿宋" w:hAnsi="仿宋"/>
          <w:kern w:val="0"/>
          <w:sz w:val="32"/>
          <w:szCs w:val="32"/>
        </w:rPr>
        <w:t>V</w:t>
      </w:r>
      <w:r>
        <w:rPr>
          <w:rFonts w:ascii="仿宋" w:eastAsia="仿宋" w:hAnsi="仿宋" w:hint="eastAsia"/>
          <w:kern w:val="0"/>
          <w:sz w:val="32"/>
          <w:szCs w:val="32"/>
        </w:rPr>
        <w:t>类水质。</w:t>
      </w:r>
    </w:p>
    <w:p w:rsidR="004232EE" w:rsidRDefault="002760D7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年西安市河流的主要污染物由重至轻依次为：氨氮、总磷、化学需氧量、高锰酸盐指数、生化需氧量和石油类，其污染分担率分别为：26.7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、20.6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、11.0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、9.5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、8.2%和7.3%，6项主要污染物的污染合计为83.3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。与上年相比，除石油类的污染程度有所加重外，其余各项主要污染物的污染程度均有不同程度地减轻，</w:t>
      </w:r>
      <w:r>
        <w:rPr>
          <w:rFonts w:ascii="仿宋" w:eastAsia="仿宋" w:hAnsi="仿宋" w:hint="eastAsia"/>
          <w:kern w:val="0"/>
          <w:sz w:val="32"/>
          <w:szCs w:val="32"/>
        </w:rPr>
        <w:t>降幅在6.5%～25.8%之间。</w:t>
      </w:r>
    </w:p>
    <w:p w:rsidR="004232EE" w:rsidRDefault="002760D7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2017年排污渠系3</w:t>
      </w:r>
      <w:r>
        <w:rPr>
          <w:rFonts w:ascii="仿宋" w:eastAsia="仿宋" w:hAnsi="仿宋"/>
          <w:kern w:val="0"/>
          <w:sz w:val="32"/>
          <w:szCs w:val="32"/>
        </w:rPr>
        <w:t>个</w:t>
      </w:r>
      <w:r>
        <w:rPr>
          <w:rFonts w:ascii="仿宋" w:eastAsia="仿宋" w:hAnsi="仿宋" w:hint="eastAsia"/>
          <w:kern w:val="0"/>
          <w:sz w:val="32"/>
          <w:szCs w:val="32"/>
        </w:rPr>
        <w:t>监测</w:t>
      </w:r>
      <w:r>
        <w:rPr>
          <w:rFonts w:ascii="仿宋" w:eastAsia="仿宋" w:hAnsi="仿宋"/>
          <w:kern w:val="0"/>
          <w:sz w:val="32"/>
          <w:szCs w:val="32"/>
        </w:rPr>
        <w:t>断面</w:t>
      </w:r>
      <w:r>
        <w:rPr>
          <w:rFonts w:ascii="仿宋" w:eastAsia="仿宋" w:hAnsi="仿宋" w:hint="eastAsia"/>
          <w:kern w:val="0"/>
          <w:sz w:val="32"/>
          <w:szCs w:val="32"/>
        </w:rPr>
        <w:t>中，</w:t>
      </w:r>
      <w:r>
        <w:rPr>
          <w:rFonts w:ascii="仿宋" w:eastAsia="仿宋" w:hAnsi="仿宋" w:hint="eastAsia"/>
          <w:sz w:val="32"/>
          <w:szCs w:val="32"/>
        </w:rPr>
        <w:t>贾家滩断面水质达到</w:t>
      </w:r>
      <w:r>
        <w:rPr>
          <w:rFonts w:ascii="仿宋" w:eastAsia="仿宋" w:hAnsi="仿宋"/>
          <w:kern w:val="0"/>
          <w:sz w:val="32"/>
          <w:szCs w:val="32"/>
        </w:rPr>
        <w:lastRenderedPageBreak/>
        <w:t>《地表水环境质量标准》（GB3838-2002）的</w:t>
      </w:r>
      <w:r>
        <w:rPr>
          <w:rFonts w:ascii="仿宋" w:eastAsia="仿宋" w:hAnsi="仿宋" w:hint="eastAsia"/>
          <w:kern w:val="0"/>
          <w:sz w:val="32"/>
          <w:szCs w:val="32"/>
        </w:rPr>
        <w:t>Ⅳ</w:t>
      </w:r>
      <w:r>
        <w:rPr>
          <w:rFonts w:ascii="仿宋" w:eastAsia="仿宋" w:hAnsi="仿宋"/>
          <w:kern w:val="0"/>
          <w:sz w:val="32"/>
          <w:szCs w:val="32"/>
        </w:rPr>
        <w:t>类标准</w:t>
      </w:r>
      <w:r>
        <w:rPr>
          <w:rFonts w:ascii="仿宋" w:eastAsia="仿宋" w:hAnsi="仿宋" w:hint="eastAsia"/>
          <w:kern w:val="0"/>
          <w:sz w:val="32"/>
          <w:szCs w:val="32"/>
        </w:rPr>
        <w:t>，为Ⅳ类水质。西兴隆和小北门断面水质均超标，分别为</w:t>
      </w:r>
      <w:r>
        <w:rPr>
          <w:rFonts w:ascii="仿宋" w:eastAsia="仿宋" w:hAnsi="仿宋"/>
          <w:kern w:val="0"/>
          <w:sz w:val="32"/>
          <w:szCs w:val="32"/>
        </w:rPr>
        <w:t>V</w:t>
      </w:r>
      <w:r>
        <w:rPr>
          <w:rFonts w:ascii="仿宋" w:eastAsia="仿宋" w:hAnsi="仿宋" w:hint="eastAsia"/>
          <w:kern w:val="0"/>
          <w:sz w:val="32"/>
          <w:szCs w:val="32"/>
        </w:rPr>
        <w:t>类水质和劣</w:t>
      </w:r>
      <w:r>
        <w:rPr>
          <w:rFonts w:ascii="仿宋" w:eastAsia="仿宋" w:hAnsi="仿宋"/>
          <w:kern w:val="0"/>
          <w:sz w:val="32"/>
          <w:szCs w:val="32"/>
        </w:rPr>
        <w:t>V</w:t>
      </w:r>
      <w:r>
        <w:rPr>
          <w:rFonts w:ascii="仿宋" w:eastAsia="仿宋" w:hAnsi="仿宋" w:hint="eastAsia"/>
          <w:kern w:val="0"/>
          <w:sz w:val="32"/>
          <w:szCs w:val="32"/>
        </w:rPr>
        <w:t>类水质。</w:t>
      </w:r>
      <w:r>
        <w:rPr>
          <w:rFonts w:ascii="仿宋" w:eastAsia="仿宋" w:hAnsi="仿宋"/>
          <w:kern w:val="0"/>
          <w:sz w:val="32"/>
          <w:szCs w:val="32"/>
        </w:rPr>
        <w:t>与</w:t>
      </w:r>
      <w:r>
        <w:rPr>
          <w:rFonts w:ascii="仿宋" w:eastAsia="仿宋" w:hAnsi="仿宋" w:hint="eastAsia"/>
          <w:kern w:val="0"/>
          <w:sz w:val="32"/>
          <w:szCs w:val="32"/>
        </w:rPr>
        <w:t>上</w:t>
      </w:r>
      <w:r>
        <w:rPr>
          <w:rFonts w:ascii="仿宋" w:eastAsia="仿宋" w:hAnsi="仿宋"/>
          <w:kern w:val="0"/>
          <w:sz w:val="32"/>
          <w:szCs w:val="32"/>
        </w:rPr>
        <w:t>年同期相比</w:t>
      </w:r>
      <w:r>
        <w:rPr>
          <w:rFonts w:ascii="仿宋" w:eastAsia="仿宋" w:hAnsi="仿宋" w:hint="eastAsia"/>
          <w:kern w:val="0"/>
          <w:sz w:val="32"/>
          <w:szCs w:val="32"/>
        </w:rPr>
        <w:t>，三个断面的</w:t>
      </w:r>
      <w:r>
        <w:rPr>
          <w:rFonts w:ascii="仿宋" w:eastAsia="仿宋" w:hAnsi="仿宋" w:hint="eastAsia"/>
          <w:sz w:val="32"/>
          <w:szCs w:val="32"/>
        </w:rPr>
        <w:t>综合污染指数较上年同期均有所下降，降幅在7.2%</w:t>
      </w:r>
      <w:r>
        <w:rPr>
          <w:rFonts w:ascii="仿宋" w:eastAsia="仿宋" w:hAnsi="仿宋" w:hint="eastAsia"/>
          <w:kern w:val="0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24.9%之间。</w:t>
      </w:r>
      <w:r>
        <w:rPr>
          <w:rFonts w:ascii="仿宋" w:eastAsia="仿宋" w:hAnsi="仿宋" w:hint="eastAsia"/>
          <w:kern w:val="0"/>
          <w:sz w:val="32"/>
          <w:szCs w:val="32"/>
        </w:rPr>
        <w:t>排污渠系整体水质污染减轻，综合污染指数较上年同期下降13.1%。主要污染物为氨氮。</w:t>
      </w:r>
    </w:p>
    <w:p w:rsidR="004232EE" w:rsidRDefault="002760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2017年西安市饮用水源地的取水总量为</w:t>
      </w:r>
      <w:r>
        <w:rPr>
          <w:rFonts w:ascii="仿宋" w:eastAsia="仿宋" w:hAnsi="仿宋" w:hint="eastAsia"/>
          <w:sz w:val="32"/>
          <w:szCs w:val="32"/>
        </w:rPr>
        <w:t>45215.94</w:t>
      </w:r>
      <w:r>
        <w:rPr>
          <w:rFonts w:ascii="仿宋" w:eastAsia="仿宋" w:hAnsi="仿宋" w:hint="eastAsia"/>
          <w:kern w:val="0"/>
          <w:sz w:val="32"/>
          <w:szCs w:val="32"/>
        </w:rPr>
        <w:t>万吨，其中地表水</w:t>
      </w:r>
      <w:r>
        <w:rPr>
          <w:rFonts w:ascii="仿宋" w:eastAsia="仿宋" w:hAnsi="仿宋" w:hint="eastAsia"/>
          <w:sz w:val="32"/>
          <w:szCs w:val="32"/>
        </w:rPr>
        <w:t>38209.88</w:t>
      </w:r>
      <w:r>
        <w:rPr>
          <w:rFonts w:ascii="仿宋" w:eastAsia="仿宋" w:hAnsi="仿宋" w:hint="eastAsia"/>
          <w:kern w:val="0"/>
          <w:sz w:val="32"/>
          <w:szCs w:val="32"/>
        </w:rPr>
        <w:t>万吨，地下水</w:t>
      </w:r>
      <w:r>
        <w:rPr>
          <w:rFonts w:ascii="仿宋" w:eastAsia="仿宋" w:hAnsi="仿宋" w:hint="eastAsia"/>
          <w:sz w:val="32"/>
          <w:szCs w:val="32"/>
        </w:rPr>
        <w:t>7006.06</w:t>
      </w:r>
      <w:r>
        <w:rPr>
          <w:rFonts w:ascii="仿宋" w:eastAsia="仿宋" w:hAnsi="仿宋" w:hint="eastAsia"/>
          <w:kern w:val="0"/>
          <w:sz w:val="32"/>
          <w:szCs w:val="32"/>
        </w:rPr>
        <w:t>万吨。</w:t>
      </w:r>
      <w:r>
        <w:rPr>
          <w:rFonts w:ascii="仿宋" w:eastAsia="仿宋" w:hAnsi="仿宋" w:hint="eastAsia"/>
          <w:sz w:val="32"/>
          <w:szCs w:val="32"/>
        </w:rPr>
        <w:t>黑河地表水源地共监测62项，均达到《地表水环境质量标准》（GB3838-2002）的Ⅲ类标准；浐河、沣渭和渭滨地下水源地共监测23项，其中渭滨地下水源地均达到《地下水质量标准》（GB/T14848-93）的Ⅲ类标准，沣渭地下水源地3、4、12月超Ⅲ类标准，浐河6月超Ⅲ类标准。2017年西安市城市饮用水源地水质达标率为98.1%。。2017年6月进行了饮用水源地全分析监测（地表水109项、地下水39项），达标率为95.3%。</w:t>
      </w:r>
    </w:p>
    <w:p w:rsidR="004232EE" w:rsidRPr="00B92E47" w:rsidRDefault="002760D7" w:rsidP="00B92E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河流源头的18个监测断面中，</w:t>
      </w:r>
      <w:r w:rsidR="00B92E47" w:rsidRPr="00B92E47">
        <w:rPr>
          <w:rFonts w:ascii="仿宋" w:eastAsia="仿宋" w:hAnsi="仿宋"/>
          <w:sz w:val="32"/>
          <w:szCs w:val="32"/>
        </w:rPr>
        <w:t xml:space="preserve">有15个断面（黑峪、田峪、涝峪、高冠峪、祥峪、沣峪、库峪、汤峪、石砭峪、太乙峪、小峪、辋川、清河、流峪、灞源）水质达标。 </w:t>
      </w:r>
      <w:r>
        <w:rPr>
          <w:rFonts w:ascii="仿宋" w:eastAsia="仿宋" w:hAnsi="仿宋" w:hint="eastAsia"/>
          <w:sz w:val="32"/>
          <w:szCs w:val="32"/>
        </w:rPr>
        <w:t>18个监测断面中，</w:t>
      </w:r>
      <w:r>
        <w:rPr>
          <w:rFonts w:ascii="仿宋" w:eastAsia="仿宋" w:hAnsi="仿宋" w:hint="eastAsia"/>
          <w:kern w:val="0"/>
          <w:sz w:val="32"/>
          <w:szCs w:val="32"/>
        </w:rPr>
        <w:t>有2个断面达到</w:t>
      </w:r>
      <w:r w:rsidR="00B6787A">
        <w:rPr>
          <w:rFonts w:ascii="仿宋" w:eastAsia="仿宋" w:hAnsi="仿宋"/>
          <w:kern w:val="0"/>
          <w:sz w:val="32"/>
          <w:szCs w:val="32"/>
        </w:rPr>
        <w:fldChar w:fldCharType="begin"/>
      </w:r>
      <w:r>
        <w:rPr>
          <w:rFonts w:ascii="仿宋" w:eastAsia="仿宋" w:hAnsi="仿宋" w:hint="eastAsia"/>
          <w:kern w:val="0"/>
          <w:sz w:val="32"/>
          <w:szCs w:val="32"/>
        </w:rPr>
        <w:instrText>= 1 \* ROMAN</w:instrText>
      </w:r>
      <w:r w:rsidR="00B6787A">
        <w:rPr>
          <w:rFonts w:ascii="仿宋" w:eastAsia="仿宋" w:hAnsi="仿宋"/>
          <w:kern w:val="0"/>
          <w:sz w:val="32"/>
          <w:szCs w:val="32"/>
        </w:rPr>
        <w:fldChar w:fldCharType="separate"/>
      </w:r>
      <w:r>
        <w:rPr>
          <w:rFonts w:ascii="仿宋" w:eastAsia="仿宋" w:hAnsi="仿宋"/>
          <w:kern w:val="0"/>
          <w:sz w:val="32"/>
          <w:szCs w:val="32"/>
        </w:rPr>
        <w:t>I</w:t>
      </w:r>
      <w:r w:rsidR="00B6787A">
        <w:rPr>
          <w:rFonts w:ascii="仿宋" w:eastAsia="仿宋" w:hAnsi="仿宋"/>
          <w:kern w:val="0"/>
          <w:sz w:val="32"/>
          <w:szCs w:val="32"/>
        </w:rPr>
        <w:fldChar w:fldCharType="end"/>
      </w:r>
      <w:r>
        <w:rPr>
          <w:rFonts w:ascii="仿宋" w:eastAsia="仿宋" w:hAnsi="仿宋" w:hint="eastAsia"/>
          <w:kern w:val="0"/>
          <w:sz w:val="32"/>
          <w:szCs w:val="32"/>
        </w:rPr>
        <w:t>类水质，有13个断面达到Ⅱ类水质，1个断面达到Ⅲ类水质，1个断面达到Ⅳ类水质， 1个断面为劣</w:t>
      </w:r>
      <w:r>
        <w:rPr>
          <w:rFonts w:ascii="仿宋" w:eastAsia="仿宋" w:hAnsi="仿宋"/>
          <w:kern w:val="0"/>
          <w:sz w:val="32"/>
          <w:szCs w:val="32"/>
        </w:rPr>
        <w:t>V</w:t>
      </w:r>
      <w:r>
        <w:rPr>
          <w:rFonts w:ascii="仿宋" w:eastAsia="仿宋" w:hAnsi="仿宋" w:hint="eastAsia"/>
          <w:kern w:val="0"/>
          <w:sz w:val="32"/>
          <w:szCs w:val="32"/>
        </w:rPr>
        <w:t>类水质。</w:t>
      </w:r>
      <w:r>
        <w:rPr>
          <w:rFonts w:ascii="仿宋" w:eastAsia="仿宋" w:hAnsi="仿宋" w:hint="eastAsia"/>
          <w:sz w:val="32"/>
          <w:szCs w:val="32"/>
        </w:rPr>
        <w:t>与上年同期相比，除太平峪和黑峪</w:t>
      </w:r>
      <w:r>
        <w:rPr>
          <w:rFonts w:ascii="仿宋" w:eastAsia="仿宋" w:hAnsi="仿宋" w:hint="eastAsia"/>
          <w:sz w:val="32"/>
          <w:szCs w:val="32"/>
        </w:rPr>
        <w:lastRenderedPageBreak/>
        <w:t>断面的综合污染指数较上年同期分别上升了47.0%和6.7%外，其余16个断面的水质污染状况均有不同程度地减轻，综合污染指数降幅在5.9%～51.9%之间。河源整体水质污染有所减轻，综合污染指数较上年同期下降20.4%。主要污染物为高锰酸盐指数和总磷。</w:t>
      </w:r>
    </w:p>
    <w:p w:rsidR="004232EE" w:rsidRDefault="004232E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color w:val="FF0000"/>
        </w:rPr>
      </w:pPr>
    </w:p>
    <w:p w:rsidR="004232EE" w:rsidRDefault="002760D7"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◆声环境质量监测</w:t>
      </w:r>
    </w:p>
    <w:p w:rsidR="004232EE" w:rsidRDefault="002760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1、功能区噪声监测</w:t>
      </w:r>
    </w:p>
    <w:p w:rsidR="004232EE" w:rsidRDefault="002760D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全市功能区噪声监测为陕西宾馆、建筑科技大学、东六路、省气象局、钟楼、汉庭连锁酒店丝绸群雕店（原高压电瓷厂）、四医大贵宾楼（原搪瓷厂）、西五路8个点位，分别代表5个类型区域，其中陕西宾馆代表特殊住宅区；建筑科技大学代表居民文教区；东六路、省气象局、钟楼代表</w:t>
      </w:r>
      <w:r>
        <w:rPr>
          <w:rFonts w:ascii="仿宋" w:eastAsia="仿宋" w:hAnsi="仿宋" w:hint="eastAsia"/>
          <w:color w:val="000000"/>
          <w:sz w:val="32"/>
          <w:szCs w:val="32"/>
        </w:rPr>
        <w:t>居住、商业、工业混杂区</w:t>
      </w:r>
      <w:r>
        <w:rPr>
          <w:rFonts w:ascii="仿宋" w:eastAsia="仿宋" w:hAnsi="仿宋" w:hint="eastAsia"/>
          <w:sz w:val="32"/>
          <w:szCs w:val="32"/>
        </w:rPr>
        <w:t>；汉庭连锁酒店丝绸群雕店代表工业集中区；四医大贵宾楼和西五路代表交通干线道路两侧区。每季度监测一次,全年共监测4次。</w:t>
      </w:r>
    </w:p>
    <w:p w:rsidR="004232EE" w:rsidRDefault="002760D7">
      <w:pPr>
        <w:ind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2017年对西安市功能区噪声进行了例行监测，结果见表3及图15和图16。</w:t>
      </w:r>
    </w:p>
    <w:tbl>
      <w:tblPr>
        <w:tblW w:w="8528" w:type="dxa"/>
        <w:tblLayout w:type="fixed"/>
        <w:tblLook w:val="04A0"/>
      </w:tblPr>
      <w:tblGrid>
        <w:gridCol w:w="776"/>
        <w:gridCol w:w="776"/>
        <w:gridCol w:w="776"/>
        <w:gridCol w:w="776"/>
        <w:gridCol w:w="776"/>
        <w:gridCol w:w="776"/>
        <w:gridCol w:w="778"/>
        <w:gridCol w:w="776"/>
        <w:gridCol w:w="778"/>
        <w:gridCol w:w="776"/>
        <w:gridCol w:w="764"/>
      </w:tblGrid>
      <w:tr w:rsidR="004232EE">
        <w:trPr>
          <w:trHeight w:val="300"/>
        </w:trPr>
        <w:tc>
          <w:tcPr>
            <w:tcW w:w="8528" w:type="dxa"/>
            <w:gridSpan w:val="11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000000" w:fill="339966"/>
            <w:vAlign w:val="center"/>
          </w:tcPr>
          <w:p w:rsidR="004232EE" w:rsidRDefault="002760D7">
            <w:pPr>
              <w:jc w:val="center"/>
              <w:rPr>
                <w:rFonts w:ascii="黑体" w:eastAsia="黑体" w:hAnsi="黑体"/>
                <w:color w:val="FFFFFF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</w:rPr>
              <w:t>表3</w:t>
            </w:r>
            <w:r>
              <w:rPr>
                <w:rFonts w:ascii="宋体" w:hAnsi="宋体"/>
                <w:b/>
                <w:color w:val="FFFFFF"/>
                <w:sz w:val="24"/>
              </w:rPr>
              <w:t xml:space="preserve">  201</w:t>
            </w:r>
            <w:r>
              <w:rPr>
                <w:rFonts w:ascii="宋体" w:hAnsi="宋体" w:hint="eastAsia"/>
                <w:b/>
                <w:color w:val="FFFFFF"/>
                <w:sz w:val="24"/>
              </w:rPr>
              <w:t>7</w:t>
            </w:r>
            <w:r>
              <w:rPr>
                <w:rFonts w:ascii="宋体" w:hAnsi="宋体"/>
                <w:b/>
                <w:color w:val="FFFFFF"/>
                <w:sz w:val="24"/>
              </w:rPr>
              <w:t>年</w:t>
            </w:r>
            <w:r>
              <w:rPr>
                <w:rFonts w:ascii="宋体" w:hAnsi="宋体" w:hint="eastAsia"/>
                <w:b/>
                <w:color w:val="FFFFFF"/>
                <w:sz w:val="24"/>
              </w:rPr>
              <w:t>西安市功能区噪声定期监测统计</w:t>
            </w:r>
          </w:p>
        </w:tc>
      </w:tr>
      <w:tr w:rsidR="004232EE">
        <w:trPr>
          <w:trHeight w:val="645"/>
        </w:trPr>
        <w:tc>
          <w:tcPr>
            <w:tcW w:w="776" w:type="dxa"/>
            <w:vMerge w:val="restar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功能区</w:t>
            </w:r>
          </w:p>
        </w:tc>
        <w:tc>
          <w:tcPr>
            <w:tcW w:w="1552" w:type="dxa"/>
            <w:gridSpan w:val="2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特殊住宅区</w:t>
            </w:r>
          </w:p>
        </w:tc>
        <w:tc>
          <w:tcPr>
            <w:tcW w:w="1552" w:type="dxa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居民文教区</w:t>
            </w:r>
          </w:p>
        </w:tc>
        <w:tc>
          <w:tcPr>
            <w:tcW w:w="1554" w:type="dxa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居住、商业、工业混杂区</w:t>
            </w:r>
          </w:p>
        </w:tc>
        <w:tc>
          <w:tcPr>
            <w:tcW w:w="1554" w:type="dxa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工业集中区</w:t>
            </w:r>
          </w:p>
        </w:tc>
        <w:tc>
          <w:tcPr>
            <w:tcW w:w="1540" w:type="dxa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交通干线道路两侧区</w:t>
            </w:r>
          </w:p>
        </w:tc>
      </w:tr>
      <w:tr w:rsidR="004232EE">
        <w:trPr>
          <w:trHeight w:val="645"/>
        </w:trPr>
        <w:tc>
          <w:tcPr>
            <w:tcW w:w="776" w:type="dxa"/>
            <w:vMerge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vAlign w:val="center"/>
          </w:tcPr>
          <w:p w:rsidR="004232EE" w:rsidRDefault="004232EE">
            <w:pPr>
              <w:jc w:val="center"/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</w:tr>
      <w:tr w:rsidR="004232EE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2016年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t>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t>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</w:p>
        </w:tc>
      </w:tr>
      <w:tr w:rsidR="004232EE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2017</w:t>
            </w:r>
            <w:r>
              <w:rPr>
                <w:rFonts w:ascii="宋体" w:hAnsi="宋体" w:hint="eastAsia"/>
                <w:color w:val="000000"/>
              </w:rPr>
              <w:lastRenderedPageBreak/>
              <w:t>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lastRenderedPageBreak/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t>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t>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t>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t>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</w:t>
            </w:r>
          </w:p>
        </w:tc>
      </w:tr>
      <w:tr w:rsidR="004232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lastRenderedPageBreak/>
              <w:t>国标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339966"/>
            </w:tcBorders>
            <w:shd w:val="clear" w:color="auto" w:fill="auto"/>
            <w:vAlign w:val="center"/>
          </w:tcPr>
          <w:p w:rsidR="004232EE" w:rsidRDefault="002760D7"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</w:tbl>
    <w:p w:rsidR="004232EE" w:rsidRDefault="002760D7">
      <w:pPr>
        <w:spacing w:line="360" w:lineRule="auto"/>
        <w:ind w:firstLineChars="192" w:firstLine="403"/>
      </w:pPr>
      <w:r>
        <w:rPr>
          <w:rFonts w:hint="eastAsia"/>
        </w:rPr>
        <w:t>注：栏目中倾斜字体的噪声值属于超标。</w:t>
      </w:r>
    </w:p>
    <w:p w:rsidR="004232EE" w:rsidRDefault="002760D7">
      <w:pPr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表3可知，全市功能区噪声监测5个区域中，昼间噪声除居民文教区外均达标；夜间噪声除工业集中区外其余4个功能区均超标，即特殊住宅区、居民文教区、混杂区和交通干线道路两侧区的夜间噪声分别超过标准6分贝、9分贝、1分贝和8分贝。5个功能区中噪声最低的是特殊住宅区夜间噪声，最高的是交通干线道路两侧区的昼间噪声。</w:t>
      </w:r>
    </w:p>
    <w:p w:rsidR="004232EE" w:rsidRDefault="002760D7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从图15至图16可看出：与上年相比，特殊住宅区的昼间和夜间噪声均低于上年，分别下降3分贝和1分贝；居民文教区昼间和夜间噪声均高于上年，分别上升5分贝和6分贝；</w:t>
      </w:r>
      <w:r>
        <w:rPr>
          <w:rFonts w:ascii="仿宋" w:eastAsia="仿宋" w:hAnsi="仿宋" w:hint="eastAsia"/>
          <w:sz w:val="32"/>
          <w:szCs w:val="32"/>
        </w:rPr>
        <w:t>混杂区</w:t>
      </w:r>
      <w:r>
        <w:rPr>
          <w:rFonts w:ascii="仿宋" w:eastAsia="仿宋" w:hAnsi="仿宋" w:hint="eastAsia"/>
          <w:color w:val="000000"/>
          <w:sz w:val="32"/>
          <w:szCs w:val="32"/>
        </w:rPr>
        <w:t>昼间噪声低于上年1分贝，夜间噪声与上年同期持平；</w:t>
      </w:r>
      <w:r>
        <w:rPr>
          <w:rFonts w:ascii="仿宋" w:eastAsia="仿宋" w:hAnsi="仿宋" w:hint="eastAsia"/>
          <w:sz w:val="32"/>
          <w:szCs w:val="32"/>
        </w:rPr>
        <w:t>工业集中区</w:t>
      </w:r>
      <w:r>
        <w:rPr>
          <w:rFonts w:ascii="仿宋" w:eastAsia="仿宋" w:hAnsi="仿宋" w:hint="eastAsia"/>
          <w:color w:val="000000"/>
          <w:sz w:val="32"/>
          <w:szCs w:val="32"/>
        </w:rPr>
        <w:t>的昼间和夜间噪声均低于上年2分贝；</w:t>
      </w:r>
      <w:r>
        <w:rPr>
          <w:rFonts w:ascii="仿宋" w:eastAsia="仿宋" w:hAnsi="仿宋" w:hint="eastAsia"/>
          <w:sz w:val="32"/>
          <w:szCs w:val="32"/>
        </w:rPr>
        <w:t>交通干线道路两侧</w:t>
      </w:r>
      <w:r>
        <w:rPr>
          <w:rFonts w:ascii="仿宋" w:eastAsia="仿宋" w:hAnsi="仿宋" w:hint="eastAsia"/>
          <w:color w:val="000000"/>
          <w:sz w:val="32"/>
          <w:szCs w:val="32"/>
        </w:rPr>
        <w:t>区的昼间和夜间噪声均上升1分贝。从污染程度趋势来看特殊住宅区、混杂区和工业集中区噪声污染程度有不同程度减轻，其余2个功能区的噪声污染程度略有加重。</w:t>
      </w:r>
    </w:p>
    <w:p w:rsidR="004232EE" w:rsidRDefault="002760D7">
      <w:pPr>
        <w:ind w:firstLineChars="192" w:firstLine="61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2017年功能区噪声与上年相比，除个别区域受建筑施工影响噪声污染状况有所加重外，整体基本稳定。</w:t>
      </w:r>
      <w:r>
        <w:rPr>
          <w:rFonts w:ascii="仿宋" w:eastAsia="仿宋" w:hAnsi="仿宋" w:hint="eastAsia"/>
          <w:sz w:val="32"/>
          <w:szCs w:val="32"/>
        </w:rPr>
        <w:t>与国标相比，5个功能区中昼间噪声有4个功能区达标，夜间有1个功能区达标。</w:t>
      </w:r>
    </w:p>
    <w:p w:rsidR="004232EE" w:rsidRDefault="002760D7">
      <w:pPr>
        <w:jc w:val="center"/>
      </w:pPr>
      <w:r>
        <w:rPr>
          <w:noProof/>
        </w:rPr>
        <w:lastRenderedPageBreak/>
        <w:drawing>
          <wp:inline distT="0" distB="0" distL="0" distR="0">
            <wp:extent cx="5489575" cy="2914650"/>
            <wp:effectExtent l="6096" t="0" r="0" b="0"/>
            <wp:docPr id="29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232EE" w:rsidRDefault="002760D7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图15   2017年度昼间噪声与上年变化比较</w:t>
      </w:r>
    </w:p>
    <w:p w:rsidR="004232EE" w:rsidRDefault="002760D7">
      <w:pPr>
        <w:jc w:val="center"/>
      </w:pPr>
      <w:r>
        <w:rPr>
          <w:noProof/>
        </w:rPr>
        <w:drawing>
          <wp:inline distT="0" distB="0" distL="0" distR="0">
            <wp:extent cx="5489575" cy="2619375"/>
            <wp:effectExtent l="6096" t="0" r="0" b="0"/>
            <wp:docPr id="30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232EE" w:rsidRDefault="002760D7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图16   2017年度夜间噪声与上年变化比较</w:t>
      </w:r>
    </w:p>
    <w:p w:rsidR="004232EE" w:rsidRDefault="004232EE">
      <w:pPr>
        <w:jc w:val="center"/>
        <w:rPr>
          <w:rFonts w:ascii="宋体" w:hAnsi="宋体"/>
          <w:sz w:val="24"/>
        </w:rPr>
      </w:pPr>
    </w:p>
    <w:p w:rsidR="004232EE" w:rsidRDefault="002760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2、道路交通噪声监测</w:t>
      </w:r>
    </w:p>
    <w:p w:rsidR="004232EE" w:rsidRDefault="002760D7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2017年道路交通噪声网格布点为155个，实测点位为155个，监测道路总长202.10公里，平均路宽36.5米，平均车流量为2805（辆／小时），道路交通噪声等效声级为70.6分贝。2017年平均车流量比2016年增加了918（辆/小时），道路交通噪声低与上年0.6分贝，按照道路交通噪声环境质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量等级划分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强度等级属于三级，总体水平评价为一般，</w:t>
      </w:r>
      <w:r>
        <w:rPr>
          <w:rFonts w:ascii="仿宋" w:eastAsia="仿宋" w:hAnsi="仿宋" w:hint="eastAsia"/>
          <w:color w:val="000000"/>
          <w:sz w:val="32"/>
          <w:szCs w:val="32"/>
        </w:rPr>
        <w:t>变化趋势为污染程度稳定。道路交通噪声监测结果详见表4。</w:t>
      </w:r>
    </w:p>
    <w:p w:rsidR="004232EE" w:rsidRDefault="004232E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tbl>
      <w:tblPr>
        <w:tblW w:w="8522" w:type="dxa"/>
        <w:tblBorders>
          <w:bottom w:val="thinThickSmallGap" w:sz="24" w:space="0" w:color="339966"/>
          <w:insideH w:val="single" w:sz="6" w:space="0" w:color="339966"/>
          <w:insideV w:val="single" w:sz="6" w:space="0" w:color="000000"/>
        </w:tblBorders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4232EE">
        <w:tc>
          <w:tcPr>
            <w:tcW w:w="8522" w:type="dxa"/>
            <w:gridSpan w:val="6"/>
            <w:shd w:val="clear" w:color="auto" w:fill="339966"/>
          </w:tcPr>
          <w:p w:rsidR="004232EE" w:rsidRDefault="002760D7">
            <w:pPr>
              <w:ind w:firstLineChars="64" w:firstLine="180"/>
              <w:rPr>
                <w:rFonts w:ascii="宋体" w:hAnsi="宋体"/>
                <w:color w:val="FFFFFF"/>
                <w:sz w:val="28"/>
              </w:rPr>
            </w:pPr>
            <w:r>
              <w:rPr>
                <w:rFonts w:ascii="宋体" w:hAnsi="宋体" w:hint="eastAsia"/>
                <w:b/>
                <w:color w:val="FFFFFF"/>
                <w:sz w:val="28"/>
              </w:rPr>
              <w:t>表4           西安市道路交通噪声监测结果</w:t>
            </w:r>
          </w:p>
        </w:tc>
      </w:tr>
      <w:tr w:rsidR="004232EE">
        <w:tc>
          <w:tcPr>
            <w:tcW w:w="1420" w:type="dxa"/>
            <w:tcBorders>
              <w:righ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Leq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平均车流量（辆/小时）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平均路宽（米）</w:t>
            </w:r>
          </w:p>
        </w:tc>
        <w:tc>
          <w:tcPr>
            <w:tcW w:w="1421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总路长   （公里）</w:t>
            </w:r>
          </w:p>
        </w:tc>
        <w:tc>
          <w:tcPr>
            <w:tcW w:w="1421" w:type="dxa"/>
            <w:tcBorders>
              <w:lef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测点数    （个）</w:t>
            </w:r>
          </w:p>
        </w:tc>
      </w:tr>
      <w:tr w:rsidR="004232EE">
        <w:tc>
          <w:tcPr>
            <w:tcW w:w="1420" w:type="dxa"/>
            <w:tcBorders>
              <w:righ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2016年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71.2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1887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36.5</w:t>
            </w:r>
          </w:p>
        </w:tc>
        <w:tc>
          <w:tcPr>
            <w:tcW w:w="1421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202.10</w:t>
            </w:r>
          </w:p>
        </w:tc>
        <w:tc>
          <w:tcPr>
            <w:tcW w:w="1421" w:type="dxa"/>
            <w:tcBorders>
              <w:lef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155</w:t>
            </w:r>
          </w:p>
        </w:tc>
      </w:tr>
      <w:tr w:rsidR="004232EE">
        <w:tc>
          <w:tcPr>
            <w:tcW w:w="1420" w:type="dxa"/>
            <w:tcBorders>
              <w:righ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2017年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70.6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2805</w:t>
            </w:r>
          </w:p>
        </w:tc>
        <w:tc>
          <w:tcPr>
            <w:tcW w:w="1420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36.5</w:t>
            </w:r>
          </w:p>
        </w:tc>
        <w:tc>
          <w:tcPr>
            <w:tcW w:w="1421" w:type="dxa"/>
            <w:tcBorders>
              <w:left w:val="single" w:sz="6" w:space="0" w:color="339966"/>
              <w:righ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202.10</w:t>
            </w:r>
          </w:p>
        </w:tc>
        <w:tc>
          <w:tcPr>
            <w:tcW w:w="1421" w:type="dxa"/>
            <w:tcBorders>
              <w:left w:val="single" w:sz="6" w:space="0" w:color="339966"/>
            </w:tcBorders>
            <w:vAlign w:val="center"/>
          </w:tcPr>
          <w:p w:rsidR="004232EE" w:rsidRDefault="002760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155</w:t>
            </w:r>
          </w:p>
        </w:tc>
      </w:tr>
    </w:tbl>
    <w:p w:rsidR="004232EE" w:rsidRDefault="004232EE">
      <w:pPr>
        <w:rPr>
          <w:rFonts w:ascii="宋体" w:hAnsi="宋体"/>
          <w:color w:val="000000"/>
          <w:sz w:val="28"/>
        </w:rPr>
      </w:pPr>
    </w:p>
    <w:p w:rsidR="004232EE" w:rsidRDefault="002760D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3、区域环境噪声监测</w:t>
      </w:r>
    </w:p>
    <w:p w:rsidR="004232EE" w:rsidRDefault="002760D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2017年全市区域环境噪声网格布点200个，实测200个，昼间平均等效声级为56.5分贝，高与上年0.8分贝，按照城市区域环境质量等级划分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强度等级属于三级，总体水平评价为一般，</w:t>
      </w:r>
      <w:r>
        <w:rPr>
          <w:rFonts w:ascii="仿宋" w:eastAsia="仿宋" w:hAnsi="仿宋" w:hint="eastAsia"/>
          <w:sz w:val="32"/>
          <w:szCs w:val="32"/>
        </w:rPr>
        <w:t>变化趋势为污染程度稳定。</w:t>
      </w:r>
    </w:p>
    <w:p w:rsidR="004232EE" w:rsidRDefault="004232E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232EE" w:rsidRDefault="002760D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◆辐射环境质量监测</w:t>
      </w:r>
    </w:p>
    <w:p w:rsidR="004232EE" w:rsidRDefault="002760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2017年一至十二月辐射环境自动监测站点运行状况稳定，监测结果在正常水平范围内波动，陆地γ剂量率日平均值为0.900～0.121μGy/h，年平均值为0.1041 μGy/h。</w:t>
      </w:r>
    </w:p>
    <w:p w:rsidR="004232EE" w:rsidRDefault="002760D7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注：陕西省放射性水平调查值为：原野</w:t>
      </w:r>
      <w:r>
        <w:rPr>
          <w:rFonts w:hint="eastAsia"/>
          <w:sz w:val="24"/>
        </w:rPr>
        <w:t>0.070</w:t>
      </w:r>
      <w:r>
        <w:rPr>
          <w:sz w:val="24"/>
        </w:rPr>
        <w:t>~</w:t>
      </w:r>
      <w:r>
        <w:rPr>
          <w:rFonts w:hint="eastAsia"/>
          <w:sz w:val="24"/>
        </w:rPr>
        <w:t>0.190</w:t>
      </w:r>
      <w:r>
        <w:rPr>
          <w:sz w:val="24"/>
        </w:rPr>
        <w:t>μGy/h</w:t>
      </w:r>
      <w:r>
        <w:rPr>
          <w:rFonts w:hint="eastAsia"/>
          <w:sz w:val="24"/>
        </w:rPr>
        <w:t>；道路</w:t>
      </w:r>
      <w:r>
        <w:rPr>
          <w:rFonts w:hint="eastAsia"/>
          <w:sz w:val="24"/>
        </w:rPr>
        <w:t>0.060</w:t>
      </w:r>
      <w:r>
        <w:rPr>
          <w:sz w:val="24"/>
        </w:rPr>
        <w:t>~</w:t>
      </w:r>
      <w:r>
        <w:rPr>
          <w:rFonts w:hint="eastAsia"/>
          <w:sz w:val="24"/>
        </w:rPr>
        <w:t>0.200</w:t>
      </w:r>
      <w:r>
        <w:rPr>
          <w:sz w:val="24"/>
        </w:rPr>
        <w:t>μGy/h</w:t>
      </w:r>
      <w:r>
        <w:rPr>
          <w:rFonts w:hint="eastAsia"/>
          <w:sz w:val="24"/>
        </w:rPr>
        <w:t>；室内</w:t>
      </w:r>
      <w:r>
        <w:rPr>
          <w:rFonts w:hint="eastAsia"/>
          <w:sz w:val="24"/>
        </w:rPr>
        <w:t>0.090</w:t>
      </w:r>
      <w:r>
        <w:rPr>
          <w:sz w:val="24"/>
        </w:rPr>
        <w:t>~</w:t>
      </w:r>
      <w:r>
        <w:rPr>
          <w:rFonts w:hint="eastAsia"/>
          <w:sz w:val="24"/>
        </w:rPr>
        <w:t>0.200</w:t>
      </w:r>
      <w:r>
        <w:rPr>
          <w:sz w:val="24"/>
        </w:rPr>
        <w:t>μGy/h</w:t>
      </w:r>
      <w:r>
        <w:rPr>
          <w:rFonts w:hint="eastAsia"/>
          <w:sz w:val="24"/>
        </w:rPr>
        <w:t>。</w:t>
      </w:r>
    </w:p>
    <w:p w:rsidR="004232EE" w:rsidRDefault="004232EE">
      <w:pPr>
        <w:rPr>
          <w:bCs/>
          <w:szCs w:val="21"/>
        </w:rPr>
      </w:pPr>
    </w:p>
    <w:p w:rsidR="004232EE" w:rsidRDefault="002760D7">
      <w:pPr>
        <w:jc w:val="center"/>
        <w:rPr>
          <w:bCs/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5486400" cy="2809875"/>
            <wp:effectExtent l="0" t="0" r="0" b="0"/>
            <wp:docPr id="3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232EE" w:rsidRDefault="002760D7">
      <w:pPr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图17    2017年度辐射自动检测月均值变化曲线图</w:t>
      </w:r>
    </w:p>
    <w:p w:rsidR="004232EE" w:rsidRDefault="004232EE">
      <w:pPr>
        <w:rPr>
          <w:bCs/>
          <w:szCs w:val="21"/>
        </w:rPr>
      </w:pPr>
    </w:p>
    <w:p w:rsidR="004232EE" w:rsidRDefault="004232EE">
      <w:pPr>
        <w:rPr>
          <w:bCs/>
          <w:szCs w:val="21"/>
        </w:rPr>
      </w:pPr>
    </w:p>
    <w:p w:rsidR="004232EE" w:rsidRDefault="004232E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4232EE" w:rsidRDefault="004232E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4232EE" w:rsidRDefault="004232E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4232EE" w:rsidRDefault="004232E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4232EE" w:rsidRDefault="004232E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4232EE" w:rsidRDefault="004232E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4232EE" w:rsidRDefault="004232E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4232EE" w:rsidRDefault="004232E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4232EE" w:rsidRDefault="004232E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4232EE" w:rsidRDefault="004232E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4232EE" w:rsidRDefault="00B6787A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  <w:bookmarkStart w:id="0" w:name="_GoBack"/>
      <w:bookmarkEnd w:id="0"/>
      <w:r w:rsidRPr="00B6787A">
        <w:rPr>
          <w:rFonts w:ascii="仿宋_GB2312" w:eastAsia="仿宋_GB2312" w:hAnsi="宋体"/>
          <w:color w:val="FF0000"/>
          <w:sz w:val="32"/>
          <w:szCs w:val="32"/>
        </w:rPr>
        <w:pict>
          <v:line id="_x0000_s1030" style="position:absolute;left:0;text-align:left;z-index:251656192" from="-9pt,49.6pt" to="434.1pt,51pt">
            <v:shadow on="t" color="#99f" offset="3pt"/>
            <w10:wrap type="square"/>
          </v:line>
        </w:pict>
      </w:r>
    </w:p>
    <w:p w:rsidR="004232EE" w:rsidRDefault="002760D7">
      <w:pPr>
        <w:spacing w:line="440" w:lineRule="exact"/>
        <w:rPr>
          <w:rFonts w:ascii="楷体_GB2312" w:eastAsia="楷体_GB2312"/>
          <w:b/>
          <w:bCs/>
          <w:sz w:val="30"/>
        </w:rPr>
      </w:pPr>
      <w:r>
        <w:rPr>
          <w:rFonts w:ascii="楷体_GB2312" w:eastAsia="楷体_GB2312" w:hint="eastAsia"/>
          <w:b/>
          <w:sz w:val="30"/>
        </w:rPr>
        <w:t>主办</w:t>
      </w:r>
      <w:r>
        <w:rPr>
          <w:rFonts w:ascii="楷体_GB2312" w:eastAsia="楷体_GB2312" w:hint="eastAsia"/>
          <w:sz w:val="30"/>
        </w:rPr>
        <w:t>：</w:t>
      </w:r>
      <w:r>
        <w:rPr>
          <w:rFonts w:ascii="楷体_GB2312" w:eastAsia="楷体_GB2312" w:hint="eastAsia"/>
          <w:b/>
          <w:bCs/>
          <w:sz w:val="30"/>
        </w:rPr>
        <w:t>西安市环境监测站信息统计室</w:t>
      </w:r>
    </w:p>
    <w:p w:rsidR="004232EE" w:rsidRDefault="004232EE">
      <w:pPr>
        <w:spacing w:line="440" w:lineRule="exact"/>
        <w:ind w:firstLine="840"/>
        <w:rPr>
          <w:b/>
          <w:bCs/>
          <w:color w:val="FF0000"/>
        </w:rPr>
      </w:pPr>
    </w:p>
    <w:sectPr w:rsidR="004232EE" w:rsidSect="004232EE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0D" w:rsidRDefault="007D340D" w:rsidP="004232EE">
      <w:r>
        <w:separator/>
      </w:r>
    </w:p>
  </w:endnote>
  <w:endnote w:type="continuationSeparator" w:id="1">
    <w:p w:rsidR="007D340D" w:rsidRDefault="007D340D" w:rsidP="00423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EE" w:rsidRDefault="00B6787A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2760D7">
      <w:rPr>
        <w:rStyle w:val="a8"/>
      </w:rPr>
      <w:instrText xml:space="preserve">PAGE  </w:instrText>
    </w:r>
    <w:r>
      <w:fldChar w:fldCharType="separate"/>
    </w:r>
    <w:r w:rsidR="006260F6">
      <w:rPr>
        <w:rStyle w:val="a8"/>
        <w:noProof/>
      </w:rPr>
      <w:t>20</w:t>
    </w:r>
    <w:r>
      <w:fldChar w:fldCharType="end"/>
    </w:r>
  </w:p>
  <w:p w:rsidR="004232EE" w:rsidRDefault="004232E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EE" w:rsidRDefault="00B6787A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2760D7">
      <w:rPr>
        <w:rStyle w:val="a8"/>
      </w:rPr>
      <w:instrText xml:space="preserve">PAGE  </w:instrText>
    </w:r>
    <w:r>
      <w:fldChar w:fldCharType="separate"/>
    </w:r>
    <w:r w:rsidR="006260F6">
      <w:rPr>
        <w:rStyle w:val="a8"/>
        <w:noProof/>
      </w:rPr>
      <w:t>19</w:t>
    </w:r>
    <w:r>
      <w:fldChar w:fldCharType="end"/>
    </w:r>
  </w:p>
  <w:p w:rsidR="004232EE" w:rsidRDefault="004232E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0D" w:rsidRDefault="007D340D" w:rsidP="004232EE">
      <w:r>
        <w:separator/>
      </w:r>
    </w:p>
  </w:footnote>
  <w:footnote w:type="continuationSeparator" w:id="1">
    <w:p w:rsidR="007D340D" w:rsidRDefault="007D340D" w:rsidP="00423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EE" w:rsidRDefault="002760D7">
    <w:pPr>
      <w:pStyle w:val="a5"/>
      <w:rPr>
        <w:sz w:val="21"/>
        <w:szCs w:val="21"/>
      </w:rPr>
    </w:pPr>
    <w:r>
      <w:rPr>
        <w:rFonts w:hint="eastAsia"/>
        <w:sz w:val="21"/>
        <w:szCs w:val="21"/>
      </w:rPr>
      <w:t>环境监测科研动态（年报）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EE" w:rsidRDefault="002760D7">
    <w:pPr>
      <w:pStyle w:val="a5"/>
      <w:jc w:val="both"/>
      <w:rPr>
        <w:sz w:val="21"/>
        <w:szCs w:val="21"/>
      </w:rPr>
    </w:pPr>
    <w:r>
      <w:rPr>
        <w:rFonts w:hint="eastAsia"/>
        <w:sz w:val="21"/>
        <w:szCs w:val="21"/>
      </w:rPr>
      <w:t>总</w:t>
    </w:r>
    <w:r>
      <w:rPr>
        <w:rFonts w:hint="eastAsia"/>
        <w:sz w:val="21"/>
        <w:szCs w:val="21"/>
      </w:rPr>
      <w:t>169</w:t>
    </w:r>
    <w:r>
      <w:rPr>
        <w:rFonts w:hint="eastAsia"/>
        <w:sz w:val="21"/>
        <w:szCs w:val="21"/>
      </w:rPr>
      <w:t>期</w:t>
    </w:r>
    <w:r>
      <w:rPr>
        <w:rFonts w:hint="eastAsia"/>
        <w:sz w:val="21"/>
        <w:szCs w:val="21"/>
      </w:rPr>
      <w:t xml:space="preserve">                                                          2017</w:t>
    </w:r>
    <w:r>
      <w:rPr>
        <w:rFonts w:hint="eastAsia"/>
        <w:sz w:val="21"/>
        <w:szCs w:val="21"/>
      </w:rPr>
      <w:t>年第</w:t>
    </w:r>
    <w:r>
      <w:rPr>
        <w:rFonts w:hint="eastAsia"/>
        <w:sz w:val="21"/>
        <w:szCs w:val="21"/>
      </w:rPr>
      <w:t>12</w:t>
    </w:r>
    <w:r>
      <w:rPr>
        <w:rFonts w:hint="eastAsia"/>
        <w:sz w:val="21"/>
        <w:szCs w:val="21"/>
      </w:rPr>
      <w:t>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0"/>
      <w:numFmt w:val="bullet"/>
      <w:lvlText w:val="◆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E49"/>
    <w:rsid w:val="00007320"/>
    <w:rsid w:val="00007AE9"/>
    <w:rsid w:val="00007C78"/>
    <w:rsid w:val="0001640A"/>
    <w:rsid w:val="00031614"/>
    <w:rsid w:val="000330DE"/>
    <w:rsid w:val="0004206C"/>
    <w:rsid w:val="00043653"/>
    <w:rsid w:val="000447B4"/>
    <w:rsid w:val="00045536"/>
    <w:rsid w:val="000463EC"/>
    <w:rsid w:val="00046FE3"/>
    <w:rsid w:val="00056437"/>
    <w:rsid w:val="000571EC"/>
    <w:rsid w:val="00062302"/>
    <w:rsid w:val="000624AD"/>
    <w:rsid w:val="00062A75"/>
    <w:rsid w:val="0007032A"/>
    <w:rsid w:val="0007351F"/>
    <w:rsid w:val="000859F6"/>
    <w:rsid w:val="00086727"/>
    <w:rsid w:val="0009765D"/>
    <w:rsid w:val="000A1562"/>
    <w:rsid w:val="000A4B8E"/>
    <w:rsid w:val="000B144C"/>
    <w:rsid w:val="000C2B94"/>
    <w:rsid w:val="000C2F0E"/>
    <w:rsid w:val="000C3AC4"/>
    <w:rsid w:val="000C47AC"/>
    <w:rsid w:val="000C62FD"/>
    <w:rsid w:val="000C7AD0"/>
    <w:rsid w:val="000D0ED3"/>
    <w:rsid w:val="000D1276"/>
    <w:rsid w:val="000D14EB"/>
    <w:rsid w:val="000D5E35"/>
    <w:rsid w:val="000D667B"/>
    <w:rsid w:val="000E2837"/>
    <w:rsid w:val="000E2DCC"/>
    <w:rsid w:val="000E3038"/>
    <w:rsid w:val="000E55E3"/>
    <w:rsid w:val="000F0C19"/>
    <w:rsid w:val="000F34B1"/>
    <w:rsid w:val="00107084"/>
    <w:rsid w:val="0011361B"/>
    <w:rsid w:val="00115098"/>
    <w:rsid w:val="00115C02"/>
    <w:rsid w:val="00116318"/>
    <w:rsid w:val="00117137"/>
    <w:rsid w:val="00123990"/>
    <w:rsid w:val="0012749A"/>
    <w:rsid w:val="00132675"/>
    <w:rsid w:val="0013520A"/>
    <w:rsid w:val="00137664"/>
    <w:rsid w:val="00137A1C"/>
    <w:rsid w:val="001470C3"/>
    <w:rsid w:val="001474C5"/>
    <w:rsid w:val="00147657"/>
    <w:rsid w:val="001526C9"/>
    <w:rsid w:val="00162807"/>
    <w:rsid w:val="001709BF"/>
    <w:rsid w:val="00172A27"/>
    <w:rsid w:val="00174CF1"/>
    <w:rsid w:val="001755D2"/>
    <w:rsid w:val="00176B8F"/>
    <w:rsid w:val="0018048B"/>
    <w:rsid w:val="00183156"/>
    <w:rsid w:val="00186C61"/>
    <w:rsid w:val="00193DAA"/>
    <w:rsid w:val="00196EAD"/>
    <w:rsid w:val="001971A0"/>
    <w:rsid w:val="001A45A9"/>
    <w:rsid w:val="001A4B5A"/>
    <w:rsid w:val="001A5F7F"/>
    <w:rsid w:val="001A7CE6"/>
    <w:rsid w:val="001A7E43"/>
    <w:rsid w:val="001C0770"/>
    <w:rsid w:val="001C0B33"/>
    <w:rsid w:val="001C23CB"/>
    <w:rsid w:val="001C5A3D"/>
    <w:rsid w:val="001D0843"/>
    <w:rsid w:val="001D4542"/>
    <w:rsid w:val="001D569F"/>
    <w:rsid w:val="001D64F3"/>
    <w:rsid w:val="001D7589"/>
    <w:rsid w:val="001E3342"/>
    <w:rsid w:val="001E55BA"/>
    <w:rsid w:val="001E7C46"/>
    <w:rsid w:val="001F0FF8"/>
    <w:rsid w:val="001F7C19"/>
    <w:rsid w:val="0020107E"/>
    <w:rsid w:val="00216DF8"/>
    <w:rsid w:val="00227ACD"/>
    <w:rsid w:val="00231A9B"/>
    <w:rsid w:val="00234337"/>
    <w:rsid w:val="00237C34"/>
    <w:rsid w:val="00237FD6"/>
    <w:rsid w:val="002418A2"/>
    <w:rsid w:val="0024492A"/>
    <w:rsid w:val="002475C8"/>
    <w:rsid w:val="00250BD3"/>
    <w:rsid w:val="00250F75"/>
    <w:rsid w:val="00253174"/>
    <w:rsid w:val="00262440"/>
    <w:rsid w:val="00263F2F"/>
    <w:rsid w:val="00264CF7"/>
    <w:rsid w:val="00271EE8"/>
    <w:rsid w:val="00272EE0"/>
    <w:rsid w:val="00273177"/>
    <w:rsid w:val="00273D5E"/>
    <w:rsid w:val="00273F0F"/>
    <w:rsid w:val="00274E91"/>
    <w:rsid w:val="002760D7"/>
    <w:rsid w:val="002777F0"/>
    <w:rsid w:val="00284832"/>
    <w:rsid w:val="0028707F"/>
    <w:rsid w:val="00287DBD"/>
    <w:rsid w:val="00293CCC"/>
    <w:rsid w:val="002964FD"/>
    <w:rsid w:val="00296AA2"/>
    <w:rsid w:val="002A37D5"/>
    <w:rsid w:val="002A479A"/>
    <w:rsid w:val="002A4CAC"/>
    <w:rsid w:val="002B2BDB"/>
    <w:rsid w:val="002B386C"/>
    <w:rsid w:val="002B7A15"/>
    <w:rsid w:val="002D05B4"/>
    <w:rsid w:val="002D0E35"/>
    <w:rsid w:val="002D7F5E"/>
    <w:rsid w:val="002E16E4"/>
    <w:rsid w:val="002E35D2"/>
    <w:rsid w:val="002E39FB"/>
    <w:rsid w:val="002E5B1A"/>
    <w:rsid w:val="002F2AEC"/>
    <w:rsid w:val="002F59CD"/>
    <w:rsid w:val="0030152F"/>
    <w:rsid w:val="00301DED"/>
    <w:rsid w:val="003027D6"/>
    <w:rsid w:val="00307914"/>
    <w:rsid w:val="00313854"/>
    <w:rsid w:val="00314435"/>
    <w:rsid w:val="00315275"/>
    <w:rsid w:val="00331D96"/>
    <w:rsid w:val="00335FDB"/>
    <w:rsid w:val="003427A4"/>
    <w:rsid w:val="00345905"/>
    <w:rsid w:val="00346B62"/>
    <w:rsid w:val="00353B12"/>
    <w:rsid w:val="0035770E"/>
    <w:rsid w:val="00363604"/>
    <w:rsid w:val="00365717"/>
    <w:rsid w:val="0037004E"/>
    <w:rsid w:val="00380F9F"/>
    <w:rsid w:val="003A14EC"/>
    <w:rsid w:val="003A3144"/>
    <w:rsid w:val="003A67D1"/>
    <w:rsid w:val="003A771F"/>
    <w:rsid w:val="003B28EC"/>
    <w:rsid w:val="003B2BB6"/>
    <w:rsid w:val="003C407E"/>
    <w:rsid w:val="003C6E6C"/>
    <w:rsid w:val="003D27E8"/>
    <w:rsid w:val="003D39BA"/>
    <w:rsid w:val="003D3B6B"/>
    <w:rsid w:val="003E6463"/>
    <w:rsid w:val="003E7E24"/>
    <w:rsid w:val="003F52BA"/>
    <w:rsid w:val="003F7C6B"/>
    <w:rsid w:val="00400EEB"/>
    <w:rsid w:val="00401373"/>
    <w:rsid w:val="00412105"/>
    <w:rsid w:val="00413417"/>
    <w:rsid w:val="00415935"/>
    <w:rsid w:val="00416FAF"/>
    <w:rsid w:val="0041762E"/>
    <w:rsid w:val="004232EE"/>
    <w:rsid w:val="0042628A"/>
    <w:rsid w:val="004278C7"/>
    <w:rsid w:val="004305B1"/>
    <w:rsid w:val="00432A05"/>
    <w:rsid w:val="004362B0"/>
    <w:rsid w:val="00444EFE"/>
    <w:rsid w:val="00445022"/>
    <w:rsid w:val="004464DB"/>
    <w:rsid w:val="00447EB7"/>
    <w:rsid w:val="00452356"/>
    <w:rsid w:val="00455A08"/>
    <w:rsid w:val="00460A46"/>
    <w:rsid w:val="00462457"/>
    <w:rsid w:val="004640A7"/>
    <w:rsid w:val="00471508"/>
    <w:rsid w:val="00477AAD"/>
    <w:rsid w:val="004850BB"/>
    <w:rsid w:val="0049032F"/>
    <w:rsid w:val="004950E1"/>
    <w:rsid w:val="004A3184"/>
    <w:rsid w:val="004B44FD"/>
    <w:rsid w:val="004B4CDD"/>
    <w:rsid w:val="004B76C0"/>
    <w:rsid w:val="004C4BC1"/>
    <w:rsid w:val="004D34ED"/>
    <w:rsid w:val="004D46E1"/>
    <w:rsid w:val="004E0881"/>
    <w:rsid w:val="004E23C7"/>
    <w:rsid w:val="004F1085"/>
    <w:rsid w:val="004F4823"/>
    <w:rsid w:val="00513E1D"/>
    <w:rsid w:val="00516D32"/>
    <w:rsid w:val="00524E94"/>
    <w:rsid w:val="00534ABB"/>
    <w:rsid w:val="00540172"/>
    <w:rsid w:val="0054155C"/>
    <w:rsid w:val="0054402D"/>
    <w:rsid w:val="0055193E"/>
    <w:rsid w:val="00561CF1"/>
    <w:rsid w:val="0058212C"/>
    <w:rsid w:val="00585C8E"/>
    <w:rsid w:val="00591D2B"/>
    <w:rsid w:val="005958F4"/>
    <w:rsid w:val="005A199B"/>
    <w:rsid w:val="005A24E6"/>
    <w:rsid w:val="005B1371"/>
    <w:rsid w:val="005B14FC"/>
    <w:rsid w:val="005B3B33"/>
    <w:rsid w:val="005C1700"/>
    <w:rsid w:val="005C26FF"/>
    <w:rsid w:val="005C4547"/>
    <w:rsid w:val="005C7B11"/>
    <w:rsid w:val="005D22D3"/>
    <w:rsid w:val="005D42C7"/>
    <w:rsid w:val="005D4810"/>
    <w:rsid w:val="005D6663"/>
    <w:rsid w:val="005D71DA"/>
    <w:rsid w:val="005E70E7"/>
    <w:rsid w:val="005E7C0F"/>
    <w:rsid w:val="005F5F71"/>
    <w:rsid w:val="00605A9C"/>
    <w:rsid w:val="00616080"/>
    <w:rsid w:val="00625E8A"/>
    <w:rsid w:val="006260F6"/>
    <w:rsid w:val="00632C03"/>
    <w:rsid w:val="00633970"/>
    <w:rsid w:val="006340CB"/>
    <w:rsid w:val="00634BA1"/>
    <w:rsid w:val="00640C5E"/>
    <w:rsid w:val="006410DB"/>
    <w:rsid w:val="006411EA"/>
    <w:rsid w:val="00646517"/>
    <w:rsid w:val="006510F0"/>
    <w:rsid w:val="00663547"/>
    <w:rsid w:val="006655C6"/>
    <w:rsid w:val="00666950"/>
    <w:rsid w:val="00675BA1"/>
    <w:rsid w:val="006806EA"/>
    <w:rsid w:val="006831C5"/>
    <w:rsid w:val="00687CE4"/>
    <w:rsid w:val="00693448"/>
    <w:rsid w:val="006A12D0"/>
    <w:rsid w:val="006A49EE"/>
    <w:rsid w:val="006A66B5"/>
    <w:rsid w:val="006B22A9"/>
    <w:rsid w:val="006B3382"/>
    <w:rsid w:val="006B5F56"/>
    <w:rsid w:val="006B690D"/>
    <w:rsid w:val="006B7A36"/>
    <w:rsid w:val="006C07AB"/>
    <w:rsid w:val="006C6DA3"/>
    <w:rsid w:val="006D0EDE"/>
    <w:rsid w:val="006E0332"/>
    <w:rsid w:val="006E0795"/>
    <w:rsid w:val="006E0A57"/>
    <w:rsid w:val="006F124A"/>
    <w:rsid w:val="0070047E"/>
    <w:rsid w:val="0070156F"/>
    <w:rsid w:val="00702961"/>
    <w:rsid w:val="00702ECD"/>
    <w:rsid w:val="007044F5"/>
    <w:rsid w:val="00704A32"/>
    <w:rsid w:val="00721C36"/>
    <w:rsid w:val="00723680"/>
    <w:rsid w:val="00723BEB"/>
    <w:rsid w:val="00730587"/>
    <w:rsid w:val="0074478D"/>
    <w:rsid w:val="007447AD"/>
    <w:rsid w:val="007514F7"/>
    <w:rsid w:val="00755CA2"/>
    <w:rsid w:val="007601E5"/>
    <w:rsid w:val="0076335B"/>
    <w:rsid w:val="00764AFE"/>
    <w:rsid w:val="007659DE"/>
    <w:rsid w:val="00765CA7"/>
    <w:rsid w:val="00773752"/>
    <w:rsid w:val="007764FC"/>
    <w:rsid w:val="00777EC4"/>
    <w:rsid w:val="0078009B"/>
    <w:rsid w:val="00781CBD"/>
    <w:rsid w:val="00781CD1"/>
    <w:rsid w:val="007843FD"/>
    <w:rsid w:val="007A1F76"/>
    <w:rsid w:val="007A2714"/>
    <w:rsid w:val="007A6240"/>
    <w:rsid w:val="007B2416"/>
    <w:rsid w:val="007D1CF6"/>
    <w:rsid w:val="007D25F3"/>
    <w:rsid w:val="007D2EBE"/>
    <w:rsid w:val="007D340D"/>
    <w:rsid w:val="007E76A3"/>
    <w:rsid w:val="007E7D54"/>
    <w:rsid w:val="00802BAB"/>
    <w:rsid w:val="008035D7"/>
    <w:rsid w:val="00807125"/>
    <w:rsid w:val="00812449"/>
    <w:rsid w:val="00831079"/>
    <w:rsid w:val="00832F7B"/>
    <w:rsid w:val="00833B0D"/>
    <w:rsid w:val="008432C3"/>
    <w:rsid w:val="008437B5"/>
    <w:rsid w:val="00846007"/>
    <w:rsid w:val="00847A07"/>
    <w:rsid w:val="008501DC"/>
    <w:rsid w:val="008530C2"/>
    <w:rsid w:val="00855002"/>
    <w:rsid w:val="0085794F"/>
    <w:rsid w:val="00860842"/>
    <w:rsid w:val="00861CA6"/>
    <w:rsid w:val="00862DC2"/>
    <w:rsid w:val="00865FAB"/>
    <w:rsid w:val="00873BDC"/>
    <w:rsid w:val="00876D97"/>
    <w:rsid w:val="008803BD"/>
    <w:rsid w:val="00880AD5"/>
    <w:rsid w:val="0088449E"/>
    <w:rsid w:val="00885D6D"/>
    <w:rsid w:val="0089029C"/>
    <w:rsid w:val="00894C70"/>
    <w:rsid w:val="008A20C5"/>
    <w:rsid w:val="008A4239"/>
    <w:rsid w:val="008A6467"/>
    <w:rsid w:val="008B3F3A"/>
    <w:rsid w:val="008C37F5"/>
    <w:rsid w:val="008C792B"/>
    <w:rsid w:val="008D27B6"/>
    <w:rsid w:val="008D5AA8"/>
    <w:rsid w:val="008D79B6"/>
    <w:rsid w:val="008E07BD"/>
    <w:rsid w:val="008E6B09"/>
    <w:rsid w:val="008F27B9"/>
    <w:rsid w:val="008F2C1D"/>
    <w:rsid w:val="008F7CBD"/>
    <w:rsid w:val="00902A6D"/>
    <w:rsid w:val="00903961"/>
    <w:rsid w:val="00903DCA"/>
    <w:rsid w:val="0090542C"/>
    <w:rsid w:val="009105B8"/>
    <w:rsid w:val="00910D33"/>
    <w:rsid w:val="0092302E"/>
    <w:rsid w:val="00934B42"/>
    <w:rsid w:val="009420FC"/>
    <w:rsid w:val="0094255E"/>
    <w:rsid w:val="009447BD"/>
    <w:rsid w:val="00944AFB"/>
    <w:rsid w:val="00946205"/>
    <w:rsid w:val="0094639E"/>
    <w:rsid w:val="00947B33"/>
    <w:rsid w:val="00950C4C"/>
    <w:rsid w:val="00951342"/>
    <w:rsid w:val="00951E78"/>
    <w:rsid w:val="009541E3"/>
    <w:rsid w:val="00954C01"/>
    <w:rsid w:val="009567F1"/>
    <w:rsid w:val="00956E9E"/>
    <w:rsid w:val="0096297C"/>
    <w:rsid w:val="00972E98"/>
    <w:rsid w:val="00973A2B"/>
    <w:rsid w:val="00973E7C"/>
    <w:rsid w:val="0097524D"/>
    <w:rsid w:val="00981FA5"/>
    <w:rsid w:val="009849A3"/>
    <w:rsid w:val="0099446A"/>
    <w:rsid w:val="009976FD"/>
    <w:rsid w:val="009A18DC"/>
    <w:rsid w:val="009B3B84"/>
    <w:rsid w:val="009B6349"/>
    <w:rsid w:val="009C06DC"/>
    <w:rsid w:val="009C21AC"/>
    <w:rsid w:val="009D34FC"/>
    <w:rsid w:val="009F20AF"/>
    <w:rsid w:val="009F4B1E"/>
    <w:rsid w:val="00A01B43"/>
    <w:rsid w:val="00A0499E"/>
    <w:rsid w:val="00A1162D"/>
    <w:rsid w:val="00A20278"/>
    <w:rsid w:val="00A224CB"/>
    <w:rsid w:val="00A246D4"/>
    <w:rsid w:val="00A24E45"/>
    <w:rsid w:val="00A35D01"/>
    <w:rsid w:val="00A402CC"/>
    <w:rsid w:val="00A40920"/>
    <w:rsid w:val="00A4183D"/>
    <w:rsid w:val="00A504D0"/>
    <w:rsid w:val="00A52671"/>
    <w:rsid w:val="00A5776D"/>
    <w:rsid w:val="00A57941"/>
    <w:rsid w:val="00A62816"/>
    <w:rsid w:val="00A65D38"/>
    <w:rsid w:val="00A6733F"/>
    <w:rsid w:val="00A74463"/>
    <w:rsid w:val="00A766D4"/>
    <w:rsid w:val="00A848D5"/>
    <w:rsid w:val="00A922F2"/>
    <w:rsid w:val="00A935AD"/>
    <w:rsid w:val="00A93C68"/>
    <w:rsid w:val="00A96F11"/>
    <w:rsid w:val="00AA10F8"/>
    <w:rsid w:val="00AA1A14"/>
    <w:rsid w:val="00AA1D01"/>
    <w:rsid w:val="00AA4657"/>
    <w:rsid w:val="00AA5765"/>
    <w:rsid w:val="00AA58A4"/>
    <w:rsid w:val="00AA7645"/>
    <w:rsid w:val="00AB012A"/>
    <w:rsid w:val="00AB4202"/>
    <w:rsid w:val="00AB5831"/>
    <w:rsid w:val="00AC2A66"/>
    <w:rsid w:val="00AC420D"/>
    <w:rsid w:val="00AC51BB"/>
    <w:rsid w:val="00AE486F"/>
    <w:rsid w:val="00AE64BD"/>
    <w:rsid w:val="00AF24A4"/>
    <w:rsid w:val="00AF3525"/>
    <w:rsid w:val="00AF6401"/>
    <w:rsid w:val="00AF7708"/>
    <w:rsid w:val="00B03B25"/>
    <w:rsid w:val="00B067D3"/>
    <w:rsid w:val="00B1133C"/>
    <w:rsid w:val="00B1294D"/>
    <w:rsid w:val="00B15F97"/>
    <w:rsid w:val="00B169EC"/>
    <w:rsid w:val="00B17157"/>
    <w:rsid w:val="00B17A6D"/>
    <w:rsid w:val="00B27036"/>
    <w:rsid w:val="00B27BA5"/>
    <w:rsid w:val="00B31800"/>
    <w:rsid w:val="00B3298C"/>
    <w:rsid w:val="00B335DB"/>
    <w:rsid w:val="00B34E08"/>
    <w:rsid w:val="00B419C2"/>
    <w:rsid w:val="00B44C7A"/>
    <w:rsid w:val="00B4649D"/>
    <w:rsid w:val="00B50E52"/>
    <w:rsid w:val="00B607FD"/>
    <w:rsid w:val="00B60801"/>
    <w:rsid w:val="00B639EA"/>
    <w:rsid w:val="00B654DF"/>
    <w:rsid w:val="00B66E55"/>
    <w:rsid w:val="00B6787A"/>
    <w:rsid w:val="00B77B6E"/>
    <w:rsid w:val="00B81A2A"/>
    <w:rsid w:val="00B86FF8"/>
    <w:rsid w:val="00B87BED"/>
    <w:rsid w:val="00B91A13"/>
    <w:rsid w:val="00B92E47"/>
    <w:rsid w:val="00B936B8"/>
    <w:rsid w:val="00B9591D"/>
    <w:rsid w:val="00B97E8B"/>
    <w:rsid w:val="00BA182F"/>
    <w:rsid w:val="00BA189B"/>
    <w:rsid w:val="00BA54E6"/>
    <w:rsid w:val="00BB0011"/>
    <w:rsid w:val="00BB0982"/>
    <w:rsid w:val="00BB0F85"/>
    <w:rsid w:val="00BB2261"/>
    <w:rsid w:val="00BB6435"/>
    <w:rsid w:val="00BC6EC4"/>
    <w:rsid w:val="00BD09F1"/>
    <w:rsid w:val="00BD115A"/>
    <w:rsid w:val="00BD1270"/>
    <w:rsid w:val="00BD1334"/>
    <w:rsid w:val="00BD3307"/>
    <w:rsid w:val="00BD47C7"/>
    <w:rsid w:val="00BD49F9"/>
    <w:rsid w:val="00BF035B"/>
    <w:rsid w:val="00BF0841"/>
    <w:rsid w:val="00BF18A0"/>
    <w:rsid w:val="00BF3606"/>
    <w:rsid w:val="00BF43EB"/>
    <w:rsid w:val="00BF688F"/>
    <w:rsid w:val="00C04409"/>
    <w:rsid w:val="00C05777"/>
    <w:rsid w:val="00C102EB"/>
    <w:rsid w:val="00C1240F"/>
    <w:rsid w:val="00C214C1"/>
    <w:rsid w:val="00C36DBD"/>
    <w:rsid w:val="00C40B38"/>
    <w:rsid w:val="00C41EE0"/>
    <w:rsid w:val="00C44B9D"/>
    <w:rsid w:val="00C52489"/>
    <w:rsid w:val="00C54215"/>
    <w:rsid w:val="00C568EF"/>
    <w:rsid w:val="00C5690A"/>
    <w:rsid w:val="00C5790F"/>
    <w:rsid w:val="00C61252"/>
    <w:rsid w:val="00C730B5"/>
    <w:rsid w:val="00C73AD0"/>
    <w:rsid w:val="00C74B16"/>
    <w:rsid w:val="00C813DF"/>
    <w:rsid w:val="00C823C4"/>
    <w:rsid w:val="00C90F1F"/>
    <w:rsid w:val="00C9531E"/>
    <w:rsid w:val="00CA1C92"/>
    <w:rsid w:val="00CA316A"/>
    <w:rsid w:val="00CA46C3"/>
    <w:rsid w:val="00CB0F8B"/>
    <w:rsid w:val="00CB6F96"/>
    <w:rsid w:val="00CC03B0"/>
    <w:rsid w:val="00CC1A59"/>
    <w:rsid w:val="00CC4D10"/>
    <w:rsid w:val="00CC59AE"/>
    <w:rsid w:val="00CC6381"/>
    <w:rsid w:val="00CD1D2D"/>
    <w:rsid w:val="00CD2A94"/>
    <w:rsid w:val="00CD4004"/>
    <w:rsid w:val="00CE42AB"/>
    <w:rsid w:val="00CF3FF7"/>
    <w:rsid w:val="00CF4FEE"/>
    <w:rsid w:val="00CF583F"/>
    <w:rsid w:val="00CF5A89"/>
    <w:rsid w:val="00CF6049"/>
    <w:rsid w:val="00D00567"/>
    <w:rsid w:val="00D042F8"/>
    <w:rsid w:val="00D04C62"/>
    <w:rsid w:val="00D070DC"/>
    <w:rsid w:val="00D10813"/>
    <w:rsid w:val="00D119B6"/>
    <w:rsid w:val="00D16A35"/>
    <w:rsid w:val="00D238BC"/>
    <w:rsid w:val="00D23CA2"/>
    <w:rsid w:val="00D25D13"/>
    <w:rsid w:val="00D30975"/>
    <w:rsid w:val="00D30EB5"/>
    <w:rsid w:val="00D31E83"/>
    <w:rsid w:val="00D328CD"/>
    <w:rsid w:val="00D33ABA"/>
    <w:rsid w:val="00D359A5"/>
    <w:rsid w:val="00D42187"/>
    <w:rsid w:val="00D462E5"/>
    <w:rsid w:val="00D46782"/>
    <w:rsid w:val="00D46B1C"/>
    <w:rsid w:val="00D5276F"/>
    <w:rsid w:val="00D5426A"/>
    <w:rsid w:val="00D5438A"/>
    <w:rsid w:val="00D6055E"/>
    <w:rsid w:val="00D606AD"/>
    <w:rsid w:val="00D65C96"/>
    <w:rsid w:val="00D67679"/>
    <w:rsid w:val="00D679C1"/>
    <w:rsid w:val="00D7175D"/>
    <w:rsid w:val="00D71A77"/>
    <w:rsid w:val="00D71DBD"/>
    <w:rsid w:val="00D72B80"/>
    <w:rsid w:val="00D72CF1"/>
    <w:rsid w:val="00D73427"/>
    <w:rsid w:val="00D73D81"/>
    <w:rsid w:val="00D77422"/>
    <w:rsid w:val="00D91CB8"/>
    <w:rsid w:val="00DA207D"/>
    <w:rsid w:val="00DA429A"/>
    <w:rsid w:val="00DA59A9"/>
    <w:rsid w:val="00DC04DB"/>
    <w:rsid w:val="00DC4175"/>
    <w:rsid w:val="00DC53FE"/>
    <w:rsid w:val="00DD27DD"/>
    <w:rsid w:val="00DD48E0"/>
    <w:rsid w:val="00DE37BF"/>
    <w:rsid w:val="00DE417B"/>
    <w:rsid w:val="00DE514F"/>
    <w:rsid w:val="00DF2A7A"/>
    <w:rsid w:val="00DF5031"/>
    <w:rsid w:val="00DF5047"/>
    <w:rsid w:val="00DF64C5"/>
    <w:rsid w:val="00E0258C"/>
    <w:rsid w:val="00E03F2E"/>
    <w:rsid w:val="00E07B22"/>
    <w:rsid w:val="00E11C50"/>
    <w:rsid w:val="00E1321E"/>
    <w:rsid w:val="00E143BA"/>
    <w:rsid w:val="00E159BD"/>
    <w:rsid w:val="00E171C6"/>
    <w:rsid w:val="00E17DD2"/>
    <w:rsid w:val="00E22018"/>
    <w:rsid w:val="00E378BC"/>
    <w:rsid w:val="00E4273D"/>
    <w:rsid w:val="00E43C9C"/>
    <w:rsid w:val="00E475D3"/>
    <w:rsid w:val="00E521F6"/>
    <w:rsid w:val="00E56B83"/>
    <w:rsid w:val="00E62866"/>
    <w:rsid w:val="00E63AF7"/>
    <w:rsid w:val="00E6485C"/>
    <w:rsid w:val="00E66E61"/>
    <w:rsid w:val="00E700F1"/>
    <w:rsid w:val="00E70A27"/>
    <w:rsid w:val="00E734EE"/>
    <w:rsid w:val="00E74476"/>
    <w:rsid w:val="00E762D3"/>
    <w:rsid w:val="00E773FA"/>
    <w:rsid w:val="00E80F9C"/>
    <w:rsid w:val="00E8182E"/>
    <w:rsid w:val="00E93423"/>
    <w:rsid w:val="00E943E3"/>
    <w:rsid w:val="00E978A2"/>
    <w:rsid w:val="00EA3E0D"/>
    <w:rsid w:val="00EB31C5"/>
    <w:rsid w:val="00EC2770"/>
    <w:rsid w:val="00EC5B36"/>
    <w:rsid w:val="00ED6F97"/>
    <w:rsid w:val="00EE1C37"/>
    <w:rsid w:val="00EE2B52"/>
    <w:rsid w:val="00EE3A8C"/>
    <w:rsid w:val="00EE3C08"/>
    <w:rsid w:val="00EE72FF"/>
    <w:rsid w:val="00EF6547"/>
    <w:rsid w:val="00F00406"/>
    <w:rsid w:val="00F00DAC"/>
    <w:rsid w:val="00F06C64"/>
    <w:rsid w:val="00F07197"/>
    <w:rsid w:val="00F1502D"/>
    <w:rsid w:val="00F1570F"/>
    <w:rsid w:val="00F17928"/>
    <w:rsid w:val="00F22484"/>
    <w:rsid w:val="00F24313"/>
    <w:rsid w:val="00F37F1E"/>
    <w:rsid w:val="00F40195"/>
    <w:rsid w:val="00F41F8A"/>
    <w:rsid w:val="00F44436"/>
    <w:rsid w:val="00F4569B"/>
    <w:rsid w:val="00F45810"/>
    <w:rsid w:val="00F46D40"/>
    <w:rsid w:val="00F50236"/>
    <w:rsid w:val="00F532A6"/>
    <w:rsid w:val="00F53E81"/>
    <w:rsid w:val="00F56A56"/>
    <w:rsid w:val="00F603C4"/>
    <w:rsid w:val="00F63B34"/>
    <w:rsid w:val="00F64EB6"/>
    <w:rsid w:val="00F71193"/>
    <w:rsid w:val="00F7400D"/>
    <w:rsid w:val="00F75192"/>
    <w:rsid w:val="00F7759E"/>
    <w:rsid w:val="00F8419D"/>
    <w:rsid w:val="00F9063C"/>
    <w:rsid w:val="00F9246C"/>
    <w:rsid w:val="00F94DD0"/>
    <w:rsid w:val="00FA1A1C"/>
    <w:rsid w:val="00FA1D84"/>
    <w:rsid w:val="00FA28B0"/>
    <w:rsid w:val="00FB00A5"/>
    <w:rsid w:val="00FB53E4"/>
    <w:rsid w:val="00FB6EA3"/>
    <w:rsid w:val="00FC1E4A"/>
    <w:rsid w:val="00FC4BCE"/>
    <w:rsid w:val="00FC6F21"/>
    <w:rsid w:val="00FC7FE6"/>
    <w:rsid w:val="00FD219C"/>
    <w:rsid w:val="00FD40C3"/>
    <w:rsid w:val="00FD504F"/>
    <w:rsid w:val="00FD7E7A"/>
    <w:rsid w:val="00FE1AFC"/>
    <w:rsid w:val="00FE2DF0"/>
    <w:rsid w:val="00FE69EA"/>
    <w:rsid w:val="00FE6BBF"/>
    <w:rsid w:val="00FF3DFC"/>
    <w:rsid w:val="00FF464A"/>
    <w:rsid w:val="00FF5F97"/>
    <w:rsid w:val="02287A18"/>
    <w:rsid w:val="042B1767"/>
    <w:rsid w:val="08845B88"/>
    <w:rsid w:val="104C4DC9"/>
    <w:rsid w:val="17CC781A"/>
    <w:rsid w:val="208D55A1"/>
    <w:rsid w:val="2CC43900"/>
    <w:rsid w:val="331D2CEA"/>
    <w:rsid w:val="36A44704"/>
    <w:rsid w:val="3FDC17E8"/>
    <w:rsid w:val="40032407"/>
    <w:rsid w:val="41240AEC"/>
    <w:rsid w:val="429A368A"/>
    <w:rsid w:val="43CE1D1D"/>
    <w:rsid w:val="47751272"/>
    <w:rsid w:val="4FBA075B"/>
    <w:rsid w:val="51047479"/>
    <w:rsid w:val="51821C65"/>
    <w:rsid w:val="541C548D"/>
    <w:rsid w:val="58235328"/>
    <w:rsid w:val="58CC6450"/>
    <w:rsid w:val="5FF564FD"/>
    <w:rsid w:val="602B0BD5"/>
    <w:rsid w:val="639B507A"/>
    <w:rsid w:val="64DD3107"/>
    <w:rsid w:val="664C7E16"/>
    <w:rsid w:val="66A84CFD"/>
    <w:rsid w:val="69BC0A87"/>
    <w:rsid w:val="719C0F72"/>
    <w:rsid w:val="721E0247"/>
    <w:rsid w:val="76695B69"/>
    <w:rsid w:val="77746B0A"/>
    <w:rsid w:val="7AA16669"/>
    <w:rsid w:val="7B194382"/>
    <w:rsid w:val="7D7F2934"/>
    <w:rsid w:val="7E30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2E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232EE"/>
    <w:pPr>
      <w:keepNext/>
      <w:jc w:val="center"/>
      <w:outlineLvl w:val="0"/>
    </w:pPr>
    <w:rPr>
      <w:rFonts w:ascii="宋体" w:hAnsi="宋体"/>
      <w:sz w:val="28"/>
    </w:rPr>
  </w:style>
  <w:style w:type="paragraph" w:styleId="2">
    <w:name w:val="heading 2"/>
    <w:basedOn w:val="a"/>
    <w:next w:val="a"/>
    <w:qFormat/>
    <w:rsid w:val="004232E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232E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rsid w:val="004232EE"/>
    <w:pPr>
      <w:ind w:firstLineChars="200" w:firstLine="600"/>
    </w:pPr>
    <w:rPr>
      <w:rFonts w:ascii="仿宋_GB2312" w:eastAsia="仿宋_GB2312"/>
      <w:sz w:val="30"/>
      <w:szCs w:val="32"/>
    </w:rPr>
  </w:style>
  <w:style w:type="paragraph" w:styleId="a3">
    <w:name w:val="Balloon Text"/>
    <w:basedOn w:val="a"/>
    <w:link w:val="Char"/>
    <w:qFormat/>
    <w:rsid w:val="004232EE"/>
    <w:rPr>
      <w:sz w:val="18"/>
      <w:szCs w:val="18"/>
    </w:rPr>
  </w:style>
  <w:style w:type="paragraph" w:styleId="a4">
    <w:name w:val="footer"/>
    <w:basedOn w:val="a"/>
    <w:rsid w:val="00423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423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4232E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7">
    <w:name w:val="Strong"/>
    <w:basedOn w:val="a0"/>
    <w:qFormat/>
    <w:rsid w:val="004232EE"/>
    <w:rPr>
      <w:b/>
      <w:bCs/>
    </w:rPr>
  </w:style>
  <w:style w:type="character" w:styleId="a8">
    <w:name w:val="page number"/>
    <w:basedOn w:val="a0"/>
    <w:qFormat/>
    <w:rsid w:val="004232EE"/>
  </w:style>
  <w:style w:type="table" w:styleId="a9">
    <w:name w:val="Table Grid"/>
    <w:basedOn w:val="a1"/>
    <w:qFormat/>
    <w:rsid w:val="004232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12l1">
    <w:name w:val="f12l1"/>
    <w:basedOn w:val="a0"/>
    <w:rsid w:val="004232EE"/>
  </w:style>
  <w:style w:type="character" w:customStyle="1" w:styleId="f18bt">
    <w:name w:val="f18bt"/>
    <w:basedOn w:val="a0"/>
    <w:qFormat/>
    <w:rsid w:val="004232EE"/>
  </w:style>
  <w:style w:type="character" w:customStyle="1" w:styleId="3Char">
    <w:name w:val="标题 3 Char"/>
    <w:basedOn w:val="a0"/>
    <w:link w:val="3"/>
    <w:qFormat/>
    <w:rsid w:val="004232E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basedOn w:val="a0"/>
    <w:link w:val="1"/>
    <w:rsid w:val="004232EE"/>
    <w:rPr>
      <w:rFonts w:ascii="宋体" w:eastAsia="宋体" w:hAnsi="宋体"/>
      <w:kern w:val="2"/>
      <w:sz w:val="28"/>
      <w:szCs w:val="24"/>
      <w:lang w:val="en-US" w:eastAsia="zh-CN" w:bidi="ar-SA"/>
    </w:rPr>
  </w:style>
  <w:style w:type="paragraph" w:customStyle="1" w:styleId="CharChar1Char">
    <w:name w:val="Char Char1 Char"/>
    <w:basedOn w:val="a"/>
    <w:qFormat/>
    <w:rsid w:val="004232EE"/>
    <w:rPr>
      <w:rFonts w:ascii="仿宋_GB2312" w:eastAsia="仿宋_GB2312"/>
      <w:b/>
      <w:sz w:val="30"/>
      <w:szCs w:val="32"/>
    </w:rPr>
  </w:style>
  <w:style w:type="paragraph" w:customStyle="1" w:styleId="CharCharChar">
    <w:name w:val="Char Char Char"/>
    <w:basedOn w:val="a"/>
    <w:rsid w:val="004232EE"/>
  </w:style>
  <w:style w:type="paragraph" w:customStyle="1" w:styleId="CharChar1Char1">
    <w:name w:val="Char Char1 Char1"/>
    <w:basedOn w:val="a"/>
    <w:qFormat/>
    <w:rsid w:val="004232EE"/>
    <w:rPr>
      <w:rFonts w:ascii="仿宋_GB2312" w:eastAsia="仿宋_GB2312"/>
      <w:b/>
      <w:sz w:val="30"/>
      <w:szCs w:val="32"/>
    </w:rPr>
  </w:style>
  <w:style w:type="paragraph" w:customStyle="1" w:styleId="p0">
    <w:name w:val="p0"/>
    <w:basedOn w:val="a"/>
    <w:qFormat/>
    <w:rsid w:val="004232EE"/>
    <w:pPr>
      <w:widowControl/>
    </w:pPr>
    <w:rPr>
      <w:kern w:val="0"/>
      <w:szCs w:val="21"/>
    </w:rPr>
  </w:style>
  <w:style w:type="paragraph" w:customStyle="1" w:styleId="Char2CharCharChar">
    <w:name w:val="Char2 Char Char Char"/>
    <w:basedOn w:val="a"/>
    <w:rsid w:val="004232EE"/>
    <w:rPr>
      <w:szCs w:val="20"/>
    </w:rPr>
  </w:style>
  <w:style w:type="character" w:customStyle="1" w:styleId="Char">
    <w:name w:val="批注框文本 Char"/>
    <w:basedOn w:val="a0"/>
    <w:link w:val="a3"/>
    <w:rsid w:val="004232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hart" Target="charts/chart2.xm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chart" Target="charts/chart1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1doc&#25991;&#20214;\doc\2017&#24180;&#22122;&#22768;&#22270;&#349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1doc&#25991;&#20214;\doc\2017&#24180;&#22122;&#22768;&#22270;&#3492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150;&#20844;&#25991;&#20214;\&#33258;&#21160;&#31449;+&#20449;&#24687;\&#33258;&#21160;&#31449;&#25968;&#25454;\2017\&#23395;&#25253;-&#24180;&#25253;\2017&#24180;&#24230;-&#30011;&#22270;&#27169;&#2649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09578013492115"/>
          <c:y val="3.9277978339350338E-2"/>
          <c:w val="0.76435114205765597"/>
          <c:h val="0.65034965034965375"/>
        </c:manualLayout>
      </c:layout>
      <c:barChart>
        <c:barDir val="col"/>
        <c:grouping val="clustered"/>
        <c:ser>
          <c:idx val="0"/>
          <c:order val="0"/>
          <c:tx>
            <c:strRef>
              <c:f>Sheet1!$B$9</c:f>
              <c:strCache>
                <c:ptCount val="1"/>
                <c:pt idx="0">
                  <c:v>Ld 2016年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Sheet1!$B$10:$B$14</c:f>
              <c:numCache>
                <c:formatCode>0_);[Red]\(0\)</c:formatCode>
                <c:ptCount val="5"/>
                <c:pt idx="0">
                  <c:v>53</c:v>
                </c:pt>
                <c:pt idx="1">
                  <c:v>54</c:v>
                </c:pt>
                <c:pt idx="2">
                  <c:v>57</c:v>
                </c:pt>
                <c:pt idx="3">
                  <c:v>59</c:v>
                </c:pt>
                <c:pt idx="4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Sheet1!$C$9</c:f>
              <c:strCache>
                <c:ptCount val="1"/>
                <c:pt idx="0">
                  <c:v>Ld 2017年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148981779206901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292604501607701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6227224008612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292604501607701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5005359056806011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Sheet1!$C$10:$C$14</c:f>
              <c:numCache>
                <c:formatCode>0_);[Red]\(0\)</c:formatCode>
                <c:ptCount val="5"/>
                <c:pt idx="0">
                  <c:v>50</c:v>
                </c:pt>
                <c:pt idx="1">
                  <c:v>59</c:v>
                </c:pt>
                <c:pt idx="2">
                  <c:v>56</c:v>
                </c:pt>
                <c:pt idx="3">
                  <c:v>57</c:v>
                </c:pt>
                <c:pt idx="4">
                  <c:v>69</c:v>
                </c:pt>
              </c:numCache>
            </c:numRef>
          </c:val>
        </c:ser>
        <c:dLbls>
          <c:showVal val="1"/>
        </c:dLbls>
        <c:axId val="203790976"/>
        <c:axId val="260128128"/>
      </c:barChart>
      <c:catAx>
        <c:axId val="203790976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27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260128128"/>
        <c:crosses val="autoZero"/>
        <c:auto val="1"/>
        <c:lblAlgn val="ctr"/>
        <c:lblOffset val="100"/>
        <c:tickLblSkip val="1"/>
      </c:catAx>
      <c:valAx>
        <c:axId val="260128128"/>
        <c:scaling>
          <c:orientation val="minMax"/>
        </c:scaling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0_);[Red]\(0\)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20379097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81725619834710661"/>
          <c:y val="2.2144381485024824E-2"/>
          <c:w val="0.17363337020888886"/>
          <c:h val="0.11538450217087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25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 cap="flat" cmpd="sng" algn="ctr">
      <a:noFill/>
      <a:prstDash val="solid"/>
      <a:round/>
    </a:ln>
  </c:spPr>
  <c:txPr>
    <a:bodyPr/>
    <a:lstStyle/>
    <a:p>
      <a:pPr>
        <a:defRPr lang="zh-CN" sz="172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6.3414734843011786E-2"/>
          <c:y val="0.10661764705882402"/>
          <c:w val="0.84065174138043441"/>
          <c:h val="0.5110294117647064"/>
        </c:manualLayout>
      </c:layout>
      <c:barChart>
        <c:barDir val="col"/>
        <c:grouping val="clustered"/>
        <c:ser>
          <c:idx val="0"/>
          <c:order val="0"/>
          <c:tx>
            <c:strRef>
              <c:f>Sheet1!$B$17</c:f>
              <c:strCache>
                <c:ptCount val="1"/>
                <c:pt idx="0">
                  <c:v>Ln 2016年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Sheet1!$B$18:$B$22</c:f>
              <c:numCache>
                <c:formatCode>0_);[Red]\(0\)</c:formatCode>
                <c:ptCount val="5"/>
                <c:pt idx="0">
                  <c:v>47</c:v>
                </c:pt>
                <c:pt idx="1">
                  <c:v>48</c:v>
                </c:pt>
                <c:pt idx="2">
                  <c:v>51</c:v>
                </c:pt>
                <c:pt idx="3">
                  <c:v>54</c:v>
                </c:pt>
                <c:pt idx="4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Ln 2017年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512195121951209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512195121951209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848238482384918E-2"/>
                  <c:y val="-4.9019607843137688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512195121951105E-2"/>
                  <c:y val="-1.470588235294120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7344173441734511E-2"/>
                  <c:y val="-9.8039215686274508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Sheet1!$C$18:$C$22</c:f>
              <c:numCache>
                <c:formatCode>0_);[Red]\(0\)</c:formatCode>
                <c:ptCount val="5"/>
                <c:pt idx="0">
                  <c:v>46</c:v>
                </c:pt>
                <c:pt idx="1">
                  <c:v>54</c:v>
                </c:pt>
                <c:pt idx="2">
                  <c:v>51</c:v>
                </c:pt>
                <c:pt idx="3">
                  <c:v>52</c:v>
                </c:pt>
                <c:pt idx="4">
                  <c:v>63</c:v>
                </c:pt>
              </c:numCache>
            </c:numRef>
          </c:val>
        </c:ser>
        <c:dLbls>
          <c:showVal val="1"/>
        </c:dLbls>
        <c:axId val="275421440"/>
        <c:axId val="275432192"/>
      </c:barChart>
      <c:catAx>
        <c:axId val="275421440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27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275432192"/>
        <c:crosses val="autoZero"/>
        <c:auto val="1"/>
        <c:lblAlgn val="ctr"/>
        <c:lblOffset val="100"/>
        <c:tickLblSkip val="1"/>
      </c:catAx>
      <c:valAx>
        <c:axId val="275432192"/>
        <c:scaling>
          <c:orientation val="minMax"/>
        </c:scaling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0_);[Red]\(0\)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27542144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78373983739837805"/>
          <c:y val="1.8382345064009913E-2"/>
          <c:w val="0.16910569105691101"/>
          <c:h val="0.102941060938811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5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 cap="flat" cmpd="sng" algn="ctr">
      <a:noFill/>
      <a:prstDash val="solid"/>
      <a:round/>
    </a:ln>
  </c:spPr>
  <c:txPr>
    <a:bodyPr/>
    <a:lstStyle/>
    <a:p>
      <a:pPr>
        <a:defRPr lang="zh-CN" sz="162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2212660813831311"/>
          <c:y val="0.165266558524156"/>
          <c:w val="0.55890883018592741"/>
          <c:h val="0.47619177879841501"/>
        </c:manualLayout>
      </c:layout>
      <c:lineChart>
        <c:grouping val="standard"/>
        <c:ser>
          <c:idx val="0"/>
          <c:order val="0"/>
          <c:tx>
            <c:strRef>
              <c:f>石油小区</c:f>
              <c:strCache>
                <c:ptCount val="1"/>
                <c:pt idx="0">
                  <c:v>石油小区</c:v>
                </c:pt>
              </c:strCache>
            </c:strRef>
          </c:tx>
          <c:spPr>
            <a:ln w="12700" cap="rnd" cmpd="sng" algn="ctr">
              <a:solidFill>
                <a:srgbClr val="000080"/>
              </a:solidFill>
              <a:prstDash val="solid"/>
              <a:round/>
            </a:ln>
          </c:spPr>
          <c:marker>
            <c:symbol val="diamond"/>
            <c:size val="5"/>
            <c:spPr>
              <a:solidFill>
                <a:srgbClr val="000080"/>
              </a:solidFill>
              <a:ln w="9525" cap="flat" cmpd="sng" algn="ctr">
                <a:solidFill>
                  <a:srgbClr val="000080"/>
                </a:solidFill>
                <a:prstDash val="solid"/>
                <a:round/>
              </a:ln>
            </c:spPr>
          </c:marker>
          <c:cat>
            <c:strRef>
              <c:f>月报图!$A$3:$A$15</c:f>
              <c:strCache>
                <c:ptCount val="13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四月</c:v>
                </c:pt>
                <c:pt idx="4">
                  <c:v>五月</c:v>
                </c:pt>
                <c:pt idx="5">
                  <c:v>六月</c:v>
                </c:pt>
                <c:pt idx="6">
                  <c:v>七月</c:v>
                </c:pt>
                <c:pt idx="7">
                  <c:v>八月</c:v>
                </c:pt>
                <c:pt idx="8">
                  <c:v>九月</c:v>
                </c:pt>
                <c:pt idx="9">
                  <c:v>十月</c:v>
                </c:pt>
                <c:pt idx="10">
                  <c:v>十一月</c:v>
                </c:pt>
                <c:pt idx="11">
                  <c:v>十二月</c:v>
                </c:pt>
                <c:pt idx="12">
                  <c:v>年平均值</c:v>
                </c:pt>
              </c:strCache>
            </c:strRef>
          </c:cat>
          <c:val>
            <c:numRef>
              <c:f>月报图!$B$3:$B$15</c:f>
              <c:numCache>
                <c:formatCode>General</c:formatCode>
                <c:ptCount val="13"/>
                <c:pt idx="0" formatCode="0.00;_׿">
                  <c:v>111.95</c:v>
                </c:pt>
                <c:pt idx="1">
                  <c:v>113.21000000000002</c:v>
                </c:pt>
                <c:pt idx="2">
                  <c:v>112.78</c:v>
                </c:pt>
                <c:pt idx="3">
                  <c:v>111.96000000000002</c:v>
                </c:pt>
                <c:pt idx="4">
                  <c:v>113.27</c:v>
                </c:pt>
                <c:pt idx="5">
                  <c:v>112.55</c:v>
                </c:pt>
                <c:pt idx="6">
                  <c:v>113.2</c:v>
                </c:pt>
                <c:pt idx="7">
                  <c:v>113.53</c:v>
                </c:pt>
                <c:pt idx="8">
                  <c:v>113.04</c:v>
                </c:pt>
                <c:pt idx="9">
                  <c:v>113.23</c:v>
                </c:pt>
                <c:pt idx="10">
                  <c:v>113.04</c:v>
                </c:pt>
                <c:pt idx="11">
                  <c:v>113.23</c:v>
                </c:pt>
                <c:pt idx="12">
                  <c:v>112.92</c:v>
                </c:pt>
              </c:numCache>
            </c:numRef>
          </c:val>
        </c:ser>
        <c:ser>
          <c:idx val="1"/>
          <c:order val="1"/>
          <c:tx>
            <c:strRef>
              <c:f>灞桥环保局</c:f>
              <c:strCache>
                <c:ptCount val="1"/>
                <c:pt idx="0">
                  <c:v>灞桥环保局</c:v>
                </c:pt>
              </c:strCache>
            </c:strRef>
          </c:tx>
          <c:spPr>
            <a:ln w="12700" cap="rnd" cmpd="sng" algn="ctr">
              <a:solidFill>
                <a:srgbClr val="FF00FF"/>
              </a:solidFill>
              <a:prstDash val="solid"/>
              <a:round/>
            </a:ln>
          </c:spPr>
          <c:marker>
            <c:symbol val="square"/>
            <c:size val="5"/>
            <c:spPr>
              <a:solidFill>
                <a:srgbClr val="FF00FF"/>
              </a:solidFill>
              <a:ln w="9525" cap="flat" cmpd="sng" algn="ctr">
                <a:solidFill>
                  <a:srgbClr val="FF00FF"/>
                </a:solidFill>
                <a:prstDash val="solid"/>
                <a:round/>
              </a:ln>
            </c:spPr>
          </c:marker>
          <c:cat>
            <c:strRef>
              <c:f>月报图!$A$3:$A$15</c:f>
              <c:strCache>
                <c:ptCount val="13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四月</c:v>
                </c:pt>
                <c:pt idx="4">
                  <c:v>五月</c:v>
                </c:pt>
                <c:pt idx="5">
                  <c:v>六月</c:v>
                </c:pt>
                <c:pt idx="6">
                  <c:v>七月</c:v>
                </c:pt>
                <c:pt idx="7">
                  <c:v>八月</c:v>
                </c:pt>
                <c:pt idx="8">
                  <c:v>九月</c:v>
                </c:pt>
                <c:pt idx="9">
                  <c:v>十月</c:v>
                </c:pt>
                <c:pt idx="10">
                  <c:v>十一月</c:v>
                </c:pt>
                <c:pt idx="11">
                  <c:v>十二月</c:v>
                </c:pt>
                <c:pt idx="12">
                  <c:v>年平均值</c:v>
                </c:pt>
              </c:strCache>
            </c:strRef>
          </c:cat>
          <c:val>
            <c:numRef>
              <c:f>月报图!$C$3:$C$15</c:f>
              <c:numCache>
                <c:formatCode>General</c:formatCode>
                <c:ptCount val="13"/>
                <c:pt idx="0">
                  <c:v>94.92</c:v>
                </c:pt>
                <c:pt idx="1">
                  <c:v>95.34</c:v>
                </c:pt>
                <c:pt idx="2">
                  <c:v>95.86999999999999</c:v>
                </c:pt>
                <c:pt idx="3">
                  <c:v>95.66</c:v>
                </c:pt>
                <c:pt idx="4">
                  <c:v>95.32</c:v>
                </c:pt>
                <c:pt idx="5" formatCode="0.00_ ">
                  <c:v>94.55</c:v>
                </c:pt>
                <c:pt idx="6">
                  <c:v>94.910000000000025</c:v>
                </c:pt>
                <c:pt idx="7">
                  <c:v>95.35</c:v>
                </c:pt>
                <c:pt idx="8" formatCode="0.00_ ">
                  <c:v>95.76</c:v>
                </c:pt>
                <c:pt idx="9">
                  <c:v>94.39</c:v>
                </c:pt>
                <c:pt idx="10" formatCode="0.00_ ">
                  <c:v>95.76</c:v>
                </c:pt>
                <c:pt idx="11">
                  <c:v>94.52</c:v>
                </c:pt>
                <c:pt idx="12">
                  <c:v>95.2</c:v>
                </c:pt>
              </c:numCache>
            </c:numRef>
          </c:val>
        </c:ser>
        <c:marker val="1"/>
        <c:axId val="283622400"/>
        <c:axId val="298955520"/>
      </c:lineChart>
      <c:catAx>
        <c:axId val="283622400"/>
        <c:scaling>
          <c:orientation val="minMax"/>
        </c:scaling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r>
                  <a:rPr lang="zh-CN" altLang="en-US"/>
                  <a:t>监测时间</a:t>
                </a:r>
              </a:p>
            </c:rich>
          </c:tx>
          <c:layout>
            <c:manualLayout>
              <c:xMode val="edge"/>
              <c:yMode val="edge"/>
              <c:x val="0.77586312486801201"/>
              <c:y val="0.6526628289110934"/>
            </c:manualLayout>
          </c:layout>
          <c:spPr>
            <a:noFill/>
            <a:ln w="25400">
              <a:noFill/>
            </a:ln>
          </c:spPr>
        </c:title>
        <c:numFmt formatCode="yyyy&quot;年&quot;m&quot;月&quot;d&quot;日&quot;" sourceLinked="0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27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298955520"/>
        <c:crosses val="autoZero"/>
        <c:auto val="1"/>
        <c:lblAlgn val="ctr"/>
        <c:lblOffset val="100"/>
        <c:tickLblSkip val="1"/>
      </c:catAx>
      <c:valAx>
        <c:axId val="298955520"/>
        <c:scaling>
          <c:orientation val="minMax"/>
          <c:max val="130"/>
          <c:min val="50"/>
        </c:scaling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algn="ctr">
                  <a:defRPr lang="zh-CN" sz="11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</a:rPr>
                  <a:t>剂量率（</a:t>
                </a:r>
                <a:r>
                  <a:rPr lang="en-US" altLang="zh-CN" sz="1000" b="0" i="0" u="none" strike="noStrike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</a:rPr>
                  <a:t>nGy/h</a:t>
                </a: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</a:rPr>
                  <a:t>）    </a:t>
                </a:r>
              </a:p>
            </c:rich>
          </c:tx>
          <c:layout>
            <c:manualLayout>
              <c:xMode val="edge"/>
              <c:yMode val="edge"/>
              <c:x val="4.3103599119075728E-2"/>
              <c:y val="6.2558650756890724E-2"/>
            </c:manualLayout>
          </c:layout>
          <c:spPr>
            <a:solidFill>
              <a:srgbClr val="FFFFFF"/>
            </a:solidFill>
            <a:ln w="25400">
              <a:noFill/>
            </a:ln>
          </c:spPr>
        </c:title>
        <c:numFmt formatCode="0.00;_׿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283622400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707002141973743"/>
          <c:y val="0.1820734172934271"/>
          <c:w val="0.14942543819953621"/>
          <c:h val="0.10364175066352008"/>
        </c:manualLayout>
      </c:layout>
      <c:spPr>
        <a:solidFill>
          <a:srgbClr val="FFFFFF"/>
        </a:solidFill>
        <a:ln w="25400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92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sz="12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1047</Words>
  <Characters>5968</Characters>
  <Application>Microsoft Office Word</Application>
  <DocSecurity>0</DocSecurity>
  <Lines>49</Lines>
  <Paragraphs>14</Paragraphs>
  <ScaleCrop>false</ScaleCrop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1-2月份环境质量与监测 </dc:title>
  <dc:creator>User</dc:creator>
  <cp:lastModifiedBy>chaixin</cp:lastModifiedBy>
  <cp:revision>4</cp:revision>
  <cp:lastPrinted>2008-11-17T02:58:00Z</cp:lastPrinted>
  <dcterms:created xsi:type="dcterms:W3CDTF">2018-12-17T07:36:00Z</dcterms:created>
  <dcterms:modified xsi:type="dcterms:W3CDTF">2018-12-17T07:37:00Z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